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0" w:leader="none"/>
        </w:tabs>
        <w:bidi w:val="0"/>
        <w:jc w:val="both"/>
        <w:rPr/>
      </w:pPr>
      <w:r>
        <w:rPr>
          <w:rFonts w:eastAsia="Times New Roman" w:cs="Segoe UI Semilight" w:ascii="Tahoma" w:hAnsi="Tahoma"/>
          <w:b/>
          <w:bCs/>
          <w:color w:val="00000A"/>
          <w:sz w:val="22"/>
          <w:szCs w:val="22"/>
          <w:lang w:val="hr-HR"/>
        </w:rPr>
        <w:t>JAVNI NATJEČAJ GRADA MALOG LOŠINJA ZA PRODAJU NEKRETNINE U GRADSKOM VLASNIŠTVU, OBJAVLJEN 09.02.2025. GODINE,  OTVOREN DO 17.02.2025. GODINE</w:t>
      </w:r>
    </w:p>
    <w:p>
      <w:pPr>
        <w:pStyle w:val="Normal"/>
        <w:tabs>
          <w:tab w:val="left" w:pos="0" w:leader="none"/>
        </w:tabs>
        <w:bidi w:val="0"/>
        <w:jc w:val="both"/>
        <w:rPr>
          <w:rFonts w:ascii="Tahoma" w:hAnsi="Tahoma" w:eastAsia="Times New Roman" w:cs="Segoe UI Semilight"/>
          <w:color w:val="00000A"/>
          <w:sz w:val="22"/>
          <w:szCs w:val="22"/>
          <w:lang w:val="hr-HR"/>
        </w:rPr>
      </w:pP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/>
      </w:pPr>
      <w:r>
        <w:rPr>
          <w:rFonts w:eastAsia="Times New Roman" w:cs="Segoe UI Semilight" w:ascii="Tahoma" w:hAnsi="Tahoma"/>
          <w:b w:val="false"/>
          <w:bCs w:val="false"/>
          <w:color w:val="000000"/>
          <w:sz w:val="22"/>
          <w:szCs w:val="22"/>
          <w:lang w:val="hr-HR"/>
        </w:rPr>
        <w:t xml:space="preserve">Temeljem čl. 391. Zakona o vlasništvu i drugim stvarnim pravima („Narodne novine” br. 91/96, 68/98, 137/99, 22/00, 73/00, 129/00, 114/01, 79/06, 141/06, 146/08, 38/09, 153/09, 143/12, 152/14, 81/15, 94/17), </w:t>
      </w:r>
      <w:r>
        <w:rPr>
          <w:rFonts w:eastAsia="Times New Roman" w:cs="Segoe UI Light" w:ascii="Tahoma" w:hAnsi="Tahoma"/>
          <w:b w:val="false"/>
          <w:bCs w:val="false"/>
          <w:color w:val="000000"/>
          <w:sz w:val="22"/>
          <w:szCs w:val="22"/>
          <w:lang w:val="hr-HR"/>
        </w:rPr>
        <w:t xml:space="preserve">čl. 48. Zakona o lokalnoj i područnoj (regionalnoj) samoupravi („Narodne novine” 33/01, 60/01, 129/05, 109/07, 125/08, 36/09, 36/09, 150/11, 144/12, 19/13, 137/15, 123/17, 98/19, 144/20), </w:t>
      </w:r>
      <w:r>
        <w:rPr>
          <w:rFonts w:eastAsia="Times New Roman" w:cs="Times New Roman" w:ascii="Tahoma" w:hAnsi="Tahoma"/>
          <w:b w:val="false"/>
          <w:bCs w:val="false"/>
          <w:color w:val="000000"/>
          <w:spacing w:val="-3"/>
          <w:sz w:val="22"/>
          <w:szCs w:val="22"/>
          <w:highlight w:val="white"/>
          <w:lang w:val="hr-HR" w:eastAsia="zh-CN" w:bidi="hi-IN"/>
        </w:rPr>
        <w:t>čl. 47. Statuta Grada Malog Lošinja („Službene novine PGŽ” broj 26/09, 32/09, 10/13, 24/17-pročišćeni tekst, 09/18 i 09/21) te čl. 9. Odluke o gospodarenju nekretninama u vlasništvu Grada Malog Lošinja („Službene novine PGŽ” broj 44/20)</w:t>
      </w:r>
      <w:r>
        <w:rPr>
          <w:rFonts w:eastAsia="Times New Roman" w:cs="Segoe UI Semilight" w:ascii="Tahoma" w:hAnsi="Tahoma"/>
          <w:b w:val="false"/>
          <w:bCs w:val="false"/>
          <w:color w:val="000000"/>
          <w:sz w:val="22"/>
          <w:szCs w:val="22"/>
          <w:lang w:val="hr-HR"/>
        </w:rPr>
        <w:t>, Grad Mali Lošinj raspisuje:</w:t>
      </w:r>
    </w:p>
    <w:p>
      <w:pPr>
        <w:pStyle w:val="Normal"/>
        <w:tabs>
          <w:tab w:val="left" w:pos="0" w:leader="none"/>
        </w:tabs>
        <w:bidi w:val="0"/>
        <w:jc w:val="left"/>
        <w:rPr>
          <w:rFonts w:ascii="Tahoma" w:hAnsi="Tahoma" w:eastAsia="Times New Roman" w:cs="Segoe UI Semilight"/>
          <w:color w:val="00000A"/>
          <w:sz w:val="22"/>
          <w:szCs w:val="22"/>
          <w:lang w:val="hr-HR"/>
        </w:rPr>
      </w:pP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left"/>
        <w:rPr/>
      </w:pP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ab/>
        <w:tab/>
        <w:tab/>
        <w:tab/>
        <w:tab/>
      </w:r>
      <w:r>
        <w:rPr>
          <w:rFonts w:eastAsia="Times New Roman" w:cs="Segoe UI Semilight" w:ascii="Tahoma" w:hAnsi="Tahoma"/>
          <w:b/>
          <w:bCs/>
          <w:color w:val="00000A"/>
          <w:sz w:val="22"/>
          <w:szCs w:val="22"/>
          <w:lang w:val="hr-HR"/>
        </w:rPr>
        <w:t>J A V N I    N A T J E Č A J</w:t>
      </w:r>
    </w:p>
    <w:p>
      <w:pPr>
        <w:pStyle w:val="Normal"/>
        <w:widowControl/>
        <w:numPr>
          <w:ilvl w:val="0"/>
          <w:numId w:val="0"/>
        </w:numPr>
        <w:bidi w:val="0"/>
        <w:spacing w:before="57" w:after="57"/>
        <w:ind w:left="720" w:hanging="0"/>
        <w:jc w:val="both"/>
        <w:rPr>
          <w:rFonts w:ascii="Tahoma" w:hAnsi="Tahoma"/>
          <w:b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</w:r>
    </w:p>
    <w:p>
      <w:pPr>
        <w:pStyle w:val="Normal"/>
        <w:widowControl/>
        <w:bidi w:val="0"/>
        <w:spacing w:before="57" w:after="57"/>
        <w:jc w:val="both"/>
        <w:rPr/>
      </w:pPr>
      <w:r>
        <w:rPr>
          <w:rFonts w:eastAsia="Times New Roman" w:cs="Segoe UI Semilight" w:ascii="Tahoma" w:hAnsi="Tahoma"/>
          <w:b/>
          <w:bCs/>
          <w:color w:val="00000A"/>
          <w:spacing w:val="-3"/>
          <w:sz w:val="22"/>
          <w:szCs w:val="22"/>
          <w:lang w:val="hr-HR"/>
        </w:rPr>
        <w:t>za prodaju sljedećih nekretnina:</w:t>
      </w:r>
    </w:p>
    <w:p>
      <w:pPr>
        <w:pStyle w:val="Normal"/>
        <w:tabs>
          <w:tab w:val="left" w:pos="0" w:leader="none"/>
        </w:tabs>
        <w:bidi w:val="0"/>
        <w:jc w:val="lef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Tijeloteksta"/>
        <w:numPr>
          <w:ilvl w:val="0"/>
          <w:numId w:val="2"/>
        </w:numPr>
        <w:bidi w:val="0"/>
        <w:spacing w:lineRule="auto" w:line="240" w:before="0" w:after="26"/>
        <w:jc w:val="both"/>
        <w:rPr/>
      </w:pPr>
      <w:r>
        <w:rPr>
          <w:rFonts w:eastAsia="Times New Roman" w:cs="Tahoma" w:ascii="Tahoma" w:hAnsi="Tahoma"/>
          <w:b w:val="false"/>
          <w:bCs w:val="false"/>
          <w:color w:val="00000A"/>
          <w:spacing w:val="-3"/>
          <w:sz w:val="22"/>
          <w:szCs w:val="22"/>
          <w:u w:val="none"/>
          <w:lang w:val="hr-HR" w:eastAsia="zxx" w:bidi="zxx"/>
        </w:rPr>
        <w:t>1. K.č.br. 2922/5, zk.ul. 3997 k.o. Veli Lošinj</w:t>
      </w:r>
      <w:r>
        <w:rPr>
          <w:rFonts w:eastAsia="Times New Roman" w:cs="Segoe UI Semilight" w:ascii="Tahoma" w:hAnsi="Tahoma"/>
          <w:b w:val="false"/>
          <w:bCs w:val="false"/>
          <w:color w:val="000000"/>
          <w:spacing w:val="-3"/>
          <w:sz w:val="22"/>
          <w:szCs w:val="22"/>
          <w:u w:val="none"/>
          <w:lang w:val="hr-HR" w:eastAsia="zh-CN" w:bidi="zxx"/>
        </w:rPr>
        <w:t xml:space="preserve">, u cjelini, zemljišnoknjižne i katastarske oznake dvorište 53 m², </w:t>
      </w:r>
      <w:r>
        <w:rPr>
          <w:rFonts w:eastAsia="Times New Roman" w:cs="Segoe UI Semilight" w:ascii="Tahoma" w:hAnsi="Tahoma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2"/>
          <w:sz w:val="22"/>
          <w:szCs w:val="22"/>
          <w:highlight w:val="white"/>
          <w:u w:val="none"/>
          <w:vertAlign w:val="baseline"/>
          <w:lang w:val="hr-HR" w:eastAsia="zh-CN" w:bidi="zxx"/>
        </w:rPr>
        <w:t>u naravi dvorište u posjedu druge osobe.</w:t>
      </w:r>
      <w:r>
        <w:rPr>
          <w:rFonts w:eastAsia="Times New Roman" w:cs="Segoe UI Semilight" w:ascii="Tahoma" w:hAnsi="Tahoma"/>
          <w:b w:val="false"/>
          <w:bCs w:val="false"/>
          <w:color w:val="000000"/>
          <w:spacing w:val="-3"/>
          <w:sz w:val="22"/>
          <w:szCs w:val="22"/>
          <w:u w:val="none"/>
          <w:lang w:val="hr-HR" w:eastAsia="zh-CN" w:bidi="zxx"/>
        </w:rPr>
        <w:t xml:space="preserve"> Početna cijena iznosi 339,40 €/m</w:t>
      </w:r>
      <w:r>
        <w:rPr>
          <w:rFonts w:eastAsia="Times New Roman" w:cs="Segoe UI Semilight" w:ascii="Tahoma" w:hAnsi="Tahoma"/>
          <w:b w:val="false"/>
          <w:bCs w:val="false"/>
          <w:color w:val="000000"/>
          <w:spacing w:val="-3"/>
          <w:sz w:val="22"/>
          <w:szCs w:val="22"/>
          <w:u w:val="none"/>
          <w:vertAlign w:val="superscript"/>
          <w:lang w:val="hr-HR" w:eastAsia="zh-CN" w:bidi="zxx"/>
        </w:rPr>
        <w:t>2</w:t>
      </w:r>
      <w:r>
        <w:rPr>
          <w:rFonts w:eastAsia="Times New Roman" w:cs="Segoe UI Semilight" w:ascii="Tahoma" w:hAnsi="Tahoma"/>
          <w:b w:val="false"/>
          <w:bCs w:val="false"/>
          <w:color w:val="000000"/>
          <w:spacing w:val="-3"/>
          <w:sz w:val="22"/>
          <w:szCs w:val="22"/>
          <w:u w:val="none"/>
          <w:lang w:val="hr-HR" w:eastAsia="zh-CN" w:bidi="zxx"/>
        </w:rPr>
        <w:t>, ukupno 17.988,20 €</w:t>
      </w:r>
      <w:r>
        <w:rPr>
          <w:rFonts w:eastAsia="Times New Roman" w:cs="Segoe UI Semilight" w:ascii="Tahoma" w:hAnsi="Tahoma"/>
          <w:b w:val="false"/>
          <w:bCs w:val="false"/>
          <w:color w:val="000000"/>
          <w:spacing w:val="-3"/>
          <w:sz w:val="22"/>
          <w:szCs w:val="22"/>
          <w:highlight w:val="white"/>
          <w:u w:val="none"/>
          <w:lang w:val="hr-HR" w:eastAsia="zh-CN" w:bidi="zxx"/>
        </w:rPr>
        <w:t>.</w:t>
      </w:r>
    </w:p>
    <w:p>
      <w:pPr>
        <w:pStyle w:val="Tijeloteksta"/>
        <w:numPr>
          <w:ilvl w:val="0"/>
          <w:numId w:val="2"/>
        </w:numPr>
        <w:bidi w:val="0"/>
        <w:spacing w:lineRule="auto" w:line="240" w:before="0" w:after="26"/>
        <w:jc w:val="both"/>
        <w:rPr/>
      </w:pPr>
      <w:r>
        <w:rPr>
          <w:rFonts w:eastAsia="Times New Roman" w:cs="Segoe UI Semilight" w:ascii="Tahoma" w:hAnsi="Tahoma"/>
          <w:b w:val="false"/>
          <w:bCs w:val="false"/>
          <w:color w:val="000000"/>
          <w:spacing w:val="-3"/>
          <w:sz w:val="22"/>
          <w:szCs w:val="22"/>
          <w:highlight w:val="white"/>
          <w:u w:val="none"/>
          <w:lang w:val="hr-HR" w:eastAsia="zh-CN" w:bidi="zxx"/>
        </w:rPr>
        <w:t>2. K</w:t>
      </w:r>
      <w:r>
        <w:rPr>
          <w:rFonts w:eastAsia="Times New Roman" w:cs="Tahoma" w:ascii="Tahoma" w:hAnsi="Tahoma"/>
          <w:b w:val="false"/>
          <w:bCs w:val="false"/>
          <w:color w:val="00000A"/>
          <w:spacing w:val="-3"/>
          <w:position w:val="0"/>
          <w:sz w:val="22"/>
          <w:sz w:val="22"/>
          <w:szCs w:val="22"/>
          <w:highlight w:val="white"/>
          <w:u w:val="none"/>
          <w:vertAlign w:val="baseline"/>
          <w:lang w:val="hr-HR" w:eastAsia="zxx" w:bidi="zxx"/>
        </w:rPr>
        <w:t xml:space="preserve">.č.br. 2436/6, zk.ul. 2043 k.o. Mali Lošinj – grad, </w:t>
      </w:r>
      <w:r>
        <w:rPr>
          <w:rFonts w:eastAsia="Times New Roman" w:cs="Segoe UI Semilight" w:ascii="Tahoma" w:hAnsi="Tahoma"/>
          <w:b w:val="false"/>
          <w:bCs w:val="false"/>
          <w:color w:val="000000"/>
          <w:spacing w:val="-3"/>
          <w:position w:val="0"/>
          <w:sz w:val="22"/>
          <w:sz w:val="22"/>
          <w:szCs w:val="22"/>
          <w:highlight w:val="white"/>
          <w:u w:val="none"/>
          <w:vertAlign w:val="baseline"/>
          <w:lang w:val="hr-HR" w:eastAsia="zxx" w:bidi="zxx"/>
        </w:rPr>
        <w:t>u cjelini</w:t>
      </w:r>
      <w:r>
        <w:rPr>
          <w:rFonts w:eastAsia="Times New Roman" w:cs="Segoe UI Semilight" w:ascii="Tahoma" w:hAnsi="Tahoma"/>
          <w:b w:val="false"/>
          <w:bCs w:val="false"/>
          <w:color w:val="000000"/>
          <w:spacing w:val="-3"/>
          <w:position w:val="0"/>
          <w:sz w:val="22"/>
          <w:sz w:val="22"/>
          <w:szCs w:val="22"/>
          <w:highlight w:val="white"/>
          <w:u w:val="none"/>
          <w:vertAlign w:val="baseline"/>
          <w:lang w:val="hr-HR" w:eastAsia="zh-CN" w:bidi="zxx"/>
        </w:rPr>
        <w:t xml:space="preserve">, zemljišnoknjižne i katastarske oznake prirodno neplodno zemljište površine 119 m², u naravi zelenilo </w:t>
      </w:r>
      <w:r>
        <w:rPr>
          <w:rFonts w:eastAsia="Times New Roman" w:cs="Segoe UI Semilight" w:ascii="Tahoma" w:hAnsi="Tahoma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2"/>
          <w:sz w:val="22"/>
          <w:szCs w:val="22"/>
          <w:highlight w:val="white"/>
          <w:u w:val="none"/>
          <w:vertAlign w:val="baseline"/>
          <w:lang w:val="hr-HR" w:eastAsia="zh-CN" w:bidi="zxx"/>
        </w:rPr>
        <w:t>u posjedu druge osobe.</w:t>
      </w:r>
      <w:r>
        <w:rPr>
          <w:rFonts w:eastAsia="Times New Roman" w:cs="Segoe UI Semilight" w:ascii="Tahoma" w:hAnsi="Tahoma"/>
          <w:b w:val="false"/>
          <w:bCs w:val="false"/>
          <w:color w:val="000000"/>
          <w:spacing w:val="-3"/>
          <w:position w:val="0"/>
          <w:sz w:val="22"/>
          <w:sz w:val="22"/>
          <w:szCs w:val="22"/>
          <w:highlight w:val="white"/>
          <w:u w:val="none"/>
          <w:vertAlign w:val="baseline"/>
          <w:lang w:val="hr-HR" w:eastAsia="zh-CN" w:bidi="zxx"/>
        </w:rPr>
        <w:t xml:space="preserve"> </w:t>
      </w:r>
      <w:bookmarkStart w:id="0" w:name="__DdeLink__243_3841871807"/>
      <w:bookmarkEnd w:id="0"/>
      <w:r>
        <w:rPr>
          <w:rFonts w:eastAsia="Times New Roman" w:cs="Segoe UI Semilight" w:ascii="Tahoma" w:hAnsi="Tahoma"/>
          <w:b w:val="false"/>
          <w:bCs w:val="false"/>
          <w:color w:val="000000"/>
          <w:spacing w:val="-3"/>
          <w:position w:val="0"/>
          <w:sz w:val="22"/>
          <w:sz w:val="22"/>
          <w:szCs w:val="22"/>
          <w:highlight w:val="white"/>
          <w:u w:val="none"/>
          <w:vertAlign w:val="baseline"/>
          <w:lang w:val="hr-HR" w:eastAsia="zh-CN" w:bidi="zxx"/>
        </w:rPr>
        <w:t>Početna cijena iznosi 121,85 €/m2, ukupno 14.500,00 €.</w:t>
      </w:r>
    </w:p>
    <w:p>
      <w:pPr>
        <w:pStyle w:val="Tijeloteksta"/>
        <w:numPr>
          <w:ilvl w:val="0"/>
          <w:numId w:val="2"/>
        </w:numPr>
        <w:bidi w:val="0"/>
        <w:spacing w:lineRule="auto" w:line="240" w:before="0" w:after="26"/>
        <w:jc w:val="both"/>
        <w:rPr/>
      </w:pPr>
      <w:bookmarkStart w:id="1" w:name="__DdeLink__6807_775557299"/>
      <w:r>
        <w:rPr>
          <w:rFonts w:eastAsia="Times New Roman" w:cs="Segoe UI Semilight" w:ascii="Tahoma" w:hAnsi="Tahoma"/>
          <w:b w:val="false"/>
          <w:bCs w:val="false"/>
          <w:color w:val="000000"/>
          <w:spacing w:val="-3"/>
          <w:position w:val="0"/>
          <w:sz w:val="22"/>
          <w:sz w:val="22"/>
          <w:szCs w:val="22"/>
          <w:highlight w:val="white"/>
          <w:u w:val="none"/>
          <w:vertAlign w:val="baseline"/>
          <w:lang w:val="hr-HR" w:eastAsia="zh-CN" w:bidi="zxx"/>
        </w:rPr>
        <w:t>3. K.č.br. 6427/1, zk.ul. 7457 k.o. Mali Lošinj, u 90/270 dijela,  zemljišnoknjižne i katastarske oznake pašnjak 2559 m², (realna površina 90/270 dijela je  853 m²), u naravi neplodno i pašnjak, u posjedu i suvlasništvu druge osobe. Početna cijena iznosi 120,71 €/m2, ukupno za 853 m</w:t>
      </w:r>
      <w:r>
        <w:rPr>
          <w:rFonts w:eastAsia="Times New Roman" w:cs="Segoe UI Semilight" w:ascii="Tahoma" w:hAnsi="Tahoma"/>
          <w:b w:val="false"/>
          <w:bCs w:val="false"/>
          <w:color w:val="000000"/>
          <w:spacing w:val="-3"/>
          <w:sz w:val="22"/>
          <w:szCs w:val="22"/>
          <w:highlight w:val="white"/>
          <w:u w:val="none"/>
          <w:vertAlign w:val="superscript"/>
          <w:lang w:val="hr-HR" w:eastAsia="zh-CN" w:bidi="zxx"/>
        </w:rPr>
        <w:t xml:space="preserve">2 </w:t>
      </w:r>
      <w:bookmarkEnd w:id="1"/>
      <w:r>
        <w:rPr>
          <w:rFonts w:eastAsia="Times New Roman" w:cs="Segoe UI Semilight" w:ascii="Tahoma" w:hAnsi="Tahoma"/>
          <w:b w:val="false"/>
          <w:bCs w:val="false"/>
          <w:color w:val="000000"/>
          <w:spacing w:val="-3"/>
          <w:position w:val="0"/>
          <w:sz w:val="22"/>
          <w:sz w:val="22"/>
          <w:szCs w:val="22"/>
          <w:highlight w:val="white"/>
          <w:u w:val="none"/>
          <w:vertAlign w:val="baseline"/>
          <w:lang w:val="hr-HR" w:eastAsia="zh-CN" w:bidi="zxx"/>
        </w:rPr>
        <w:t xml:space="preserve">iznosi 17.666,66 €. </w:t>
      </w:r>
    </w:p>
    <w:p>
      <w:pPr>
        <w:pStyle w:val="Tijeloteksta"/>
        <w:numPr>
          <w:ilvl w:val="0"/>
          <w:numId w:val="2"/>
        </w:numPr>
        <w:bidi w:val="0"/>
        <w:spacing w:lineRule="auto" w:line="240" w:before="0" w:after="26"/>
        <w:jc w:val="both"/>
        <w:rPr>
          <w:rFonts w:ascii="Tahoma" w:hAnsi="Tahoma" w:eastAsia="Times New Roman" w:cs="Segoe UI Semilight"/>
          <w:b w:val="false"/>
          <w:b w:val="false"/>
          <w:bCs w:val="false"/>
          <w:color w:val="000000"/>
          <w:spacing w:val="-3"/>
          <w:position w:val="0"/>
          <w:sz w:val="22"/>
          <w:sz w:val="22"/>
          <w:szCs w:val="22"/>
          <w:highlight w:val="white"/>
          <w:u w:val="none"/>
          <w:vertAlign w:val="baseline"/>
          <w:lang w:val="hr-HR" w:eastAsia="zh-CN" w:bidi="zxx"/>
        </w:rPr>
      </w:pPr>
      <w:r>
        <w:rPr>
          <w:rFonts w:eastAsia="Times New Roman" w:cs="Segoe UI Semilight" w:ascii="Tahoma" w:hAnsi="Tahoma"/>
          <w:b w:val="false"/>
          <w:bCs w:val="false"/>
          <w:color w:val="000000"/>
          <w:spacing w:val="-3"/>
          <w:position w:val="0"/>
          <w:sz w:val="22"/>
          <w:sz w:val="22"/>
          <w:szCs w:val="22"/>
          <w:highlight w:val="white"/>
          <w:u w:val="none"/>
          <w:vertAlign w:val="baseline"/>
          <w:lang w:val="hr-HR" w:eastAsia="zh-CN" w:bidi="zxx"/>
        </w:rPr>
      </w:r>
    </w:p>
    <w:p>
      <w:pPr>
        <w:pStyle w:val="Normal"/>
        <w:bidi w:val="0"/>
        <w:jc w:val="both"/>
        <w:rPr/>
      </w:pP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 xml:space="preserve">Rok za podnošenje pismenih ponuda je 8 dana od dana objave natječaja. Pravo sudjelovanja imaju pravne i fizičke osobe koje su uplatile jamčevinu u visini od 10% početne cijene. Jamčevina se uplaćuje na žiro-račun Proračuna Grada Mali Lošinj, br. HR5624020061825200005, poziv na broj HR68-7757-OIB. Uvjeti natječaja i natječajna dokumentacija može se podignuti u zgradi Grada Mali Lošinj, ili na web stranici </w:t>
      </w:r>
      <w:hyperlink r:id="rId2">
        <w:r>
          <w:rPr>
            <w:rStyle w:val="Internetskapoveznica"/>
            <w:rFonts w:eastAsia="Times New Roman" w:cs="Segoe UI Semilight" w:ascii="Tahoma" w:hAnsi="Tahoma"/>
            <w:color w:val="00000A"/>
            <w:sz w:val="22"/>
            <w:szCs w:val="22"/>
            <w:lang w:val="hr-HR"/>
          </w:rPr>
          <w:t>www.mali-losinj.hr</w:t>
        </w:r>
      </w:hyperlink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>. Pismene ponude dostavljaju se poštom preporučeno ili neposrednom dostavom na adresu: Grad Mali Lošinj, Riva lošinjskih kapetana 7, Mali Lošinj, s naznakom "Za javni natječaj, ponuda za kupnju nekretnine - ne otvaraj". Grad Mali Lošinj pridržava pravo poništenja cijelog ili dijela javnog natječaja te da ne prihvati prispjele ponude.</w:t>
      </w:r>
    </w:p>
    <w:p>
      <w:pPr>
        <w:pStyle w:val="Normal"/>
        <w:bidi w:val="0"/>
        <w:jc w:val="left"/>
        <w:rPr/>
      </w:pPr>
      <w:r>
        <w:rPr>
          <w:rFonts w:eastAsia="Times New Roman" w:cs="Segoe UI Semilight" w:ascii="Tahoma" w:hAnsi="Tahoma"/>
          <w:color w:val="00000A"/>
          <w:sz w:val="22"/>
          <w:szCs w:val="22"/>
        </w:rPr>
        <w:tab/>
      </w:r>
    </w:p>
    <w:p>
      <w:pPr>
        <w:pStyle w:val="Normal"/>
        <w:bidi w:val="0"/>
        <w:jc w:val="left"/>
        <w:rPr/>
      </w:pPr>
      <w:r>
        <w:rPr>
          <w:rFonts w:eastAsia="Times New Roman" w:cs="Segoe UI Semilight" w:ascii="Tahoma" w:hAnsi="Tahoma"/>
          <w:color w:val="00000A"/>
          <w:sz w:val="22"/>
          <w:szCs w:val="22"/>
        </w:rPr>
        <w:tab/>
        <w:tab/>
        <w:tab/>
        <w:tab/>
        <w:tab/>
        <w:tab/>
        <w:tab/>
        <w:tab/>
        <w:t>GRAD MALI LOŠINJ</w:t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left"/>
        <w:rPr>
          <w:rFonts w:eastAsia="Times New Roman" w:cs="Segoe UI Semilight"/>
          <w:b w:val="false"/>
          <w:b w:val="false"/>
          <w:bCs w:val="false"/>
          <w:color w:val="00000A"/>
          <w:lang w:val="hr-HR"/>
        </w:rPr>
      </w:pPr>
      <w:r>
        <w:rPr>
          <w:rFonts w:eastAsia="Times New Roman" w:cs="Tahoma" w:ascii="Tahoma" w:hAnsi="Tahoma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  <w:t xml:space="preserve">KLASA: </w:t>
      </w:r>
      <w:r>
        <w:rPr>
          <w:rFonts w:eastAsia="Times New Roman" w:cs="Tahoma" w:ascii="Tahoma" w:hAnsi="Tahoma"/>
          <w:b w:val="false"/>
          <w:bCs w:val="false"/>
          <w:color w:val="00000A"/>
          <w:spacing w:val="-3"/>
          <w:sz w:val="22"/>
          <w:szCs w:val="22"/>
          <w:lang w:val="hr-HR" w:eastAsia="zxx" w:bidi="zxx"/>
        </w:rPr>
        <w:t>932-08/22-01/105</w:t>
      </w:r>
      <w:r>
        <w:rPr>
          <w:rFonts w:eastAsia="Times New Roman" w:cs="Tahoma" w:ascii="Tahoma" w:hAnsi="Tahoma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  <w:br/>
      </w:r>
      <w:r>
        <w:rPr>
          <w:rFonts w:eastAsia="Times New Roman" w:cs="Tahoma" w:ascii="Tahoma" w:hAnsi="Tahoma"/>
          <w:b w:val="false"/>
          <w:bCs w:val="false"/>
          <w:color w:val="00000A"/>
          <w:spacing w:val="0"/>
          <w:sz w:val="22"/>
          <w:szCs w:val="22"/>
          <w:highlight w:val="white"/>
          <w:lang w:val="hr-HR" w:eastAsia="zxx" w:bidi="zxx"/>
        </w:rPr>
        <w:t>URBROJ: 2170-10-01-25</w:t>
      </w:r>
      <w:r>
        <w:rPr>
          <w:rFonts w:eastAsia="Times New Roman" w:cs="Tahoma" w:ascii="Tahoma" w:hAnsi="Tahoma"/>
          <w:b w:val="false"/>
          <w:bCs w:val="false"/>
          <w:color w:val="00000A"/>
          <w:spacing w:val="0"/>
          <w:sz w:val="22"/>
          <w:szCs w:val="22"/>
          <w:lang w:val="hr-HR" w:eastAsia="zxx" w:bidi="zxx"/>
        </w:rPr>
        <w:t>-12</w:t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>
          <w:rFonts w:eastAsia="Times New Roman" w:cs="Segoe UI Semilight"/>
          <w:b/>
          <w:b/>
          <w:color w:val="00000A"/>
          <w:lang w:val="hr-HR"/>
        </w:rPr>
      </w:pPr>
      <w:r>
        <w:rPr>
          <w:rFonts w:eastAsia="Times New Roman" w:cs="Segoe UI Semilight"/>
          <w:b/>
          <w:color w:val="00000A"/>
          <w:lang w:val="hr-HR"/>
        </w:rPr>
      </w:r>
    </w:p>
    <w:p>
      <w:pPr>
        <w:pStyle w:val="Normal"/>
        <w:tabs>
          <w:tab w:val="left" w:pos="0" w:leader="none"/>
        </w:tabs>
        <w:bidi w:val="0"/>
        <w:jc w:val="both"/>
        <w:rPr/>
      </w:pPr>
      <w:r>
        <w:rPr>
          <w:rFonts w:eastAsia="Times New Roman" w:cs="Segoe UI Semilight" w:ascii="Tahoma" w:hAnsi="Tahoma"/>
          <w:b/>
          <w:color w:val="00000A"/>
          <w:sz w:val="22"/>
          <w:szCs w:val="22"/>
          <w:lang w:val="hr-HR"/>
        </w:rPr>
        <w:t>UVJETI JAVNOG NATJEČAJA ZA PRODAJU NEKRETNINA U VLASNIŠTVU GRADA MALOG LOŠINJA  RASPISAN DANA 09.02.</w:t>
      </w:r>
      <w:r>
        <w:rPr>
          <w:rFonts w:eastAsia="Times New Roman" w:cs="Segoe UI Semilight" w:ascii="Tahoma" w:hAnsi="Tahoma"/>
          <w:b/>
          <w:bCs/>
          <w:color w:val="00000A"/>
          <w:sz w:val="22"/>
          <w:szCs w:val="22"/>
          <w:lang w:val="hr-HR"/>
        </w:rPr>
        <w:t>2025. GODINE, OTVOREN DO 17.02.2025. GODINE</w:t>
      </w:r>
    </w:p>
    <w:p>
      <w:pPr>
        <w:pStyle w:val="Normal"/>
        <w:bidi w:val="0"/>
        <w:jc w:val="left"/>
        <w:rPr>
          <w:rFonts w:ascii="Tahoma" w:hAnsi="Tahoma" w:cs="Segoe UI Semilight"/>
          <w:sz w:val="22"/>
          <w:szCs w:val="22"/>
          <w:lang w:val="hr-HR"/>
        </w:rPr>
      </w:pPr>
      <w:r>
        <w:rPr>
          <w:rFonts w:cs="Segoe UI Semilight" w:ascii="Tahoma" w:hAnsi="Tahoma"/>
          <w:sz w:val="22"/>
          <w:szCs w:val="22"/>
          <w:lang w:val="hr-HR"/>
        </w:rPr>
      </w:r>
    </w:p>
    <w:p>
      <w:pPr>
        <w:pStyle w:val="Normal"/>
        <w:bidi w:val="0"/>
        <w:jc w:val="both"/>
        <w:rPr/>
      </w:pPr>
      <w:r>
        <w:rPr>
          <w:rFonts w:cs="Segoe UI Semilight" w:ascii="Tahoma" w:hAnsi="Tahoma"/>
          <w:sz w:val="22"/>
          <w:szCs w:val="22"/>
          <w:lang w:val="hr-HR"/>
        </w:rPr>
        <w:t>1.</w:t>
        <w:tab/>
        <w:t xml:space="preserve">Najpovoljniji natjecatelj je osoba koja ponudi najviši iznos (počevši od početne cijene), a u obzir se uzima i ako sudjeluje samo jedan natjecatelj. </w:t>
      </w:r>
    </w:p>
    <w:p>
      <w:pPr>
        <w:pStyle w:val="Normal"/>
        <w:bidi w:val="0"/>
        <w:jc w:val="both"/>
        <w:rPr/>
      </w:pPr>
      <w:r>
        <w:rPr>
          <w:rFonts w:cs="Segoe UI Semilight" w:ascii="Tahoma" w:hAnsi="Tahoma"/>
          <w:sz w:val="22"/>
          <w:szCs w:val="22"/>
          <w:lang w:val="hr-HR"/>
        </w:rPr>
        <w:t>2.</w:t>
        <w:tab/>
        <w:t>Nekretnin</w:t>
      </w:r>
      <w:r>
        <w:rPr>
          <w:rFonts w:cs="Segoe UI Semilight" w:ascii="Tahoma" w:hAnsi="Tahoma"/>
          <w:sz w:val="22"/>
          <w:szCs w:val="22"/>
          <w:lang w:val="hr-HR"/>
        </w:rPr>
        <w:t>e</w:t>
      </w:r>
      <w:r>
        <w:rPr>
          <w:rFonts w:cs="Segoe UI Semilight" w:ascii="Tahoma" w:hAnsi="Tahoma"/>
          <w:sz w:val="22"/>
          <w:szCs w:val="22"/>
          <w:lang w:val="hr-HR"/>
        </w:rPr>
        <w:t xml:space="preserve"> se prodaj</w:t>
      </w:r>
      <w:r>
        <w:rPr>
          <w:rFonts w:cs="Segoe UI Semilight" w:ascii="Tahoma" w:hAnsi="Tahoma"/>
          <w:sz w:val="22"/>
          <w:szCs w:val="22"/>
          <w:lang w:val="hr-HR"/>
        </w:rPr>
        <w:t>u</w:t>
      </w:r>
      <w:r>
        <w:rPr>
          <w:rFonts w:cs="Segoe UI Semilight" w:ascii="Tahoma" w:hAnsi="Tahoma"/>
          <w:sz w:val="22"/>
          <w:szCs w:val="22"/>
          <w:lang w:val="hr-HR"/>
        </w:rPr>
        <w:t xml:space="preserve"> u stanju u kojem se nalaz</w:t>
      </w:r>
      <w:r>
        <w:rPr>
          <w:rFonts w:cs="Segoe UI Semilight" w:ascii="Tahoma" w:hAnsi="Tahoma"/>
          <w:sz w:val="22"/>
          <w:szCs w:val="22"/>
          <w:lang w:val="hr-HR"/>
        </w:rPr>
        <w:t>e</w:t>
      </w:r>
      <w:r>
        <w:rPr>
          <w:rFonts w:cs="Segoe UI Semilight" w:ascii="Tahoma" w:hAnsi="Tahoma"/>
          <w:sz w:val="22"/>
          <w:szCs w:val="22"/>
          <w:lang w:val="hr-HR"/>
        </w:rPr>
        <w:t>, prema važećoj katastarskoj površini i kulturi, i u posjedu drug</w:t>
      </w:r>
      <w:r>
        <w:rPr>
          <w:rFonts w:cs="Segoe UI Semilight" w:ascii="Tahoma" w:hAnsi="Tahoma"/>
          <w:sz w:val="22"/>
          <w:szCs w:val="22"/>
          <w:lang w:val="hr-HR"/>
        </w:rPr>
        <w:t>ih</w:t>
      </w:r>
      <w:r>
        <w:rPr>
          <w:rFonts w:cs="Segoe UI Semilight" w:ascii="Tahoma" w:hAnsi="Tahoma"/>
          <w:sz w:val="22"/>
          <w:szCs w:val="22"/>
          <w:lang w:val="hr-HR"/>
        </w:rPr>
        <w:t xml:space="preserve"> osob</w:t>
      </w:r>
      <w:r>
        <w:rPr>
          <w:rFonts w:cs="Segoe UI Semilight" w:ascii="Tahoma" w:hAnsi="Tahoma"/>
          <w:sz w:val="22"/>
          <w:szCs w:val="22"/>
          <w:lang w:val="hr-HR"/>
        </w:rPr>
        <w:t>a</w:t>
      </w:r>
      <w:r>
        <w:rPr>
          <w:rFonts w:cs="Segoe UI Semilight" w:ascii="Tahoma" w:hAnsi="Tahoma"/>
          <w:sz w:val="22"/>
          <w:szCs w:val="22"/>
          <w:lang w:val="hr-HR"/>
        </w:rPr>
        <w:t xml:space="preserve">. Prodaja k.č.br. 2922/5 k.o. Veli Lošinj predstavlja uređenje imovinskopravnih odnosa za dvorište i terasu koja pripada kući i suvlasniku iste kuće. </w:t>
      </w:r>
      <w:r>
        <w:rPr>
          <w:rFonts w:cs="Segoe UI Semilight" w:ascii="Tahoma" w:hAnsi="Tahoma"/>
          <w:sz w:val="22"/>
          <w:szCs w:val="22"/>
          <w:lang w:val="hr-HR"/>
        </w:rPr>
        <w:t>Nadalje, k.č.br. 2436/6 k.o. Mali Lošinj - grad se nalazi u zakupu i posjedu druge osobe.</w:t>
      </w:r>
    </w:p>
    <w:p>
      <w:pPr>
        <w:pStyle w:val="Normal"/>
        <w:bidi w:val="0"/>
        <w:jc w:val="both"/>
        <w:rPr/>
      </w:pPr>
      <w:r>
        <w:rPr>
          <w:rFonts w:cs="Segoe UI Semilight" w:ascii="Tahoma" w:hAnsi="Tahoma"/>
          <w:sz w:val="22"/>
          <w:szCs w:val="22"/>
          <w:lang w:val="hr-HR"/>
        </w:rPr>
        <w:t>3.</w:t>
        <w:tab/>
        <w:t>Jamčevina iznosi 10% od ukupne početne cijene raspisane javnim natječajem. Svaki natjecatelj u svojoj ponudi mora dostaviti valjani dokaz o uplaćenoj jamčevini (kopija uplatnice, virmana, potvrda NETbankinga i sl.)</w:t>
      </w:r>
    </w:p>
    <w:p>
      <w:pPr>
        <w:pStyle w:val="Normal"/>
        <w:tabs>
          <w:tab w:val="left" w:pos="0" w:leader="none"/>
        </w:tabs>
        <w:bidi w:val="0"/>
        <w:jc w:val="both"/>
        <w:rPr/>
      </w:pP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 xml:space="preserve">4.   </w:t>
        <w:tab/>
        <w:t>Sa natjecateljem koji je ponudio najveću cijenu, tj. s najpovoljnijim natjecateljem sklopiti će se kupoprodajni ugovor u roku od 15 dana od dana donošenja Odluke o utvrđivanju najpovoljnijeg natjecatelja. U slučaju odustanka prvog najboljeg natjecatelja u tom roku, najboljim natjecateljem će se smatrati sljedeći natjecatelj koji je ponudio najvišu cijenu, uz uvjet da prihvati najvišu ponuđenu cijenu prvog natjecatelja te će se kupoprodajni ugovor sklopiti s tim sljedećim najpovoljnijim natjecateljem. U slučaju da se utvrdi da dva ili više natjecatelja u svojoj ponudi nude jednaku cijenu, a drugih većih ponuda nema, provest će se postupak usmenog nadmetanja - licitacija. Licitaciju provodi Povjerenstvo.</w:t>
      </w:r>
    </w:p>
    <w:p>
      <w:pPr>
        <w:pStyle w:val="Normal"/>
        <w:tabs>
          <w:tab w:val="left" w:pos="0" w:leader="none"/>
        </w:tabs>
        <w:bidi w:val="0"/>
        <w:jc w:val="both"/>
        <w:rPr/>
      </w:pP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>5.</w:t>
        <w:tab/>
        <w:t xml:space="preserve">Jamčevina se uračunava u ukupnu kupoprodajnu cijenu. Uplata kupoprodajne cijene mora se izvršiti u cijelosti, u roku od 30 dana od datuma sklapanja ugovora. U slučaju da kupac zakasni s plaćanjem u predviđenom roku, Grad Mali Lošinj može raskinuti kupoprodajni ugovor i zadržati uplaćenu jamčevinu. </w:t>
      </w:r>
      <w:r>
        <w:rPr>
          <w:rFonts w:eastAsia="Times New Roman" w:cs="Segoe UI Semilight" w:ascii="Tahoma" w:hAnsi="Tahoma"/>
          <w:color w:val="00000A"/>
          <w:sz w:val="22"/>
          <w:szCs w:val="22"/>
          <w:u w:val="single"/>
          <w:lang w:val="hr-HR"/>
        </w:rPr>
        <w:t>Trošak procjene nekretnine iz javnog natječaja snositi će najpovoljniji natjecatelj odnosno kupac svake pojedine nekretnine.</w:t>
      </w:r>
    </w:p>
    <w:p>
      <w:pPr>
        <w:pStyle w:val="Normal"/>
        <w:tabs>
          <w:tab w:val="left" w:pos="0" w:leader="none"/>
        </w:tabs>
        <w:bidi w:val="0"/>
        <w:jc w:val="both"/>
        <w:rPr/>
      </w:pP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>6.</w:t>
        <w:tab/>
        <w:t>Natjecatelj koji odustane od zaključenja kupoprodajnog ugovora nakon što je Odlukom Gradonačelnika utvrđen kao najpovoljniji natjecatelj, koji ne sklopi ugovor o kupoprodaji nekretnine u roku predviđenom u t. 4. te koji nije izvršio uplatu cijele kupoprodajne cijene u roku od 30 dana od dana sklapanja kupoprodajnog ugovora, nema pravo na povrat jamčevine.</w:t>
      </w:r>
    </w:p>
    <w:p>
      <w:pPr>
        <w:pStyle w:val="Normal"/>
        <w:tabs>
          <w:tab w:val="left" w:pos="0" w:leader="none"/>
        </w:tabs>
        <w:bidi w:val="0"/>
        <w:jc w:val="both"/>
        <w:rPr/>
      </w:pP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>7.</w:t>
        <w:tab/>
        <w:t xml:space="preserve">Natjecatelju koji ne uspije u natječaju, jamčevina se vraća u roku od 15 dana od dana donošenja Odluke o utvrđivanju najpovoljnijeg natjecatelja, stoga svaki natjecatelj u svojoj ponudi treba naznačiti broj računa na koji se može izvršiti povrat jamčevine. </w:t>
      </w:r>
    </w:p>
    <w:p>
      <w:pPr>
        <w:pStyle w:val="Normal"/>
        <w:tabs>
          <w:tab w:val="left" w:pos="0" w:leader="none"/>
        </w:tabs>
        <w:bidi w:val="0"/>
        <w:jc w:val="both"/>
        <w:rPr/>
      </w:pP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>8.</w:t>
        <w:tab/>
        <w:t xml:space="preserve">Na javnom natječaju mogu sudjelovati hrvatski državljani, državljani Europske Unije i pravne osobe registrirane u Republici Hrvatskoj i EU. </w:t>
      </w:r>
    </w:p>
    <w:p>
      <w:pPr>
        <w:pStyle w:val="Normal"/>
        <w:tabs>
          <w:tab w:val="left" w:pos="0" w:leader="none"/>
        </w:tabs>
        <w:bidi w:val="0"/>
        <w:jc w:val="both"/>
        <w:rPr/>
      </w:pP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>9.</w:t>
        <w:tab/>
      </w:r>
      <w:r>
        <w:rPr>
          <w:rFonts w:eastAsia="Times New Roman" w:cs="Segoe UI Semilight" w:ascii="Tahoma" w:hAnsi="Tahoma"/>
          <w:color w:val="00000A"/>
          <w:sz w:val="22"/>
          <w:szCs w:val="22"/>
          <w:u w:val="single"/>
          <w:lang w:val="hr-HR"/>
        </w:rPr>
        <w:t>Ponuda mora sadržavati</w:t>
      </w: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 xml:space="preserve">: OBRAZAC PONUDE sa imenom, prezimenom, OIB-om i adresom natjecatelja, oznaku nekretnine, izjavu o prihvaćanju uvjeta iz natječaja, dokaz o uplaćenoj jamčevini, dokaz o hrvatskom državljanstvu ili o državljanstvu članice Europske Unije za fizičke osobe, odnosno izvadak iz sudskog registra za pravne osobe i OBRAZAC PONUĐENE CIJENE sa </w:t>
      </w:r>
      <w:r>
        <w:rPr>
          <w:rFonts w:eastAsia="Times New Roman" w:cs="Segoe UI Semilight" w:ascii="Tahoma" w:hAnsi="Tahoma"/>
          <w:color w:val="00000A"/>
          <w:sz w:val="22"/>
          <w:szCs w:val="22"/>
          <w:u w:val="single"/>
          <w:lang w:val="hr-HR"/>
        </w:rPr>
        <w:t>ponuđenim iznosom cijene u jediničnom i ukupnom iznosu.</w:t>
      </w:r>
    </w:p>
    <w:p>
      <w:pPr>
        <w:pStyle w:val="Normal"/>
        <w:tabs>
          <w:tab w:val="left" w:pos="0" w:leader="none"/>
        </w:tabs>
        <w:bidi w:val="0"/>
        <w:jc w:val="both"/>
        <w:rPr/>
      </w:pP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>10.</w:t>
        <w:tab/>
        <w:t xml:space="preserve">Nepotpuna ponuda je ona koja ne sadržava jedan ili više gore navedenih obaveznih elemenata. Nepravovremena ponuda je ona koja je pristigla izvan roka propisanog natječajem. Nepotpune i nepravovremene ponude neće biti razmatrane. </w:t>
      </w:r>
    </w:p>
    <w:p>
      <w:pPr>
        <w:pStyle w:val="Normal"/>
        <w:tabs>
          <w:tab w:val="left" w:pos="0" w:leader="none"/>
        </w:tabs>
        <w:bidi w:val="0"/>
        <w:jc w:val="both"/>
        <w:rPr/>
      </w:pP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>11.</w:t>
        <w:tab/>
        <w:t xml:space="preserve">Ponuda u pravilu treba biti dostavljena u </w:t>
      </w:r>
      <w:r>
        <w:rPr>
          <w:rFonts w:eastAsia="Times New Roman" w:cs="Segoe UI Semilight" w:ascii="Tahoma" w:hAnsi="Tahoma"/>
          <w:color w:val="00000A"/>
          <w:sz w:val="22"/>
          <w:szCs w:val="22"/>
          <w:u w:val="single"/>
          <w:lang w:val="hr-HR"/>
        </w:rPr>
        <w:t>dvostrukoj omotnici</w:t>
      </w: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 xml:space="preserve">, na način da </w:t>
      </w:r>
      <w:r>
        <w:rPr>
          <w:rFonts w:eastAsia="Times New Roman" w:cs="Segoe UI Semilight" w:ascii="Tahoma" w:hAnsi="Tahoma"/>
          <w:color w:val="00000A"/>
          <w:sz w:val="22"/>
          <w:szCs w:val="22"/>
          <w:u w:val="none"/>
          <w:lang w:val="hr-HR"/>
        </w:rPr>
        <w:t>obrazac sa ponuđenim iznosom cijene treba biti odvojen od ostalih elemenata ponude (navedenih u točki 9</w:t>
      </w: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>.) u zasebnoj omotnici. Otvaranje ponuda obavit će se</w:t>
      </w:r>
      <w:r>
        <w:rPr>
          <w:rFonts w:eastAsia="Times New Roman" w:cs="Segoe UI Semilight" w:ascii="Tahoma" w:hAnsi="Tahoma"/>
          <w:color w:val="00000A"/>
          <w:sz w:val="22"/>
          <w:szCs w:val="22"/>
          <w:u w:val="single"/>
          <w:lang w:val="hr-HR"/>
        </w:rPr>
        <w:t xml:space="preserve"> </w:t>
      </w:r>
      <w:r>
        <w:rPr>
          <w:rFonts w:eastAsia="Times New Roman" w:cs="Segoe UI Semilight" w:ascii="Tahoma" w:hAnsi="Tahoma"/>
          <w:b/>
          <w:bCs/>
          <w:color w:val="00000A"/>
          <w:sz w:val="22"/>
          <w:szCs w:val="22"/>
          <w:u w:val="single"/>
          <w:lang w:val="hr-HR"/>
        </w:rPr>
        <w:t>19.02.2025. godine u 13.00 sati</w:t>
      </w:r>
      <w:r>
        <w:rPr>
          <w:rFonts w:eastAsia="Times New Roman" w:cs="Segoe UI Semilight" w:ascii="Tahoma" w:hAnsi="Tahoma"/>
          <w:color w:val="00000A"/>
          <w:sz w:val="22"/>
          <w:szCs w:val="22"/>
          <w:u w:val="single"/>
          <w:lang w:val="hr-HR"/>
        </w:rPr>
        <w:t>, u zgradi Grada Malog Lošinja, Riva lošinjskih kapetana 7, soba br. 7.</w:t>
      </w: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 xml:space="preserve"> Otvaranju ponuda mogu biti prisutni natjecatelji osobno ili njihovi punomoćnici uz valjanu punomoć. Otvaranje ponuda provodi Povjerenstvo za provedbu natječaja za raspolaganje nekretninama u vlasništvu Grada Mali Lošinj.</w:t>
      </w:r>
    </w:p>
    <w:p>
      <w:pPr>
        <w:pStyle w:val="Normal"/>
        <w:tabs>
          <w:tab w:val="left" w:pos="0" w:leader="none"/>
        </w:tabs>
        <w:bidi w:val="0"/>
        <w:jc w:val="both"/>
        <w:rPr/>
      </w:pP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>12.</w:t>
        <w:tab/>
        <w:t>Gradonačelnica nakon otvaranja ponuda donosi Odluku o utvrđivanju najpovoljnijeg natjecatelja. Grad Mali Lošinj pridržava pravo poništenja cijelog ili dijela javnog natječaja te da ne prihvati nijednu od prispjelih ponuda, bez posebnog obrazloženja.</w:t>
      </w:r>
    </w:p>
    <w:p>
      <w:pPr>
        <w:pStyle w:val="Normal"/>
        <w:bidi w:val="0"/>
        <w:jc w:val="both"/>
        <w:rPr>
          <w:rFonts w:eastAsia="Times New Roman" w:cs="Segoe UI Semilight"/>
          <w:color w:val="00000A"/>
          <w:lang w:val="hr-HR"/>
        </w:rPr>
      </w:pPr>
      <w:r>
        <w:rPr>
          <w:rFonts w:eastAsia="Times New Roman" w:cs="Segoe UI Semilight"/>
          <w:color w:val="00000A"/>
          <w:lang w:val="hr-HR"/>
        </w:rPr>
      </w:r>
    </w:p>
    <w:p>
      <w:pPr>
        <w:pStyle w:val="Normal"/>
        <w:bidi w:val="0"/>
        <w:jc w:val="both"/>
        <w:rPr/>
      </w:pPr>
      <w:r>
        <w:rPr>
          <w:rFonts w:eastAsia="Times New Roman" w:cs="Segoe UI Semilight" w:ascii="Tahoma" w:hAnsi="Tahoma"/>
          <w:color w:val="00000A"/>
          <w:sz w:val="22"/>
          <w:szCs w:val="22"/>
          <w:lang w:val="hr-HR"/>
        </w:rPr>
        <w:tab/>
        <w:tab/>
        <w:tab/>
        <w:tab/>
        <w:tab/>
        <w:tab/>
        <w:tab/>
        <w:tab/>
        <w:tab/>
        <w:tab/>
        <w:t>GRAD MALI LOŠINJ</w:t>
      </w:r>
    </w:p>
    <w:p>
      <w:pPr>
        <w:pStyle w:val="Normal"/>
        <w:bidi w:val="0"/>
        <w:jc w:val="both"/>
        <w:rPr>
          <w:rFonts w:ascii="Tahoma" w:hAnsi="Tahoma" w:cs="Segoe UI Semilight"/>
          <w:sz w:val="22"/>
          <w:szCs w:val="22"/>
        </w:rPr>
      </w:pPr>
      <w:r>
        <w:rPr>
          <w:rFonts w:cs="Segoe UI Semilight" w:ascii="Tahoma" w:hAnsi="Tahoma"/>
          <w:sz w:val="22"/>
          <w:szCs w:val="22"/>
        </w:rPr>
      </w:r>
    </w:p>
    <w:p>
      <w:pPr>
        <w:pStyle w:val="Normal"/>
        <w:tabs>
          <w:tab w:val="left" w:pos="0" w:leader="none"/>
        </w:tabs>
        <w:bidi w:val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tabs>
          <w:tab w:val="left" w:pos="0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/>
      </w:pPr>
      <w:r>
        <w:rPr>
          <w:rFonts w:eastAsia="Times New Roman" w:cs="Tahoma" w:ascii="Tahoma" w:hAnsi="Tahoma"/>
          <w:b/>
          <w:bCs/>
          <w:color w:val="00000A"/>
          <w:sz w:val="30"/>
          <w:szCs w:val="30"/>
          <w:lang w:val="hr-HR" w:eastAsia="zxx" w:bidi="zxx"/>
        </w:rPr>
        <w:t>OBRAZAC  PONUDE</w:t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rPr/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  <w:t>Natjecatelj: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  <w:t>______________________________________</w:t>
      </w:r>
    </w:p>
    <w:p>
      <w:pPr>
        <w:pStyle w:val="Normal"/>
        <w:ind w:left="0" w:right="0" w:firstLine="720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  <w:t>(ime i prezime , ili naziv tvrtke)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  <w:t>______________________________________</w:t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  <w:tab/>
        <w:tab/>
        <w:t>(službena adresa, OIB)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jc w:val="both"/>
        <w:rPr/>
      </w:pPr>
      <w:r>
        <w:rPr>
          <w:rFonts w:eastAsia="Tahoma" w:cs="Tahoma" w:ascii="Tahoma" w:hAnsi="Tahoma"/>
          <w:color w:val="00000A"/>
          <w:sz w:val="22"/>
          <w:szCs w:val="22"/>
          <w:lang w:val="hr-HR" w:eastAsia="zxx" w:bidi="zxx"/>
        </w:rPr>
        <w:t xml:space="preserve"> </w:t>
      </w: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  <w:tab/>
      </w:r>
    </w:p>
    <w:p>
      <w:pPr>
        <w:pStyle w:val="Normal"/>
        <w:ind w:left="0" w:right="0" w:firstLine="720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  <w:tab/>
        <w:tab/>
        <w:tab/>
        <w:tab/>
        <w:tab/>
        <w:tab/>
        <w:tab/>
        <w:tab/>
      </w:r>
      <w:r>
        <w:rPr>
          <w:rFonts w:eastAsia="Times New Roman" w:cs="Tahoma" w:ascii="Tahoma" w:hAnsi="Tahoma"/>
          <w:b/>
          <w:color w:val="00000A"/>
          <w:sz w:val="22"/>
          <w:szCs w:val="22"/>
          <w:lang w:val="hr-HR" w:eastAsia="zxx" w:bidi="zxx"/>
        </w:rPr>
        <w:t>GRAD MALI LOŠINJ</w:t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b/>
          <w:color w:val="00000A"/>
          <w:sz w:val="22"/>
          <w:szCs w:val="22"/>
          <w:lang w:val="hr-HR" w:eastAsia="zxx" w:bidi="zxx"/>
        </w:rPr>
        <w:tab/>
        <w:tab/>
        <w:tab/>
        <w:tab/>
        <w:tab/>
        <w:tab/>
        <w:tab/>
        <w:tab/>
        <w:tab/>
        <w:t>Riva lošinjskih kapetana 7</w:t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b/>
          <w:color w:val="00000A"/>
          <w:sz w:val="22"/>
          <w:szCs w:val="22"/>
          <w:lang w:val="hr-HR" w:eastAsia="zxx" w:bidi="zxx"/>
        </w:rPr>
        <w:tab/>
        <w:tab/>
        <w:tab/>
        <w:tab/>
        <w:tab/>
        <w:tab/>
        <w:tab/>
        <w:tab/>
        <w:tab/>
        <w:t>51550 Mali Lošinj</w:t>
      </w:r>
    </w:p>
    <w:p>
      <w:pPr>
        <w:pStyle w:val="Normal"/>
        <w:jc w:val="both"/>
        <w:rPr>
          <w:rFonts w:ascii="Tahoma" w:hAnsi="Tahoma" w:eastAsia="Times New Roman" w:cs="Tahoma"/>
          <w:b/>
          <w:b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b/>
          <w:color w:val="00000A"/>
          <w:sz w:val="22"/>
          <w:szCs w:val="22"/>
          <w:lang w:val="hr-HR" w:eastAsia="zxx" w:bidi="zxx"/>
        </w:rPr>
      </w:r>
    </w:p>
    <w:p>
      <w:pPr>
        <w:pStyle w:val="Normal"/>
        <w:jc w:val="both"/>
        <w:rPr>
          <w:rFonts w:ascii="Tahoma" w:hAnsi="Tahoma" w:eastAsia="Times New Roman" w:cs="Tahoma"/>
          <w:b/>
          <w:b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b/>
          <w:color w:val="00000A"/>
          <w:sz w:val="22"/>
          <w:szCs w:val="22"/>
          <w:lang w:val="hr-HR" w:eastAsia="zxx" w:bidi="zxx"/>
        </w:rPr>
      </w:r>
    </w:p>
    <w:p>
      <w:pPr>
        <w:pStyle w:val="Stilnaslova1"/>
        <w:numPr>
          <w:ilvl w:val="0"/>
          <w:numId w:val="3"/>
        </w:numPr>
        <w:jc w:val="center"/>
        <w:rPr/>
      </w:pPr>
      <w:r>
        <w:rPr>
          <w:rFonts w:eastAsia="Times New Roman" w:cs="Tahoma" w:ascii="Tahoma" w:hAnsi="Tahoma"/>
          <w:b/>
          <w:color w:val="00000A"/>
          <w:spacing w:val="0"/>
          <w:sz w:val="22"/>
          <w:szCs w:val="22"/>
          <w:lang w:val="hr-HR" w:eastAsia="zxx" w:bidi="zxx"/>
        </w:rPr>
        <w:t>P O N U D A</w:t>
      </w:r>
    </w:p>
    <w:p>
      <w:pPr>
        <w:pStyle w:val="Normal"/>
        <w:jc w:val="center"/>
        <w:rPr>
          <w:rFonts w:ascii="Tahoma" w:hAnsi="Tahoma" w:eastAsia="Times New Roman" w:cs="Tahoma"/>
          <w:b/>
          <w:b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b/>
          <w:color w:val="00000A"/>
          <w:sz w:val="22"/>
          <w:szCs w:val="22"/>
          <w:lang w:val="hr-HR" w:eastAsia="zxx" w:bidi="zxx"/>
        </w:rPr>
      </w:r>
    </w:p>
    <w:p>
      <w:pPr>
        <w:pStyle w:val="Normal"/>
        <w:jc w:val="center"/>
        <w:rPr/>
      </w:pPr>
      <w:r>
        <w:rPr>
          <w:rFonts w:eastAsia="Times New Roman" w:cs="Tahoma" w:ascii="Tahoma" w:hAnsi="Tahoma"/>
          <w:b/>
          <w:color w:val="00000A"/>
          <w:sz w:val="22"/>
          <w:szCs w:val="22"/>
          <w:lang w:val="hr-HR" w:eastAsia="zxx" w:bidi="zxx"/>
        </w:rPr>
        <w:t>ZA KUPNJU NEKRETNINA U VLASNIŠTVU GRADA MALOG LOŠINJA OGLAŠENIH U JAVNOM NATJEČAJU  DANA 09.02.2025.</w:t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pBdr>
          <w:bottom w:val="single" w:sz="8" w:space="1" w:color="000001"/>
        </w:pBdr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  <w:lang w:val="en-AU" w:eastAsia="zxx" w:bidi="zxx"/>
        </w:rPr>
        <w:tab/>
      </w:r>
    </w:p>
    <w:p>
      <w:pPr>
        <w:pStyle w:val="Normal"/>
        <w:pBdr>
          <w:bottom w:val="single" w:sz="8" w:space="1" w:color="000001"/>
        </w:pBdr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  <w:t>Opis nekretnine iz teksta javnog natječaja:</w:t>
      </w:r>
    </w:p>
    <w:p>
      <w:pPr>
        <w:pStyle w:val="Normal"/>
        <w:pBdr>
          <w:bottom w:val="single" w:sz="8" w:space="1" w:color="000001"/>
        </w:pBdr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pBdr>
          <w:top w:val="single" w:sz="8" w:space="1" w:color="000001"/>
          <w:bottom w:val="single" w:sz="8" w:space="1" w:color="000001"/>
        </w:pBdr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en-AU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en-AU" w:eastAsia="zxx" w:bidi="zxx"/>
        </w:rPr>
      </w:r>
    </w:p>
    <w:p>
      <w:pPr>
        <w:pStyle w:val="Normal"/>
        <w:jc w:val="center"/>
        <w:rPr/>
      </w:pPr>
      <w:r>
        <w:rPr>
          <w:rFonts w:eastAsia="Times New Roman" w:cs="Tahoma" w:ascii="Tahoma" w:hAnsi="Tahoma"/>
          <w:b/>
          <w:bCs/>
          <w:color w:val="00000A"/>
          <w:sz w:val="22"/>
          <w:szCs w:val="22"/>
          <w:lang w:val="en-AU" w:eastAsia="zxx" w:bidi="zxx"/>
        </w:rPr>
        <w:t>I Z J A V A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en-AU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en-AU" w:eastAsia="zxx" w:bidi="zxx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b/>
          <w:bCs/>
          <w:color w:val="00000A"/>
          <w:sz w:val="22"/>
          <w:szCs w:val="22"/>
          <w:u w:val="single"/>
          <w:lang w:val="hr-HR" w:eastAsia="zxx" w:bidi="zxx"/>
        </w:rPr>
        <w:t>Poznati su mi uvjeti natječaja, te izjavljujem da prihvaćam uvjete iz javnog natječaja.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  <w:tab/>
        <w:t>Kao dokaz o plaćenoj jamčevini u visini od 10% od početne cijene, prilažem potvrdu o izvršenom plaćanju.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  <w:tab/>
        <w:t>Kao dokaz o hrvatskom državljanstvu ili o državljanstvu članice Europske unije prilažem važeći dokument (preslika domovnice, osobne iskaznice ili putovnice), odnosno kao dokaz o registraciji pravne osobe, prilažem ovjereno Rješenje o upisu u sudski registar.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  <w:tab/>
        <w:t xml:space="preserve">U slučaju povrata jamčevine, prilažem broj računa na koji se može izvršiti povrat jamčevine: </w:t>
      </w:r>
    </w:p>
    <w:p>
      <w:pPr>
        <w:pStyle w:val="Normal"/>
        <w:pBdr>
          <w:top w:val="single" w:sz="8" w:space="1" w:color="000001"/>
          <w:bottom w:val="single" w:sz="8" w:space="1" w:color="000001"/>
        </w:pBdr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pBdr>
          <w:top w:val="single" w:sz="8" w:space="1" w:color="000001"/>
          <w:bottom w:val="single" w:sz="8" w:space="1" w:color="000001"/>
        </w:pBdr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  <w:t>banka: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jc w:val="both"/>
        <w:rPr/>
      </w:pPr>
      <w:r>
        <w:rPr>
          <w:rFonts w:eastAsia="Tahoma" w:cs="Tahoma" w:ascii="Tahoma" w:hAnsi="Tahoma"/>
          <w:color w:val="00000A"/>
          <w:sz w:val="22"/>
          <w:szCs w:val="22"/>
          <w:lang w:val="hr-HR" w:eastAsia="zxx" w:bidi="zxx"/>
        </w:rPr>
        <w:t xml:space="preserve"> </w:t>
      </w: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  <w:tab/>
        <w:tab/>
        <w:tab/>
        <w:tab/>
        <w:tab/>
        <w:tab/>
        <w:tab/>
        <w:t>_________________________________</w:t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  <w:tab/>
        <w:tab/>
        <w:tab/>
        <w:tab/>
        <w:tab/>
        <w:tab/>
        <w:t xml:space="preserve">          (potpis natjecatelja, ili pečat </w:t>
        <w:tab/>
        <w:t>pravne osobe)</w:t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  <w:lang w:val="en-AU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en-AU" w:eastAsia="zxx" w:bidi="zxx"/>
        </w:rPr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  <w:lang w:val="en-AU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en-AU" w:eastAsia="zxx" w:bidi="zxx"/>
        </w:rPr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  <w:lang w:val="en-AU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en-AU" w:eastAsia="zxx" w:bidi="zxx"/>
        </w:rPr>
      </w:r>
    </w:p>
    <w:p>
      <w:pPr>
        <w:pStyle w:val="Normal"/>
        <w:rPr>
          <w:rFonts w:ascii="Tahoma" w:hAnsi="Tahoma" w:eastAsia="Times New Roman" w:cs="Tahoma"/>
          <w:b/>
          <w:b/>
          <w:bCs/>
          <w:color w:val="00000A"/>
          <w:sz w:val="30"/>
          <w:szCs w:val="30"/>
          <w:lang w:val="en-AU" w:eastAsia="zxx" w:bidi="zxx"/>
        </w:rPr>
      </w:pPr>
      <w:r>
        <w:rPr>
          <w:rFonts w:eastAsia="Times New Roman" w:cs="Tahoma" w:ascii="Tahoma" w:hAnsi="Tahoma"/>
          <w:b/>
          <w:bCs/>
          <w:color w:val="00000A"/>
          <w:sz w:val="30"/>
          <w:szCs w:val="30"/>
          <w:lang w:val="en-AU" w:eastAsia="zxx" w:bidi="zxx"/>
        </w:rPr>
      </w:r>
    </w:p>
    <w:p>
      <w:pPr>
        <w:pStyle w:val="Normal"/>
        <w:rPr/>
      </w:pPr>
      <w:r>
        <w:rPr>
          <w:rFonts w:eastAsia="Times New Roman" w:cs="Tahoma" w:ascii="Tahoma" w:hAnsi="Tahoma"/>
          <w:b/>
          <w:bCs/>
          <w:color w:val="00000A"/>
          <w:position w:val="30"/>
          <w:sz w:val="30"/>
          <w:szCs w:val="30"/>
          <w:lang w:val="en-AU" w:eastAsia="zxx" w:bidi="zxx"/>
        </w:rPr>
        <w:t>OBRAZAC  PONUĐENE  CIJENE</w:t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  <w:lang w:val="en-AU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en-AU" w:eastAsia="zxx" w:bidi="zxx"/>
        </w:rPr>
      </w:r>
    </w:p>
    <w:p>
      <w:pPr>
        <w:pStyle w:val="Normal"/>
        <w:jc w:val="center"/>
        <w:rPr>
          <w:rFonts w:ascii="Tahoma" w:hAnsi="Tahoma" w:eastAsia="Times New Roman" w:cs="Tahoma"/>
          <w:color w:val="00000A"/>
          <w:sz w:val="22"/>
          <w:szCs w:val="22"/>
          <w:lang w:val="en-AU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en-AU" w:eastAsia="zxx" w:bidi="zxx"/>
        </w:rPr>
      </w:r>
    </w:p>
    <w:p>
      <w:pPr>
        <w:pStyle w:val="Normal"/>
        <w:jc w:val="center"/>
        <w:rPr/>
      </w:pPr>
      <w:r>
        <w:rPr>
          <w:rFonts w:eastAsia="Times New Roman" w:cs="Tahoma" w:ascii="Tahoma" w:hAnsi="Tahoma"/>
          <w:color w:val="00000A"/>
          <w:position w:val="6"/>
          <w:sz w:val="22"/>
          <w:szCs w:val="22"/>
          <w:lang w:val="en-AU" w:eastAsia="zxx" w:bidi="zxx"/>
        </w:rPr>
        <w:t>PONUĐENA CIJENA</w:t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  <w:lang w:val="en-AU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en-AU" w:eastAsia="zxx" w:bidi="zxx"/>
        </w:rPr>
      </w:r>
    </w:p>
    <w:tbl>
      <w:tblPr>
        <w:tblW w:w="9879" w:type="dxa"/>
        <w:jc w:val="left"/>
        <w:tblInd w:w="-8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9879"/>
      </w:tblGrid>
      <w:tr>
        <w:trPr/>
        <w:tc>
          <w:tcPr>
            <w:tcW w:w="9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adrajitablice"/>
              <w:snapToGrid w:val="false"/>
              <w:rPr>
                <w:rFonts w:ascii="Tahoma" w:hAnsi="Tahoma" w:eastAsia="Times New Roman" w:cs="Tahoma"/>
                <w:color w:val="00000A"/>
                <w:sz w:val="22"/>
                <w:szCs w:val="22"/>
                <w:lang w:val="en-AU" w:eastAsia="zxx" w:bidi="zxx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en-AU" w:eastAsia="zxx" w:bidi="zxx"/>
              </w:rPr>
            </w:r>
          </w:p>
          <w:p>
            <w:pPr>
              <w:pStyle w:val="Sadrajitablice"/>
              <w:snapToGrid w:val="false"/>
              <w:rPr>
                <w:rFonts w:ascii="Tahoma" w:hAnsi="Tahoma" w:eastAsia="Times New Roman" w:cs="Tahoma"/>
                <w:color w:val="00000A"/>
                <w:sz w:val="22"/>
                <w:szCs w:val="22"/>
                <w:lang w:val="en-AU" w:eastAsia="zxx" w:bidi="zxx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en-AU" w:eastAsia="zxx" w:bidi="zxx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eastAsia="Tahoma" w:cs="Tahoma" w:ascii="Tahoma" w:hAnsi="Tahoma"/>
                <w:color w:val="00000A"/>
                <w:position w:val="6"/>
                <w:sz w:val="22"/>
                <w:szCs w:val="22"/>
                <w:lang w:val="hr-HR" w:eastAsia="zxx" w:bidi="zxx"/>
              </w:rPr>
              <w:t xml:space="preserve"> </w:t>
            </w:r>
            <w:r>
              <w:rPr>
                <w:rFonts w:eastAsia="Times New Roman" w:cs="Tahoma" w:ascii="Tahoma" w:hAnsi="Tahoma"/>
                <w:color w:val="00000A"/>
                <w:position w:val="0"/>
                <w:sz w:val="22"/>
                <w:sz w:val="22"/>
                <w:szCs w:val="22"/>
                <w:vertAlign w:val="baseline"/>
                <w:lang w:val="hr-HR" w:eastAsia="zxx" w:bidi="zxx"/>
              </w:rPr>
              <w:t>Za nekretninu k.č.br.                , nudim cijenu od:</w:t>
            </w:r>
          </w:p>
          <w:p>
            <w:pPr>
              <w:pStyle w:val="Normal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xx" w:bidi="zxx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xx" w:bidi="zxx"/>
              </w:rPr>
            </w:r>
          </w:p>
          <w:p>
            <w:pPr>
              <w:pStyle w:val="Normal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xx" w:bidi="zxx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xx" w:bidi="zxx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ahoma" w:ascii="Tahoma" w:hAnsi="Tahoma"/>
                <w:color w:val="00000A"/>
                <w:position w:val="6"/>
                <w:sz w:val="22"/>
                <w:szCs w:val="22"/>
                <w:lang w:val="hr-HR" w:eastAsia="zxx" w:bidi="zxx"/>
              </w:rPr>
              <w:t xml:space="preserve">___________________________________________   (€/m²) kn po četvornom metru, odnosno </w:t>
            </w:r>
          </w:p>
          <w:p>
            <w:pPr>
              <w:pStyle w:val="Normal"/>
              <w:jc w:val="both"/>
              <w:rPr/>
            </w:pPr>
            <w:r>
              <w:rPr>
                <w:rFonts w:eastAsia="Tahoma" w:cs="Tahoma" w:ascii="Tahoma" w:hAnsi="Tahoma"/>
                <w:color w:val="00000A"/>
                <w:sz w:val="22"/>
                <w:szCs w:val="22"/>
                <w:lang w:val="hr-HR" w:eastAsia="zxx" w:bidi="zxx"/>
              </w:rPr>
              <w:t xml:space="preserve">         </w:t>
            </w: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xx" w:bidi="zxx"/>
              </w:rPr>
              <w:t xml:space="preserve">(jedinična cijena u €/m2  brojkom)                                     </w:t>
            </w:r>
          </w:p>
          <w:p>
            <w:pPr>
              <w:pStyle w:val="Normal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xx" w:bidi="zxx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xx" w:bidi="zxx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eastAsia="Tahoma" w:cs="Tahoma" w:ascii="Tahoma" w:hAnsi="Tahoma"/>
                <w:color w:val="00000A"/>
                <w:position w:val="6"/>
                <w:sz w:val="22"/>
                <w:szCs w:val="22"/>
                <w:lang w:val="hr-HR" w:eastAsia="zxx" w:bidi="zxx"/>
              </w:rPr>
              <w:t xml:space="preserve"> 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ahoma" w:ascii="Tahoma" w:hAnsi="Tahoma"/>
                <w:color w:val="00000A"/>
                <w:position w:val="6"/>
                <w:sz w:val="22"/>
                <w:szCs w:val="22"/>
                <w:lang w:val="hr-HR" w:eastAsia="zxx" w:bidi="zxx"/>
              </w:rPr>
              <w:t>ukupno__________________________________________________ €.</w:t>
            </w:r>
          </w:p>
          <w:p>
            <w:pPr>
              <w:pStyle w:val="Normal"/>
              <w:jc w:val="both"/>
              <w:rPr/>
            </w:pPr>
            <w:r>
              <w:rPr>
                <w:rFonts w:eastAsia="Tahoma" w:cs="Tahoma" w:ascii="Tahoma" w:hAnsi="Tahoma"/>
                <w:color w:val="00000A"/>
                <w:position w:val="6"/>
                <w:sz w:val="22"/>
                <w:szCs w:val="22"/>
                <w:lang w:val="hr-HR" w:eastAsia="zxx" w:bidi="zxx"/>
              </w:rPr>
              <w:t xml:space="preserve">                                 </w:t>
            </w:r>
            <w:r>
              <w:rPr>
                <w:rFonts w:eastAsia="Times New Roman" w:cs="Tahoma" w:ascii="Tahoma" w:hAnsi="Tahoma"/>
                <w:color w:val="00000A"/>
                <w:position w:val="1"/>
                <w:sz w:val="22"/>
                <w:szCs w:val="22"/>
                <w:lang w:val="hr-HR" w:eastAsia="zxx" w:bidi="zxx"/>
              </w:rPr>
              <w:t>(ukupna cijena brojkom)</w:t>
            </w:r>
          </w:p>
          <w:p>
            <w:pPr>
              <w:pStyle w:val="Normal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en-AU" w:eastAsia="zxx" w:bidi="zxx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en-AU" w:eastAsia="zxx" w:bidi="zxx"/>
              </w:rPr>
            </w:r>
          </w:p>
          <w:p>
            <w:pPr>
              <w:pStyle w:val="Normal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xx" w:bidi="zxx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xx" w:bidi="zxx"/>
              </w:rPr>
            </w:r>
          </w:p>
          <w:p>
            <w:pPr>
              <w:pStyle w:val="Normal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xx" w:bidi="zxx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xx" w:bidi="zxx"/>
              </w:rPr>
            </w:r>
          </w:p>
          <w:p>
            <w:pPr>
              <w:pStyle w:val="Sadrajitablice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xx" w:bidi="zxx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xx" w:bidi="zxx"/>
              </w:rPr>
            </w:r>
          </w:p>
          <w:p>
            <w:pPr>
              <w:pStyle w:val="Sadrajitablice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xx" w:bidi="zxx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xx" w:bidi="zxx"/>
              </w:rPr>
            </w:r>
          </w:p>
          <w:p>
            <w:pPr>
              <w:pStyle w:val="Sadrajitablice"/>
              <w:rPr/>
            </w:pPr>
            <w:r>
              <w:rPr>
                <w:rFonts w:eastAsia="Tahoma" w:cs="Tahoma" w:ascii="Tahoma" w:hAnsi="Tahoma"/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rFonts w:cs="Tahoma" w:ascii="Tahoma" w:hAnsi="Tahoma"/>
                <w:sz w:val="22"/>
                <w:szCs w:val="22"/>
              </w:rPr>
              <w:t>__________________________</w:t>
            </w:r>
          </w:p>
          <w:p>
            <w:pPr>
              <w:pStyle w:val="Sadrajitablice"/>
              <w:rPr/>
            </w:pPr>
            <w:r>
              <w:rPr>
                <w:rFonts w:eastAsia="Tahoma" w:cs="Tahoma" w:ascii="Tahoma" w:hAnsi="Tahoma"/>
                <w:sz w:val="22"/>
                <w:szCs w:val="22"/>
              </w:rPr>
              <w:t xml:space="preserve">                                                                                         </w:t>
            </w:r>
            <w:r>
              <w:rPr>
                <w:rFonts w:cs="Tahoma" w:ascii="Tahoma" w:hAnsi="Tahoma"/>
                <w:sz w:val="22"/>
                <w:szCs w:val="22"/>
              </w:rPr>
              <w:t>Potpis</w:t>
            </w:r>
          </w:p>
          <w:p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xx" w:bidi="zxx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xx" w:bidi="zxx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position w:val="0"/>
          <w:sz w:val="22"/>
          <w:sz w:val="22"/>
          <w:szCs w:val="22"/>
          <w:vertAlign w:val="baseline"/>
          <w:lang w:val="hr-HR" w:eastAsia="zxx" w:bidi="zxx"/>
        </w:rPr>
      </w:pPr>
      <w:r>
        <w:rPr>
          <w:rFonts w:eastAsia="Times New Roman" w:cs="Tahoma" w:ascii="Tahoma" w:hAnsi="Tahoma"/>
          <w:color w:val="00000A"/>
          <w:position w:val="0"/>
          <w:sz w:val="22"/>
          <w:sz w:val="22"/>
          <w:szCs w:val="22"/>
          <w:vertAlign w:val="baseline"/>
          <w:lang w:val="hr-HR" w:eastAsia="zxx" w:bidi="zxx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position w:val="0"/>
          <w:sz w:val="22"/>
          <w:sz w:val="22"/>
          <w:szCs w:val="22"/>
          <w:vertAlign w:val="baseline"/>
          <w:lang w:val="en-AU" w:eastAsia="zxx" w:bidi="zxx"/>
        </w:rPr>
        <w:tab/>
        <w:t>Ovaj obrazac ponuđene cijene treba staviti u zasebnu omotnicu (kovertu), zatvoriti omotnicu, te staviti je u omotnicu koja sadržava ponudu, dokaz o državljanstvu odnosno registraciji pravne osobe, i dokaz o uplaćenoj jamčevini.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position w:val="0"/>
          <w:sz w:val="22"/>
          <w:sz w:val="22"/>
          <w:szCs w:val="22"/>
          <w:vertAlign w:val="baseline"/>
          <w:lang w:val="en-AU" w:eastAsia="zxx" w:bidi="zxx"/>
        </w:rPr>
      </w:pPr>
      <w:r>
        <w:rPr>
          <w:rFonts w:eastAsia="Times New Roman" w:cs="Tahoma" w:ascii="Tahoma" w:hAnsi="Tahoma"/>
          <w:color w:val="00000A"/>
          <w:position w:val="0"/>
          <w:sz w:val="22"/>
          <w:sz w:val="22"/>
          <w:szCs w:val="22"/>
          <w:vertAlign w:val="baseline"/>
          <w:lang w:val="en-AU" w:eastAsia="zxx" w:bidi="zxx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position w:val="0"/>
          <w:sz w:val="22"/>
          <w:sz w:val="22"/>
          <w:szCs w:val="22"/>
          <w:vertAlign w:val="baseline"/>
          <w:lang w:val="en-AU" w:eastAsia="zxx" w:bidi="zxx"/>
        </w:rPr>
      </w:pPr>
      <w:r>
        <w:rPr>
          <w:rFonts w:eastAsia="Times New Roman" w:cs="Tahoma" w:ascii="Tahoma" w:hAnsi="Tahoma"/>
          <w:color w:val="00000A"/>
          <w:position w:val="0"/>
          <w:sz w:val="22"/>
          <w:sz w:val="22"/>
          <w:szCs w:val="22"/>
          <w:vertAlign w:val="baseline"/>
          <w:lang w:val="en-AU" w:eastAsia="zxx" w:bidi="zxx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position w:val="0"/>
          <w:sz w:val="22"/>
          <w:sz w:val="22"/>
          <w:szCs w:val="22"/>
          <w:vertAlign w:val="baseline"/>
          <w:lang w:val="en-AU" w:eastAsia="zxx" w:bidi="zxx"/>
        </w:rPr>
      </w:pPr>
      <w:r>
        <w:rPr>
          <w:rFonts w:eastAsia="Times New Roman" w:cs="Tahoma" w:ascii="Tahoma" w:hAnsi="Tahoma"/>
          <w:color w:val="00000A"/>
          <w:position w:val="0"/>
          <w:sz w:val="22"/>
          <w:sz w:val="22"/>
          <w:szCs w:val="22"/>
          <w:vertAlign w:val="baseline"/>
          <w:lang w:val="en-AU" w:eastAsia="zxx" w:bidi="zxx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position w:val="0"/>
          <w:sz w:val="22"/>
          <w:sz w:val="22"/>
          <w:szCs w:val="22"/>
          <w:vertAlign w:val="baseline"/>
          <w:lang w:val="en-AU" w:eastAsia="zxx" w:bidi="zxx"/>
        </w:rPr>
      </w:pPr>
      <w:r>
        <w:rPr>
          <w:rFonts w:eastAsia="Times New Roman" w:cs="Tahoma" w:ascii="Tahoma" w:hAnsi="Tahoma"/>
          <w:color w:val="00000A"/>
          <w:position w:val="0"/>
          <w:sz w:val="22"/>
          <w:sz w:val="22"/>
          <w:szCs w:val="22"/>
          <w:vertAlign w:val="baseline"/>
          <w:lang w:val="en-AU" w:eastAsia="zxx" w:bidi="zxx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position w:val="0"/>
          <w:sz w:val="22"/>
          <w:sz w:val="22"/>
          <w:szCs w:val="22"/>
          <w:vertAlign w:val="baseline"/>
          <w:lang w:val="en-AU" w:eastAsia="zxx" w:bidi="zxx"/>
        </w:rPr>
        <w:t>Ponuđena cijena, kako jedinična cijena po m2, tako i ukupna ponuđena cijena treba biti jasna i točna. Naknadne ispravke i obrazloženja neće se priznati.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Stilnaslova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Stilnaslova"/>
    <w:qFormat/>
    <w:pPr>
      <w:numPr>
        <w:ilvl w:val="0"/>
        <w:numId w:val="1"/>
      </w:numPr>
      <w:outlineLvl w:val="0"/>
    </w:pPr>
    <w:rPr/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88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li-losinj.hr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LibreOffice/5.4.2.2$Windows_X86_64 LibreOffice_project/22b09f6418e8c2d508a9eaf86b2399209b0990f4</Application>
  <Pages>4</Pages>
  <Words>1221</Words>
  <Characters>7220</Characters>
  <CharactersWithSpaces>8739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2025-02-06T11:05:36Z</dcterms:created>
  <dc:creator/>
  <dc:description/>
  <dc:language>hr-HR</dc:language>
  <cp:lastModifiedBy/>
  <dcterms:modified xsi:type="dcterms:W3CDTF">2025-02-07T10:01:00Z</dcterms:modified>
  <cp:revision>5</cp:revision>
  <dc:subject/>
  <dc:title/>
</cp:coreProperties>
</file>