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135308418"/>
    <w:bookmarkEnd w:id="0"/>
    <w:p w:rsidR="00A07D92" w:rsidRDefault="00495E63">
      <w:pPr>
        <w:sectPr w:rsidR="00A07D92">
          <w:headerReference w:type="default" r:id="rId9"/>
          <w:pgSz w:w="11906" w:h="16838"/>
          <w:pgMar w:top="1418" w:right="1418" w:bottom="1134" w:left="1418" w:header="567" w:footer="0" w:gutter="0"/>
          <w:cols w:space="720"/>
          <w:formProt w:val="0"/>
          <w:docGrid w:linePitch="360" w:charSpace="4096"/>
        </w:sectPr>
      </w:pPr>
      <w:r>
        <w:rPr>
          <w:noProof/>
          <w:lang w:eastAsia="hr-HR"/>
        </w:rPr>
        <mc:AlternateContent>
          <mc:Choice Requires="wps">
            <w:drawing>
              <wp:anchor distT="0" distB="0" distL="0" distR="0" simplePos="0" relativeHeight="2" behindDoc="0" locked="0" layoutInCell="1" allowOverlap="1" wp14:anchorId="7826F826">
                <wp:simplePos x="0" y="0"/>
                <wp:positionH relativeFrom="column">
                  <wp:posOffset>2635885</wp:posOffset>
                </wp:positionH>
                <wp:positionV relativeFrom="page">
                  <wp:posOffset>2259965</wp:posOffset>
                </wp:positionV>
                <wp:extent cx="3420110" cy="1423670"/>
                <wp:effectExtent l="0" t="0" r="0" b="5715"/>
                <wp:wrapNone/>
                <wp:docPr id="1" name="Text Box 2"/>
                <wp:cNvGraphicFramePr/>
                <a:graphic xmlns:a="http://schemas.openxmlformats.org/drawingml/2006/main">
                  <a:graphicData uri="http://schemas.microsoft.com/office/word/2010/wordprocessingShape">
                    <wps:wsp>
                      <wps:cNvSpPr/>
                      <wps:spPr>
                        <a:xfrm>
                          <a:off x="0" y="0"/>
                          <a:ext cx="3419640" cy="1423080"/>
                        </a:xfrm>
                        <a:prstGeom prst="rect">
                          <a:avLst/>
                        </a:prstGeom>
                        <a:noFill/>
                        <a:ln>
                          <a:noFill/>
                        </a:ln>
                      </wps:spPr>
                      <wps:style>
                        <a:lnRef idx="0">
                          <a:scrgbClr r="0" g="0" b="0"/>
                        </a:lnRef>
                        <a:fillRef idx="0">
                          <a:scrgbClr r="0" g="0" b="0"/>
                        </a:fillRef>
                        <a:effectRef idx="0">
                          <a:scrgbClr r="0" g="0" b="0"/>
                        </a:effectRef>
                        <a:fontRef idx="minor"/>
                      </wps:style>
                      <wps:txbx>
                        <w:txbxContent>
                          <w:p w:rsidR="00A07D92" w:rsidRDefault="00495E63">
                            <w:pPr>
                              <w:pStyle w:val="Sadrajokvira"/>
                              <w:jc w:val="center"/>
                              <w:rPr>
                                <w:b/>
                                <w:sz w:val="36"/>
                              </w:rPr>
                            </w:pPr>
                            <w:r>
                              <w:rPr>
                                <w:b/>
                                <w:sz w:val="36"/>
                              </w:rPr>
                              <w:t>Procjena rizika od velikih nesreća</w:t>
                            </w:r>
                          </w:p>
                          <w:p w:rsidR="00A07D92" w:rsidRDefault="00A07D92">
                            <w:pPr>
                              <w:pStyle w:val="Sadrajokvira"/>
                              <w:jc w:val="center"/>
                            </w:pPr>
                          </w:p>
                        </w:txbxContent>
                      </wps:txbx>
                      <wps:bodyPr>
                        <a:noAutofit/>
                      </wps:bodyPr>
                    </wps:wsp>
                  </a:graphicData>
                </a:graphic>
              </wp:anchor>
            </w:drawing>
          </mc:Choice>
          <mc:Fallback>
            <w:pict>
              <v:rect id="shape_0" ID="Text Box 2" stroked="f" style="position:absolute;margin-left:207.55pt;margin-top:177.95pt;width:269.2pt;height:112pt;mso-position-vertical-relative:page" wp14:anchorId="7826F826">
                <w10:wrap type="square"/>
                <v:fill o:detectmouseclick="t" on="false"/>
                <v:stroke color="#3465a4" joinstyle="round" endcap="flat"/>
                <v:textbox>
                  <w:txbxContent>
                    <w:p>
                      <w:pPr>
                        <w:pStyle w:val="Sadrajokvira"/>
                        <w:spacing w:before="80" w:after="160"/>
                        <w:jc w:val="center"/>
                        <w:rPr>
                          <w:b/>
                          <w:b/>
                          <w:sz w:val="36"/>
                        </w:rPr>
                      </w:pPr>
                      <w:r>
                        <w:rPr>
                          <w:b/>
                          <w:sz w:val="36"/>
                        </w:rPr>
                        <w:t>Procjena rizika od velikih nesreća</w:t>
                      </w:r>
                    </w:p>
                    <w:p>
                      <w:pPr>
                        <w:pStyle w:val="Sadrajokvira"/>
                        <w:spacing w:before="80" w:after="160"/>
                        <w:jc w:val="center"/>
                        <w:rPr/>
                      </w:pPr>
                      <w:r>
                        <w:rPr/>
                      </w:r>
                    </w:p>
                  </w:txbxContent>
                </v:textbox>
              </v:rect>
            </w:pict>
          </mc:Fallback>
        </mc:AlternateContent>
      </w:r>
      <w:r>
        <w:rPr>
          <w:noProof/>
          <w:lang w:eastAsia="hr-HR"/>
        </w:rPr>
        <mc:AlternateContent>
          <mc:Choice Requires="wps">
            <w:drawing>
              <wp:anchor distT="0" distB="0" distL="0" distR="0" simplePos="0" relativeHeight="3" behindDoc="0" locked="0" layoutInCell="1" allowOverlap="1" wp14:anchorId="5BE5F59C">
                <wp:simplePos x="0" y="0"/>
                <wp:positionH relativeFrom="column">
                  <wp:posOffset>2652395</wp:posOffset>
                </wp:positionH>
                <wp:positionV relativeFrom="page">
                  <wp:posOffset>4495165</wp:posOffset>
                </wp:positionV>
                <wp:extent cx="3698875" cy="3896360"/>
                <wp:effectExtent l="0" t="0" r="0" b="9525"/>
                <wp:wrapNone/>
                <wp:docPr id="3" name="Text Box 3"/>
                <wp:cNvGraphicFramePr/>
                <a:graphic xmlns:a="http://schemas.openxmlformats.org/drawingml/2006/main">
                  <a:graphicData uri="http://schemas.microsoft.com/office/word/2010/wordprocessingShape">
                    <wps:wsp>
                      <wps:cNvSpPr/>
                      <wps:spPr>
                        <a:xfrm>
                          <a:off x="0" y="0"/>
                          <a:ext cx="3698280" cy="3895560"/>
                        </a:xfrm>
                        <a:prstGeom prst="rect">
                          <a:avLst/>
                        </a:prstGeom>
                        <a:noFill/>
                        <a:ln>
                          <a:noFill/>
                        </a:ln>
                      </wps:spPr>
                      <wps:style>
                        <a:lnRef idx="0">
                          <a:scrgbClr r="0" g="0" b="0"/>
                        </a:lnRef>
                        <a:fillRef idx="0">
                          <a:scrgbClr r="0" g="0" b="0"/>
                        </a:fillRef>
                        <a:effectRef idx="0">
                          <a:scrgbClr r="0" g="0" b="0"/>
                        </a:effectRef>
                        <a:fontRef idx="minor"/>
                      </wps:style>
                      <wps:txbx>
                        <w:txbxContent>
                          <w:p w:rsidR="00A07D92" w:rsidRDefault="00495E63">
                            <w:pPr>
                              <w:pStyle w:val="Sadrajokvira"/>
                              <w:jc w:val="center"/>
                              <w:rPr>
                                <w:color w:val="009627"/>
                                <w:sz w:val="36"/>
                              </w:rPr>
                            </w:pPr>
                            <w:r>
                              <w:rPr>
                                <w:color w:val="009627"/>
                                <w:sz w:val="36"/>
                              </w:rPr>
                              <w:t>Grad Mali Lošinj</w:t>
                            </w:r>
                          </w:p>
                          <w:p w:rsidR="00A07D92" w:rsidRDefault="00A07D92">
                            <w:pPr>
                              <w:pStyle w:val="Sadrajokvira"/>
                              <w:jc w:val="center"/>
                              <w:rPr>
                                <w:color w:val="009627"/>
                                <w:sz w:val="36"/>
                              </w:rPr>
                            </w:pPr>
                          </w:p>
                          <w:p w:rsidR="00A07D92" w:rsidRDefault="00A07D92">
                            <w:pPr>
                              <w:pStyle w:val="Sadrajokvira"/>
                              <w:jc w:val="center"/>
                              <w:rPr>
                                <w:color w:val="009627"/>
                                <w:sz w:val="36"/>
                              </w:rPr>
                            </w:pPr>
                          </w:p>
                          <w:p w:rsidR="00A07D92" w:rsidRDefault="00495E63">
                            <w:pPr>
                              <w:pStyle w:val="Sadrajokvira"/>
                              <w:jc w:val="center"/>
                            </w:pPr>
                            <w:r>
                              <w:rPr>
                                <w:noProof/>
                                <w:lang w:eastAsia="hr-HR"/>
                              </w:rPr>
                              <w:drawing>
                                <wp:inline distT="0" distB="0" distL="0" distR="0">
                                  <wp:extent cx="1895475" cy="2057400"/>
                                  <wp:effectExtent l="0" t="0" r="0" b="0"/>
                                  <wp:docPr id="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1"/>
                                          <pic:cNvPicPr>
                                            <a:picLocks noChangeAspect="1" noChangeArrowheads="1"/>
                                          </pic:cNvPicPr>
                                        </pic:nvPicPr>
                                        <pic:blipFill>
                                          <a:blip r:embed="rId10"/>
                                          <a:stretch>
                                            <a:fillRect/>
                                          </a:stretch>
                                        </pic:blipFill>
                                        <pic:spPr bwMode="auto">
                                          <a:xfrm>
                                            <a:off x="0" y="0"/>
                                            <a:ext cx="1895475" cy="2057400"/>
                                          </a:xfrm>
                                          <a:prstGeom prst="rect">
                                            <a:avLst/>
                                          </a:prstGeom>
                                        </pic:spPr>
                                      </pic:pic>
                                    </a:graphicData>
                                  </a:graphic>
                                </wp:inline>
                              </w:drawing>
                            </w:r>
                          </w:p>
                        </w:txbxContent>
                      </wps:txbx>
                      <wps:bodyPr>
                        <a:noAutofit/>
                      </wps:bodyPr>
                    </wps:wsp>
                  </a:graphicData>
                </a:graphic>
              </wp:anchor>
            </w:drawing>
          </mc:Choice>
          <mc:Fallback>
            <w:pict>
              <v:rect id="shape_0" ID="Text Box 3" stroked="f" style="position:absolute;margin-left:208.85pt;margin-top:353.95pt;width:291.15pt;height:306.7pt;mso-position-vertical-relative:page" wp14:anchorId="5BE5F59C">
                <w10:wrap type="square"/>
                <v:fill o:detectmouseclick="t" on="false"/>
                <v:stroke color="#3465a4" joinstyle="round" endcap="flat"/>
                <v:textbox>
                  <w:txbxContent>
                    <w:p>
                      <w:pPr>
                        <w:pStyle w:val="Sadrajokvira"/>
                        <w:spacing w:before="80" w:after="160"/>
                        <w:jc w:val="center"/>
                        <w:rPr>
                          <w:color w:val="009627"/>
                          <w:sz w:val="36"/>
                        </w:rPr>
                      </w:pPr>
                      <w:r>
                        <w:rPr>
                          <w:color w:val="009627"/>
                          <w:sz w:val="36"/>
                        </w:rPr>
                        <w:t>Grad Mali Lošinj</w:t>
                      </w:r>
                    </w:p>
                    <w:p>
                      <w:pPr>
                        <w:pStyle w:val="Sadrajokvira"/>
                        <w:jc w:val="center"/>
                        <w:rPr>
                          <w:color w:val="009627"/>
                          <w:sz w:val="36"/>
                        </w:rPr>
                      </w:pPr>
                      <w:r>
                        <w:rPr>
                          <w:color w:val="009627"/>
                          <w:sz w:val="36"/>
                        </w:rPr>
                      </w:r>
                    </w:p>
                    <w:p>
                      <w:pPr>
                        <w:pStyle w:val="Sadrajokvira"/>
                        <w:jc w:val="center"/>
                        <w:rPr>
                          <w:color w:val="009627"/>
                          <w:sz w:val="36"/>
                        </w:rPr>
                      </w:pPr>
                      <w:r>
                        <w:rPr>
                          <w:color w:val="009627"/>
                          <w:sz w:val="36"/>
                        </w:rPr>
                      </w:r>
                    </w:p>
                    <w:p>
                      <w:pPr>
                        <w:pStyle w:val="Sadrajokvira"/>
                        <w:spacing w:before="80" w:after="160"/>
                        <w:jc w:val="center"/>
                        <w:rPr/>
                      </w:pPr>
                      <w:r>
                        <w:rPr/>
                        <w:drawing>
                          <wp:inline distT="0" distB="0" distL="0" distR="0">
                            <wp:extent cx="1895475" cy="2057400"/>
                            <wp:effectExtent l="0" t="0" r="0" b="0"/>
                            <wp:docPr id="6" name="Picture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1" descr=""/>
                                    <pic:cNvPicPr>
                                      <a:picLocks noChangeAspect="1" noChangeArrowheads="1"/>
                                    </pic:cNvPicPr>
                                  </pic:nvPicPr>
                                  <pic:blipFill>
                                    <a:blip r:embed="rId11"/>
                                    <a:stretch>
                                      <a:fillRect/>
                                    </a:stretch>
                                  </pic:blipFill>
                                  <pic:spPr bwMode="auto">
                                    <a:xfrm>
                                      <a:off x="0" y="0"/>
                                      <a:ext cx="1895475" cy="2057400"/>
                                    </a:xfrm>
                                    <a:prstGeom prst="rect">
                                      <a:avLst/>
                                    </a:prstGeom>
                                  </pic:spPr>
                                </pic:pic>
                              </a:graphicData>
                            </a:graphic>
                          </wp:inline>
                        </w:drawing>
                      </w:r>
                    </w:p>
                  </w:txbxContent>
                </v:textbox>
              </v:rect>
            </w:pict>
          </mc:Fallback>
        </mc:AlternateContent>
      </w:r>
      <w:r>
        <w:rPr>
          <w:noProof/>
          <w:lang w:eastAsia="hr-HR"/>
        </w:rPr>
        <mc:AlternateContent>
          <mc:Choice Requires="wps">
            <w:drawing>
              <wp:anchor distT="0" distB="0" distL="114300" distR="114300" simplePos="0" relativeHeight="4" behindDoc="0" locked="0" layoutInCell="1" allowOverlap="1" wp14:anchorId="0F0139F2">
                <wp:simplePos x="0" y="0"/>
                <wp:positionH relativeFrom="column">
                  <wp:posOffset>2697480</wp:posOffset>
                </wp:positionH>
                <wp:positionV relativeFrom="page">
                  <wp:posOffset>9963150</wp:posOffset>
                </wp:positionV>
                <wp:extent cx="3194685" cy="522605"/>
                <wp:effectExtent l="0" t="0" r="0" b="0"/>
                <wp:wrapThrough wrapText="bothSides">
                  <wp:wrapPolygon edited="0">
                    <wp:start x="386" y="0"/>
                    <wp:lineTo x="386" y="20496"/>
                    <wp:lineTo x="21128" y="20496"/>
                    <wp:lineTo x="21128" y="0"/>
                    <wp:lineTo x="386" y="0"/>
                  </wp:wrapPolygon>
                </wp:wrapThrough>
                <wp:docPr id="7" name="Text Box 4"/>
                <wp:cNvGraphicFramePr/>
                <a:graphic xmlns:a="http://schemas.openxmlformats.org/drawingml/2006/main">
                  <a:graphicData uri="http://schemas.microsoft.com/office/word/2010/wordprocessingShape">
                    <wps:wsp>
                      <wps:cNvSpPr/>
                      <wps:spPr>
                        <a:xfrm>
                          <a:off x="0" y="0"/>
                          <a:ext cx="3193920" cy="522000"/>
                        </a:xfrm>
                        <a:prstGeom prst="rect">
                          <a:avLst/>
                        </a:prstGeom>
                        <a:noFill/>
                        <a:ln w="12600">
                          <a:noFill/>
                        </a:ln>
                      </wps:spPr>
                      <wps:style>
                        <a:lnRef idx="0">
                          <a:scrgbClr r="0" g="0" b="0"/>
                        </a:lnRef>
                        <a:fillRef idx="0">
                          <a:scrgbClr r="0" g="0" b="0"/>
                        </a:fillRef>
                        <a:effectRef idx="0">
                          <a:scrgbClr r="0" g="0" b="0"/>
                        </a:effectRef>
                        <a:fontRef idx="minor"/>
                      </wps:style>
                      <wps:txbx>
                        <w:txbxContent>
                          <w:p w:rsidR="00A07D92" w:rsidRDefault="00495E63">
                            <w:pPr>
                              <w:pStyle w:val="Datum"/>
                            </w:pPr>
                            <w:r>
                              <w:t>Svibanj, 2023.</w:t>
                            </w:r>
                          </w:p>
                        </w:txbxContent>
                      </wps:txbx>
                      <wps:bodyPr anchor="b">
                        <a:noAutofit/>
                      </wps:bodyPr>
                    </wps:wsp>
                  </a:graphicData>
                </a:graphic>
              </wp:anchor>
            </w:drawing>
          </mc:Choice>
          <mc:Fallback>
            <w:pict>
              <v:rect id="shape_0" ID="Text Box 4" stroked="f" style="position:absolute;margin-left:212.4pt;margin-top:784.5pt;width:251.45pt;height:41.05pt;mso-position-vertical-relative:page" wp14:anchorId="0F0139F2">
                <w10:wrap type="square"/>
                <v:fill o:detectmouseclick="t" on="false"/>
                <v:stroke color="#3465a4" weight="12600" joinstyle="miter" endcap="flat"/>
                <v:textbox>
                  <w:txbxContent>
                    <w:p>
                      <w:pPr>
                        <w:pStyle w:val="Date"/>
                        <w:spacing w:before="80" w:after="160"/>
                        <w:jc w:val="center"/>
                        <w:rPr/>
                      </w:pPr>
                      <w:r>
                        <w:rPr/>
                        <w:t>Svibanj, 2023.</w:t>
                      </w:r>
                    </w:p>
                  </w:txbxContent>
                </v:textbox>
              </v:rect>
            </w:pict>
          </mc:Fallback>
        </mc:AlternateContent>
      </w:r>
      <w:r>
        <w:t xml:space="preserve">                                                                                                                                                                                                                                                                </w:t>
      </w:r>
      <w:r>
        <w:t xml:space="preserve">                                                                                                                                                                                                                                                                </w:t>
      </w:r>
      <w:r>
        <w:t xml:space="preserve">                                                                                                                                                                                                                                                                </w:t>
      </w:r>
      <w:r>
        <w:t xml:space="preserve">                                                                                                                                                                                                                                                                </w:t>
      </w:r>
      <w:r>
        <w:t xml:space="preserve">                                                                                                                                                                                                                                                                </w:t>
      </w:r>
      <w:r>
        <w:t xml:space="preserve">                                                                                                                                                                                                                                                                </w:t>
      </w:r>
      <w:r>
        <w:t xml:space="preserve">                                                                                                                                                                                                                                                                </w:t>
      </w:r>
      <w:r>
        <w:t xml:space="preserve">                                                                                                                                                                                                                                                                </w:t>
      </w:r>
      <w:r>
        <w:t xml:space="preserve">                                                                                                                                                                                                                                                                </w:t>
      </w:r>
      <w:r>
        <w:t xml:space="preserve">                                                                                                                                                                                                                                                                </w:t>
      </w:r>
      <w:r>
        <w:t xml:space="preserve">                                                                                                                                                                                                        </w:t>
      </w:r>
      <w:r>
        <w:tab/>
      </w:r>
    </w:p>
    <w:p w:rsidR="00A07D92" w:rsidRDefault="00A07D92"/>
    <w:tbl>
      <w:tblPr>
        <w:tblW w:w="9982" w:type="dxa"/>
        <w:tblLook w:val="04A0" w:firstRow="1" w:lastRow="0" w:firstColumn="1" w:lastColumn="0" w:noHBand="0" w:noVBand="1"/>
      </w:tblPr>
      <w:tblGrid>
        <w:gridCol w:w="2251"/>
        <w:gridCol w:w="1684"/>
        <w:gridCol w:w="2172"/>
        <w:gridCol w:w="8"/>
        <w:gridCol w:w="693"/>
        <w:gridCol w:w="2871"/>
        <w:gridCol w:w="303"/>
      </w:tblGrid>
      <w:tr w:rsidR="00A07D92">
        <w:trPr>
          <w:trHeight w:val="284"/>
        </w:trPr>
        <w:tc>
          <w:tcPr>
            <w:tcW w:w="2250" w:type="dxa"/>
            <w:shd w:val="clear" w:color="auto" w:fill="auto"/>
            <w:vAlign w:val="center"/>
          </w:tcPr>
          <w:p w:rsidR="00A07D92" w:rsidRDefault="00495E63">
            <w:pPr>
              <w:spacing w:line="240" w:lineRule="auto"/>
              <w:jc w:val="left"/>
              <w:rPr>
                <w:sz w:val="20"/>
                <w:szCs w:val="20"/>
              </w:rPr>
            </w:pPr>
            <w:r>
              <w:rPr>
                <w:sz w:val="20"/>
                <w:szCs w:val="20"/>
              </w:rPr>
              <w:t>PREDMET:</w:t>
            </w:r>
          </w:p>
        </w:tc>
        <w:tc>
          <w:tcPr>
            <w:tcW w:w="7428" w:type="dxa"/>
            <w:gridSpan w:val="5"/>
            <w:shd w:val="clear" w:color="auto" w:fill="auto"/>
            <w:vAlign w:val="center"/>
          </w:tcPr>
          <w:p w:rsidR="00A07D92" w:rsidRDefault="00495E63">
            <w:pPr>
              <w:spacing w:line="240" w:lineRule="auto"/>
              <w:rPr>
                <w:b/>
                <w:sz w:val="20"/>
                <w:szCs w:val="20"/>
              </w:rPr>
            </w:pPr>
            <w:r>
              <w:rPr>
                <w:b/>
                <w:sz w:val="20"/>
                <w:szCs w:val="20"/>
              </w:rPr>
              <w:t xml:space="preserve">Procjena rizika od velikih nesreća za Grad </w:t>
            </w:r>
            <w:r>
              <w:rPr>
                <w:b/>
                <w:sz w:val="20"/>
                <w:szCs w:val="20"/>
              </w:rPr>
              <w:t>Mali Lošinj</w:t>
            </w:r>
          </w:p>
        </w:tc>
        <w:tc>
          <w:tcPr>
            <w:tcW w:w="303" w:type="dxa"/>
            <w:shd w:val="clear" w:color="auto" w:fill="auto"/>
          </w:tcPr>
          <w:p w:rsidR="00A07D92" w:rsidRDefault="00A07D92"/>
        </w:tc>
      </w:tr>
      <w:tr w:rsidR="00A07D92">
        <w:trPr>
          <w:trHeight w:val="667"/>
        </w:trPr>
        <w:tc>
          <w:tcPr>
            <w:tcW w:w="2250" w:type="dxa"/>
            <w:shd w:val="clear" w:color="auto" w:fill="auto"/>
            <w:vAlign w:val="center"/>
          </w:tcPr>
          <w:p w:rsidR="00A07D92" w:rsidRDefault="00495E63">
            <w:pPr>
              <w:spacing w:line="240" w:lineRule="auto"/>
              <w:jc w:val="left"/>
              <w:rPr>
                <w:sz w:val="20"/>
                <w:szCs w:val="20"/>
              </w:rPr>
            </w:pPr>
            <w:r>
              <w:rPr>
                <w:sz w:val="20"/>
                <w:szCs w:val="20"/>
              </w:rPr>
              <w:t>Oznaka dokumenta:</w:t>
            </w:r>
          </w:p>
        </w:tc>
        <w:tc>
          <w:tcPr>
            <w:tcW w:w="4557" w:type="dxa"/>
            <w:gridSpan w:val="4"/>
            <w:shd w:val="clear" w:color="auto" w:fill="auto"/>
            <w:vAlign w:val="center"/>
          </w:tcPr>
          <w:p w:rsidR="00A07D92" w:rsidRDefault="00495E63">
            <w:pPr>
              <w:spacing w:line="240" w:lineRule="auto"/>
              <w:jc w:val="left"/>
              <w:rPr>
                <w:sz w:val="20"/>
                <w:szCs w:val="20"/>
              </w:rPr>
            </w:pPr>
            <w:r>
              <w:rPr>
                <w:sz w:val="20"/>
                <w:szCs w:val="20"/>
              </w:rPr>
              <w:t>23116200013</w:t>
            </w:r>
          </w:p>
        </w:tc>
        <w:tc>
          <w:tcPr>
            <w:tcW w:w="2871" w:type="dxa"/>
            <w:shd w:val="clear" w:color="auto" w:fill="auto"/>
            <w:vAlign w:val="center"/>
          </w:tcPr>
          <w:p w:rsidR="00A07D92" w:rsidRDefault="00A07D92">
            <w:pPr>
              <w:spacing w:line="240" w:lineRule="auto"/>
              <w:jc w:val="left"/>
              <w:rPr>
                <w:sz w:val="20"/>
                <w:szCs w:val="20"/>
                <w:highlight w:val="yellow"/>
              </w:rPr>
            </w:pPr>
          </w:p>
        </w:tc>
        <w:tc>
          <w:tcPr>
            <w:tcW w:w="303" w:type="dxa"/>
            <w:shd w:val="clear" w:color="auto" w:fill="auto"/>
          </w:tcPr>
          <w:p w:rsidR="00A07D92" w:rsidRDefault="00A07D92"/>
        </w:tc>
      </w:tr>
      <w:tr w:rsidR="00A07D92">
        <w:trPr>
          <w:trHeight w:val="284"/>
        </w:trPr>
        <w:tc>
          <w:tcPr>
            <w:tcW w:w="2250" w:type="dxa"/>
            <w:shd w:val="clear" w:color="auto" w:fill="auto"/>
            <w:vAlign w:val="center"/>
          </w:tcPr>
          <w:p w:rsidR="00A07D92" w:rsidRDefault="00495E63">
            <w:pPr>
              <w:spacing w:line="240" w:lineRule="auto"/>
              <w:jc w:val="left"/>
              <w:rPr>
                <w:sz w:val="20"/>
                <w:szCs w:val="20"/>
              </w:rPr>
            </w:pPr>
            <w:r>
              <w:rPr>
                <w:sz w:val="20"/>
                <w:szCs w:val="20"/>
              </w:rPr>
              <w:t>Izrađivač:</w:t>
            </w:r>
          </w:p>
        </w:tc>
        <w:tc>
          <w:tcPr>
            <w:tcW w:w="4557" w:type="dxa"/>
            <w:gridSpan w:val="4"/>
            <w:shd w:val="clear" w:color="auto" w:fill="auto"/>
            <w:vAlign w:val="center"/>
          </w:tcPr>
          <w:p w:rsidR="00A07D92" w:rsidRDefault="00495E63">
            <w:pPr>
              <w:spacing w:line="240" w:lineRule="auto"/>
              <w:jc w:val="left"/>
              <w:rPr>
                <w:sz w:val="20"/>
                <w:szCs w:val="20"/>
              </w:rPr>
            </w:pPr>
            <w:r>
              <w:rPr>
                <w:sz w:val="20"/>
                <w:szCs w:val="20"/>
              </w:rPr>
              <w:t>DLS d.o.o. Rijeka (</w:t>
            </w:r>
            <w:proofErr w:type="spellStart"/>
            <w:r>
              <w:rPr>
                <w:sz w:val="20"/>
                <w:szCs w:val="20"/>
              </w:rPr>
              <w:t>Spinčićeva</w:t>
            </w:r>
            <w:proofErr w:type="spellEnd"/>
            <w:r>
              <w:rPr>
                <w:sz w:val="20"/>
                <w:szCs w:val="20"/>
              </w:rPr>
              <w:t xml:space="preserve"> 2, 51 000 Rijeka)</w:t>
            </w:r>
          </w:p>
        </w:tc>
        <w:tc>
          <w:tcPr>
            <w:tcW w:w="2871" w:type="dxa"/>
            <w:shd w:val="clear" w:color="auto" w:fill="auto"/>
            <w:vAlign w:val="center"/>
          </w:tcPr>
          <w:p w:rsidR="00A07D92" w:rsidRDefault="00A07D92">
            <w:pPr>
              <w:spacing w:line="240" w:lineRule="auto"/>
              <w:jc w:val="left"/>
              <w:rPr>
                <w:sz w:val="20"/>
                <w:szCs w:val="20"/>
                <w:highlight w:val="yellow"/>
              </w:rPr>
            </w:pPr>
          </w:p>
        </w:tc>
        <w:tc>
          <w:tcPr>
            <w:tcW w:w="303" w:type="dxa"/>
            <w:shd w:val="clear" w:color="auto" w:fill="auto"/>
          </w:tcPr>
          <w:p w:rsidR="00A07D92" w:rsidRDefault="00A07D92"/>
        </w:tc>
      </w:tr>
      <w:tr w:rsidR="00A07D92">
        <w:trPr>
          <w:trHeight w:val="867"/>
        </w:trPr>
        <w:tc>
          <w:tcPr>
            <w:tcW w:w="2250" w:type="dxa"/>
            <w:shd w:val="clear" w:color="auto" w:fill="auto"/>
          </w:tcPr>
          <w:p w:rsidR="00A07D92" w:rsidRDefault="00495E63">
            <w:pPr>
              <w:spacing w:line="240" w:lineRule="auto"/>
              <w:jc w:val="left"/>
              <w:rPr>
                <w:color w:val="auto"/>
                <w:sz w:val="20"/>
                <w:szCs w:val="20"/>
              </w:rPr>
            </w:pPr>
            <w:r>
              <w:rPr>
                <w:color w:val="auto"/>
                <w:sz w:val="20"/>
                <w:szCs w:val="20"/>
              </w:rPr>
              <w:t>Voditelj izrade:</w:t>
            </w:r>
          </w:p>
        </w:tc>
        <w:tc>
          <w:tcPr>
            <w:tcW w:w="3864" w:type="dxa"/>
            <w:gridSpan w:val="3"/>
            <w:shd w:val="clear" w:color="auto" w:fill="auto"/>
            <w:vAlign w:val="center"/>
          </w:tcPr>
          <w:p w:rsidR="00A07D92" w:rsidRDefault="00495E63">
            <w:pPr>
              <w:spacing w:line="240" w:lineRule="auto"/>
              <w:jc w:val="left"/>
              <w:rPr>
                <w:color w:val="auto"/>
                <w:sz w:val="20"/>
                <w:szCs w:val="20"/>
              </w:rPr>
            </w:pPr>
            <w:r>
              <w:rPr>
                <w:color w:val="auto"/>
                <w:sz w:val="20"/>
                <w:szCs w:val="20"/>
              </w:rPr>
              <w:t xml:space="preserve">Igor </w:t>
            </w:r>
            <w:proofErr w:type="spellStart"/>
            <w:r>
              <w:rPr>
                <w:color w:val="auto"/>
                <w:sz w:val="20"/>
                <w:szCs w:val="20"/>
              </w:rPr>
              <w:t>Meixner</w:t>
            </w:r>
            <w:proofErr w:type="spellEnd"/>
            <w:r>
              <w:rPr>
                <w:color w:val="auto"/>
                <w:sz w:val="20"/>
                <w:szCs w:val="20"/>
              </w:rPr>
              <w:t>, dipl.ing.kem.tehn.</w:t>
            </w:r>
          </w:p>
        </w:tc>
        <w:tc>
          <w:tcPr>
            <w:tcW w:w="3867" w:type="dxa"/>
            <w:gridSpan w:val="3"/>
            <w:shd w:val="clear" w:color="auto" w:fill="auto"/>
            <w:vAlign w:val="center"/>
          </w:tcPr>
          <w:p w:rsidR="00A07D92" w:rsidRDefault="00495E63">
            <w:pPr>
              <w:spacing w:line="240" w:lineRule="auto"/>
              <w:jc w:val="left"/>
              <w:rPr>
                <w:color w:val="auto"/>
                <w:sz w:val="20"/>
                <w:szCs w:val="20"/>
              </w:rPr>
            </w:pPr>
            <w:r>
              <w:rPr>
                <w:noProof/>
                <w:lang w:eastAsia="hr-HR"/>
              </w:rPr>
              <w:drawing>
                <wp:inline distT="0" distB="0" distL="0" distR="0">
                  <wp:extent cx="1231265" cy="511810"/>
                  <wp:effectExtent l="0" t="0" r="0" b="0"/>
                  <wp:docPr id="10" name="Picture 29" descr="A close-up of some wri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9" descr="A close-up of some writing&#10;&#10;Description automatically generated with low confidence"/>
                          <pic:cNvPicPr>
                            <a:picLocks noChangeAspect="1" noChangeArrowheads="1"/>
                          </pic:cNvPicPr>
                        </pic:nvPicPr>
                        <pic:blipFill>
                          <a:blip r:embed="rId12"/>
                          <a:stretch>
                            <a:fillRect/>
                          </a:stretch>
                        </pic:blipFill>
                        <pic:spPr bwMode="auto">
                          <a:xfrm>
                            <a:off x="0" y="0"/>
                            <a:ext cx="1231265" cy="511810"/>
                          </a:xfrm>
                          <a:prstGeom prst="rect">
                            <a:avLst/>
                          </a:prstGeom>
                        </pic:spPr>
                      </pic:pic>
                    </a:graphicData>
                  </a:graphic>
                </wp:inline>
              </w:drawing>
            </w:r>
          </w:p>
        </w:tc>
      </w:tr>
      <w:tr w:rsidR="00A07D92">
        <w:trPr>
          <w:trHeight w:val="537"/>
        </w:trPr>
        <w:tc>
          <w:tcPr>
            <w:tcW w:w="2250" w:type="dxa"/>
            <w:shd w:val="clear" w:color="auto" w:fill="auto"/>
            <w:vAlign w:val="center"/>
          </w:tcPr>
          <w:p w:rsidR="00A07D92" w:rsidRDefault="00A07D92">
            <w:pPr>
              <w:spacing w:before="0" w:after="0" w:line="240" w:lineRule="auto"/>
              <w:jc w:val="left"/>
              <w:rPr>
                <w:color w:val="auto"/>
                <w:sz w:val="20"/>
                <w:szCs w:val="20"/>
              </w:rPr>
            </w:pPr>
          </w:p>
        </w:tc>
        <w:tc>
          <w:tcPr>
            <w:tcW w:w="1684" w:type="dxa"/>
            <w:shd w:val="clear" w:color="auto" w:fill="auto"/>
          </w:tcPr>
          <w:p w:rsidR="00A07D92" w:rsidRDefault="00A07D92">
            <w:pPr>
              <w:spacing w:before="40" w:after="40" w:line="240" w:lineRule="auto"/>
              <w:jc w:val="left"/>
              <w:rPr>
                <w:sz w:val="20"/>
                <w:szCs w:val="20"/>
              </w:rPr>
            </w:pPr>
          </w:p>
          <w:p w:rsidR="00A07D92" w:rsidRDefault="00495E63">
            <w:pPr>
              <w:spacing w:before="0" w:after="0" w:line="240" w:lineRule="auto"/>
              <w:jc w:val="left"/>
              <w:rPr>
                <w:color w:val="auto"/>
                <w:sz w:val="20"/>
                <w:szCs w:val="20"/>
              </w:rPr>
            </w:pPr>
            <w:proofErr w:type="spellStart"/>
            <w:r>
              <w:rPr>
                <w:sz w:val="20"/>
                <w:szCs w:val="20"/>
              </w:rPr>
              <w:t>mr.sc</w:t>
            </w:r>
            <w:proofErr w:type="spellEnd"/>
            <w:r>
              <w:rPr>
                <w:sz w:val="20"/>
                <w:szCs w:val="20"/>
              </w:rPr>
              <w:t xml:space="preserve">. </w:t>
            </w:r>
            <w:proofErr w:type="spellStart"/>
            <w:r>
              <w:rPr>
                <w:sz w:val="20"/>
                <w:szCs w:val="20"/>
              </w:rPr>
              <w:t>Jarolim</w:t>
            </w:r>
            <w:proofErr w:type="spellEnd"/>
            <w:r>
              <w:rPr>
                <w:sz w:val="20"/>
                <w:szCs w:val="20"/>
              </w:rPr>
              <w:t xml:space="preserve"> </w:t>
            </w:r>
            <w:proofErr w:type="spellStart"/>
            <w:r>
              <w:rPr>
                <w:sz w:val="20"/>
                <w:szCs w:val="20"/>
              </w:rPr>
              <w:t>Meixner</w:t>
            </w:r>
            <w:proofErr w:type="spellEnd"/>
            <w:r>
              <w:rPr>
                <w:sz w:val="20"/>
                <w:szCs w:val="20"/>
              </w:rPr>
              <w:t xml:space="preserve">   </w:t>
            </w:r>
          </w:p>
        </w:tc>
        <w:tc>
          <w:tcPr>
            <w:tcW w:w="2172" w:type="dxa"/>
            <w:shd w:val="clear" w:color="auto" w:fill="auto"/>
          </w:tcPr>
          <w:p w:rsidR="00A07D92" w:rsidRDefault="00A07D92">
            <w:pPr>
              <w:tabs>
                <w:tab w:val="left" w:pos="2460"/>
              </w:tabs>
              <w:spacing w:before="40" w:after="40"/>
              <w:rPr>
                <w:sz w:val="20"/>
                <w:szCs w:val="20"/>
              </w:rPr>
            </w:pPr>
          </w:p>
          <w:p w:rsidR="00A07D92" w:rsidRDefault="00495E63">
            <w:pPr>
              <w:spacing w:before="0" w:after="0" w:line="240" w:lineRule="auto"/>
              <w:jc w:val="left"/>
              <w:rPr>
                <w:color w:val="auto"/>
                <w:sz w:val="20"/>
                <w:szCs w:val="20"/>
              </w:rPr>
            </w:pPr>
            <w:r>
              <w:rPr>
                <w:sz w:val="20"/>
                <w:szCs w:val="20"/>
              </w:rPr>
              <w:t xml:space="preserve">dipl.ing.kem.tehn.         </w:t>
            </w:r>
          </w:p>
        </w:tc>
        <w:tc>
          <w:tcPr>
            <w:tcW w:w="3875" w:type="dxa"/>
            <w:gridSpan w:val="4"/>
            <w:shd w:val="clear" w:color="auto" w:fill="auto"/>
            <w:vAlign w:val="center"/>
          </w:tcPr>
          <w:p w:rsidR="00A07D92" w:rsidRDefault="00495E63">
            <w:pPr>
              <w:spacing w:before="0" w:after="0" w:line="240" w:lineRule="auto"/>
              <w:jc w:val="left"/>
              <w:rPr>
                <w:color w:val="auto"/>
                <w:sz w:val="20"/>
                <w:szCs w:val="20"/>
              </w:rPr>
            </w:pPr>
            <w:r>
              <w:rPr>
                <w:noProof/>
                <w:lang w:eastAsia="hr-HR"/>
              </w:rPr>
              <w:drawing>
                <wp:inline distT="0" distB="0" distL="0" distR="0">
                  <wp:extent cx="902335" cy="408305"/>
                  <wp:effectExtent l="0" t="0" r="0" b="0"/>
                  <wp:docPr id="11"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2" descr="A picture containing text&#10;&#10;Description automatically generated"/>
                          <pic:cNvPicPr>
                            <a:picLocks noChangeAspect="1" noChangeArrowheads="1"/>
                          </pic:cNvPicPr>
                        </pic:nvPicPr>
                        <pic:blipFill>
                          <a:blip r:embed="rId13"/>
                          <a:stretch>
                            <a:fillRect/>
                          </a:stretch>
                        </pic:blipFill>
                        <pic:spPr bwMode="auto">
                          <a:xfrm>
                            <a:off x="0" y="0"/>
                            <a:ext cx="902335" cy="408305"/>
                          </a:xfrm>
                          <a:prstGeom prst="rect">
                            <a:avLst/>
                          </a:prstGeom>
                        </pic:spPr>
                      </pic:pic>
                    </a:graphicData>
                  </a:graphic>
                </wp:inline>
              </w:drawing>
            </w:r>
          </w:p>
        </w:tc>
      </w:tr>
      <w:tr w:rsidR="00A07D92">
        <w:trPr>
          <w:trHeight w:val="340"/>
        </w:trPr>
        <w:tc>
          <w:tcPr>
            <w:tcW w:w="2250" w:type="dxa"/>
            <w:shd w:val="clear" w:color="auto" w:fill="auto"/>
            <w:vAlign w:val="center"/>
          </w:tcPr>
          <w:p w:rsidR="00A07D92" w:rsidRDefault="00495E63">
            <w:pPr>
              <w:spacing w:before="0" w:after="0" w:line="240" w:lineRule="auto"/>
              <w:jc w:val="left"/>
              <w:rPr>
                <w:color w:val="auto"/>
                <w:sz w:val="20"/>
                <w:szCs w:val="20"/>
              </w:rPr>
            </w:pPr>
            <w:r>
              <w:rPr>
                <w:color w:val="auto"/>
                <w:sz w:val="20"/>
                <w:szCs w:val="20"/>
              </w:rPr>
              <w:t>Suradnici</w:t>
            </w:r>
          </w:p>
        </w:tc>
        <w:tc>
          <w:tcPr>
            <w:tcW w:w="1684" w:type="dxa"/>
            <w:shd w:val="clear" w:color="auto" w:fill="auto"/>
            <w:vAlign w:val="center"/>
          </w:tcPr>
          <w:p w:rsidR="00A07D92" w:rsidRDefault="00495E63">
            <w:pPr>
              <w:spacing w:before="0" w:after="0" w:line="240" w:lineRule="auto"/>
              <w:jc w:val="left"/>
              <w:rPr>
                <w:color w:val="auto"/>
                <w:sz w:val="20"/>
                <w:szCs w:val="20"/>
              </w:rPr>
            </w:pPr>
            <w:r>
              <w:rPr>
                <w:color w:val="auto"/>
                <w:sz w:val="20"/>
                <w:szCs w:val="20"/>
              </w:rPr>
              <w:t xml:space="preserve">Karlo </w:t>
            </w:r>
            <w:proofErr w:type="spellStart"/>
            <w:r>
              <w:rPr>
                <w:color w:val="auto"/>
                <w:sz w:val="20"/>
                <w:szCs w:val="20"/>
              </w:rPr>
              <w:t>Fanuko</w:t>
            </w:r>
            <w:proofErr w:type="spellEnd"/>
            <w:r>
              <w:rPr>
                <w:color w:val="auto"/>
                <w:sz w:val="20"/>
                <w:szCs w:val="20"/>
              </w:rPr>
              <w:t xml:space="preserve">                             </w:t>
            </w:r>
          </w:p>
        </w:tc>
        <w:tc>
          <w:tcPr>
            <w:tcW w:w="2172" w:type="dxa"/>
            <w:shd w:val="clear" w:color="auto" w:fill="auto"/>
            <w:vAlign w:val="center"/>
          </w:tcPr>
          <w:p w:rsidR="00A07D92" w:rsidRDefault="00495E63">
            <w:pPr>
              <w:spacing w:before="0" w:after="0" w:line="240" w:lineRule="auto"/>
              <w:jc w:val="left"/>
              <w:rPr>
                <w:color w:val="auto"/>
                <w:sz w:val="20"/>
                <w:szCs w:val="20"/>
              </w:rPr>
            </w:pPr>
            <w:proofErr w:type="spellStart"/>
            <w:r>
              <w:rPr>
                <w:color w:val="auto"/>
                <w:sz w:val="20"/>
                <w:szCs w:val="20"/>
              </w:rPr>
              <w:t>ing.el</w:t>
            </w:r>
            <w:proofErr w:type="spellEnd"/>
            <w:r>
              <w:rPr>
                <w:color w:val="auto"/>
                <w:sz w:val="20"/>
                <w:szCs w:val="20"/>
              </w:rPr>
              <w:t>.</w:t>
            </w:r>
          </w:p>
        </w:tc>
        <w:tc>
          <w:tcPr>
            <w:tcW w:w="3875" w:type="dxa"/>
            <w:gridSpan w:val="4"/>
            <w:shd w:val="clear" w:color="auto" w:fill="auto"/>
            <w:vAlign w:val="center"/>
          </w:tcPr>
          <w:p w:rsidR="00A07D92" w:rsidRDefault="00495E63">
            <w:pPr>
              <w:spacing w:before="0" w:after="0" w:line="240" w:lineRule="auto"/>
              <w:jc w:val="left"/>
              <w:rPr>
                <w:color w:val="auto"/>
                <w:sz w:val="20"/>
                <w:szCs w:val="20"/>
                <w:lang w:eastAsia="hr-HR"/>
              </w:rPr>
            </w:pPr>
            <w:r>
              <w:rPr>
                <w:noProof/>
                <w:lang w:eastAsia="hr-HR"/>
              </w:rPr>
              <w:drawing>
                <wp:inline distT="0" distB="0" distL="0" distR="0">
                  <wp:extent cx="1501140" cy="301625"/>
                  <wp:effectExtent l="0" t="0" r="0" b="0"/>
                  <wp:docPr id="12"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27"/>
                          <pic:cNvPicPr>
                            <a:picLocks noChangeAspect="1" noChangeArrowheads="1"/>
                          </pic:cNvPicPr>
                        </pic:nvPicPr>
                        <pic:blipFill>
                          <a:blip r:embed="rId14"/>
                          <a:stretch>
                            <a:fillRect/>
                          </a:stretch>
                        </pic:blipFill>
                        <pic:spPr bwMode="auto">
                          <a:xfrm>
                            <a:off x="0" y="0"/>
                            <a:ext cx="1501140" cy="301625"/>
                          </a:xfrm>
                          <a:prstGeom prst="rect">
                            <a:avLst/>
                          </a:prstGeom>
                        </pic:spPr>
                      </pic:pic>
                    </a:graphicData>
                  </a:graphic>
                </wp:inline>
              </w:drawing>
            </w:r>
          </w:p>
        </w:tc>
      </w:tr>
      <w:tr w:rsidR="00A07D92">
        <w:trPr>
          <w:trHeight w:val="340"/>
        </w:trPr>
        <w:tc>
          <w:tcPr>
            <w:tcW w:w="2250" w:type="dxa"/>
            <w:shd w:val="clear" w:color="auto" w:fill="auto"/>
            <w:vAlign w:val="center"/>
          </w:tcPr>
          <w:p w:rsidR="00A07D92" w:rsidRDefault="00A07D92">
            <w:pPr>
              <w:spacing w:before="0" w:after="0" w:line="240" w:lineRule="auto"/>
              <w:jc w:val="left"/>
              <w:rPr>
                <w:color w:val="auto"/>
                <w:sz w:val="20"/>
                <w:szCs w:val="20"/>
              </w:rPr>
            </w:pPr>
          </w:p>
        </w:tc>
        <w:tc>
          <w:tcPr>
            <w:tcW w:w="1684" w:type="dxa"/>
            <w:shd w:val="clear" w:color="auto" w:fill="auto"/>
            <w:vAlign w:val="center"/>
          </w:tcPr>
          <w:p w:rsidR="00A07D92" w:rsidRDefault="00495E63">
            <w:pPr>
              <w:spacing w:before="0" w:after="0" w:line="240" w:lineRule="auto"/>
              <w:jc w:val="left"/>
              <w:rPr>
                <w:color w:val="auto"/>
                <w:sz w:val="20"/>
                <w:szCs w:val="20"/>
              </w:rPr>
            </w:pPr>
            <w:r>
              <w:rPr>
                <w:color w:val="auto"/>
                <w:sz w:val="20"/>
                <w:szCs w:val="20"/>
              </w:rPr>
              <w:t xml:space="preserve">Josipa </w:t>
            </w:r>
            <w:proofErr w:type="spellStart"/>
            <w:r>
              <w:rPr>
                <w:color w:val="auto"/>
                <w:sz w:val="20"/>
                <w:szCs w:val="20"/>
              </w:rPr>
              <w:t>Zarić</w:t>
            </w:r>
            <w:proofErr w:type="spellEnd"/>
          </w:p>
        </w:tc>
        <w:tc>
          <w:tcPr>
            <w:tcW w:w="2172" w:type="dxa"/>
            <w:shd w:val="clear" w:color="auto" w:fill="auto"/>
            <w:vAlign w:val="center"/>
          </w:tcPr>
          <w:p w:rsidR="00A07D92" w:rsidRDefault="00495E63">
            <w:pPr>
              <w:spacing w:before="0" w:after="0" w:line="240" w:lineRule="auto"/>
              <w:jc w:val="left"/>
              <w:rPr>
                <w:color w:val="auto"/>
                <w:sz w:val="20"/>
                <w:szCs w:val="20"/>
              </w:rPr>
            </w:pPr>
            <w:proofErr w:type="spellStart"/>
            <w:r>
              <w:rPr>
                <w:color w:val="auto"/>
                <w:sz w:val="20"/>
                <w:szCs w:val="20"/>
              </w:rPr>
              <w:t>mag</w:t>
            </w:r>
            <w:proofErr w:type="spellEnd"/>
            <w:r>
              <w:rPr>
                <w:color w:val="auto"/>
                <w:sz w:val="20"/>
                <w:szCs w:val="20"/>
              </w:rPr>
              <w:t xml:space="preserve">. ing. </w:t>
            </w:r>
            <w:proofErr w:type="spellStart"/>
            <w:r>
              <w:rPr>
                <w:color w:val="auto"/>
                <w:sz w:val="20"/>
                <w:szCs w:val="20"/>
              </w:rPr>
              <w:t>sec</w:t>
            </w:r>
            <w:proofErr w:type="spellEnd"/>
            <w:r>
              <w:rPr>
                <w:color w:val="auto"/>
                <w:sz w:val="20"/>
                <w:szCs w:val="20"/>
              </w:rPr>
              <w:t>.</w:t>
            </w:r>
          </w:p>
        </w:tc>
        <w:tc>
          <w:tcPr>
            <w:tcW w:w="3875" w:type="dxa"/>
            <w:gridSpan w:val="4"/>
            <w:shd w:val="clear" w:color="auto" w:fill="auto"/>
            <w:vAlign w:val="center"/>
          </w:tcPr>
          <w:p w:rsidR="00A07D92" w:rsidRDefault="00495E63">
            <w:pPr>
              <w:spacing w:before="0" w:after="0" w:line="240" w:lineRule="auto"/>
              <w:jc w:val="left"/>
              <w:rPr>
                <w:color w:val="auto"/>
                <w:sz w:val="20"/>
                <w:szCs w:val="20"/>
              </w:rPr>
            </w:pPr>
            <w:r>
              <w:rPr>
                <w:noProof/>
                <w:lang w:eastAsia="hr-HR"/>
              </w:rPr>
              <w:drawing>
                <wp:inline distT="0" distB="0" distL="0" distR="0">
                  <wp:extent cx="1095375" cy="422910"/>
                  <wp:effectExtent l="0" t="0" r="0" b="0"/>
                  <wp:docPr id="13"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41"/>
                          <pic:cNvPicPr>
                            <a:picLocks noChangeAspect="1" noChangeArrowheads="1"/>
                          </pic:cNvPicPr>
                        </pic:nvPicPr>
                        <pic:blipFill>
                          <a:blip r:embed="rId15"/>
                          <a:stretch>
                            <a:fillRect/>
                          </a:stretch>
                        </pic:blipFill>
                        <pic:spPr bwMode="auto">
                          <a:xfrm>
                            <a:off x="0" y="0"/>
                            <a:ext cx="1095375" cy="422910"/>
                          </a:xfrm>
                          <a:prstGeom prst="rect">
                            <a:avLst/>
                          </a:prstGeom>
                        </pic:spPr>
                      </pic:pic>
                    </a:graphicData>
                  </a:graphic>
                </wp:inline>
              </w:drawing>
            </w:r>
          </w:p>
        </w:tc>
      </w:tr>
      <w:tr w:rsidR="00A07D92">
        <w:trPr>
          <w:trHeight w:val="340"/>
        </w:trPr>
        <w:tc>
          <w:tcPr>
            <w:tcW w:w="2250" w:type="dxa"/>
            <w:shd w:val="clear" w:color="auto" w:fill="auto"/>
            <w:vAlign w:val="center"/>
          </w:tcPr>
          <w:p w:rsidR="00A07D92" w:rsidRDefault="00A07D92">
            <w:pPr>
              <w:spacing w:before="0" w:after="0" w:line="240" w:lineRule="auto"/>
              <w:jc w:val="left"/>
              <w:rPr>
                <w:color w:val="auto"/>
                <w:sz w:val="20"/>
                <w:szCs w:val="20"/>
              </w:rPr>
            </w:pPr>
          </w:p>
        </w:tc>
        <w:tc>
          <w:tcPr>
            <w:tcW w:w="1684" w:type="dxa"/>
            <w:shd w:val="clear" w:color="auto" w:fill="auto"/>
          </w:tcPr>
          <w:p w:rsidR="00A07D92" w:rsidRDefault="00495E63">
            <w:pPr>
              <w:spacing w:before="0" w:after="0" w:line="240" w:lineRule="auto"/>
              <w:jc w:val="left"/>
              <w:rPr>
                <w:color w:val="auto"/>
                <w:sz w:val="20"/>
                <w:szCs w:val="20"/>
              </w:rPr>
            </w:pPr>
            <w:r>
              <w:rPr>
                <w:color w:val="auto"/>
                <w:sz w:val="20"/>
                <w:szCs w:val="20"/>
              </w:rPr>
              <w:t>Matija Široka</w:t>
            </w:r>
          </w:p>
        </w:tc>
        <w:tc>
          <w:tcPr>
            <w:tcW w:w="2172" w:type="dxa"/>
            <w:shd w:val="clear" w:color="auto" w:fill="auto"/>
          </w:tcPr>
          <w:p w:rsidR="00A07D92" w:rsidRDefault="00495E63">
            <w:pPr>
              <w:spacing w:before="0" w:after="0" w:line="240" w:lineRule="auto"/>
              <w:jc w:val="left"/>
              <w:rPr>
                <w:color w:val="auto"/>
                <w:sz w:val="20"/>
                <w:szCs w:val="20"/>
              </w:rPr>
            </w:pPr>
            <w:proofErr w:type="spellStart"/>
            <w:r>
              <w:rPr>
                <w:sz w:val="20"/>
                <w:szCs w:val="20"/>
              </w:rPr>
              <w:t>oecol</w:t>
            </w:r>
            <w:proofErr w:type="spellEnd"/>
            <w:r>
              <w:rPr>
                <w:sz w:val="20"/>
                <w:szCs w:val="20"/>
              </w:rPr>
              <w:t xml:space="preserve">., mag.sanit.ing.    </w:t>
            </w:r>
          </w:p>
        </w:tc>
        <w:tc>
          <w:tcPr>
            <w:tcW w:w="3875" w:type="dxa"/>
            <w:gridSpan w:val="4"/>
            <w:shd w:val="clear" w:color="auto" w:fill="auto"/>
          </w:tcPr>
          <w:p w:rsidR="00A07D92" w:rsidRDefault="00495E63">
            <w:pPr>
              <w:spacing w:before="0" w:after="0" w:line="240" w:lineRule="auto"/>
              <w:jc w:val="left"/>
              <w:rPr>
                <w:color w:val="auto"/>
                <w:sz w:val="20"/>
                <w:szCs w:val="20"/>
                <w:lang w:eastAsia="hr-HR"/>
              </w:rPr>
            </w:pPr>
            <w:r>
              <w:rPr>
                <w:noProof/>
                <w:lang w:eastAsia="hr-HR"/>
              </w:rPr>
              <w:drawing>
                <wp:inline distT="0" distB="0" distL="0" distR="0">
                  <wp:extent cx="829310" cy="469265"/>
                  <wp:effectExtent l="0" t="0" r="0" b="0"/>
                  <wp:docPr id="14"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Icon&#10;&#10;Description automatically generated"/>
                          <pic:cNvPicPr>
                            <a:picLocks noChangeAspect="1" noChangeArrowheads="1"/>
                          </pic:cNvPicPr>
                        </pic:nvPicPr>
                        <pic:blipFill>
                          <a:blip r:embed="rId16"/>
                          <a:stretch>
                            <a:fillRect/>
                          </a:stretch>
                        </pic:blipFill>
                        <pic:spPr bwMode="auto">
                          <a:xfrm>
                            <a:off x="0" y="0"/>
                            <a:ext cx="829310" cy="469265"/>
                          </a:xfrm>
                          <a:prstGeom prst="rect">
                            <a:avLst/>
                          </a:prstGeom>
                        </pic:spPr>
                      </pic:pic>
                    </a:graphicData>
                  </a:graphic>
                </wp:inline>
              </w:drawing>
            </w:r>
          </w:p>
        </w:tc>
      </w:tr>
      <w:tr w:rsidR="00A07D92">
        <w:trPr>
          <w:trHeight w:val="340"/>
        </w:trPr>
        <w:tc>
          <w:tcPr>
            <w:tcW w:w="2250" w:type="dxa"/>
            <w:shd w:val="clear" w:color="auto" w:fill="auto"/>
            <w:vAlign w:val="center"/>
          </w:tcPr>
          <w:p w:rsidR="00A07D92" w:rsidRDefault="00A07D92">
            <w:pPr>
              <w:spacing w:before="0" w:after="0" w:line="240" w:lineRule="auto"/>
              <w:jc w:val="left"/>
              <w:rPr>
                <w:color w:val="auto"/>
                <w:sz w:val="20"/>
                <w:szCs w:val="20"/>
              </w:rPr>
            </w:pPr>
          </w:p>
        </w:tc>
        <w:tc>
          <w:tcPr>
            <w:tcW w:w="1684" w:type="dxa"/>
            <w:shd w:val="clear" w:color="auto" w:fill="auto"/>
            <w:vAlign w:val="center"/>
          </w:tcPr>
          <w:p w:rsidR="00A07D92" w:rsidRDefault="00495E63">
            <w:pPr>
              <w:spacing w:before="0" w:after="0" w:line="240" w:lineRule="auto"/>
              <w:jc w:val="left"/>
              <w:rPr>
                <w:color w:val="auto"/>
                <w:sz w:val="20"/>
                <w:szCs w:val="20"/>
              </w:rPr>
            </w:pPr>
            <w:r>
              <w:rPr>
                <w:color w:val="auto"/>
                <w:sz w:val="20"/>
                <w:szCs w:val="20"/>
              </w:rPr>
              <w:t xml:space="preserve">Petra </w:t>
            </w:r>
            <w:proofErr w:type="spellStart"/>
            <w:r>
              <w:rPr>
                <w:color w:val="auto"/>
                <w:sz w:val="20"/>
                <w:szCs w:val="20"/>
              </w:rPr>
              <w:t>Meixner</w:t>
            </w:r>
            <w:proofErr w:type="spellEnd"/>
          </w:p>
        </w:tc>
        <w:tc>
          <w:tcPr>
            <w:tcW w:w="2172" w:type="dxa"/>
            <w:shd w:val="clear" w:color="auto" w:fill="auto"/>
            <w:vAlign w:val="center"/>
          </w:tcPr>
          <w:p w:rsidR="00A07D92" w:rsidRDefault="00495E63">
            <w:pPr>
              <w:spacing w:before="0" w:after="0" w:line="240" w:lineRule="auto"/>
              <w:jc w:val="left"/>
              <w:rPr>
                <w:sz w:val="20"/>
                <w:szCs w:val="20"/>
              </w:rPr>
            </w:pPr>
            <w:proofErr w:type="spellStart"/>
            <w:r>
              <w:rPr>
                <w:sz w:val="20"/>
                <w:szCs w:val="20"/>
              </w:rPr>
              <w:t>mag.iur</w:t>
            </w:r>
            <w:proofErr w:type="spellEnd"/>
            <w:r>
              <w:rPr>
                <w:sz w:val="20"/>
                <w:szCs w:val="20"/>
              </w:rPr>
              <w:t>.</w:t>
            </w:r>
          </w:p>
        </w:tc>
        <w:tc>
          <w:tcPr>
            <w:tcW w:w="3875" w:type="dxa"/>
            <w:gridSpan w:val="4"/>
            <w:shd w:val="clear" w:color="auto" w:fill="auto"/>
            <w:vAlign w:val="center"/>
          </w:tcPr>
          <w:p w:rsidR="00A07D92" w:rsidRDefault="00495E63">
            <w:pPr>
              <w:spacing w:before="0" w:after="0" w:line="240" w:lineRule="auto"/>
              <w:jc w:val="left"/>
              <w:rPr>
                <w:sz w:val="20"/>
                <w:szCs w:val="20"/>
                <w:lang w:eastAsia="hr-HR"/>
              </w:rPr>
            </w:pPr>
            <w:r>
              <w:rPr>
                <w:noProof/>
                <w:lang w:eastAsia="hr-HR"/>
              </w:rPr>
              <w:drawing>
                <wp:inline distT="0" distB="0" distL="0" distR="0">
                  <wp:extent cx="1112520" cy="440690"/>
                  <wp:effectExtent l="0" t="0" r="0" b="0"/>
                  <wp:docPr id="15"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66"/>
                          <pic:cNvPicPr>
                            <a:picLocks noChangeAspect="1" noChangeArrowheads="1"/>
                          </pic:cNvPicPr>
                        </pic:nvPicPr>
                        <pic:blipFill>
                          <a:blip r:embed="rId17"/>
                          <a:stretch>
                            <a:fillRect/>
                          </a:stretch>
                        </pic:blipFill>
                        <pic:spPr bwMode="auto">
                          <a:xfrm>
                            <a:off x="0" y="0"/>
                            <a:ext cx="1112520" cy="440690"/>
                          </a:xfrm>
                          <a:prstGeom prst="rect">
                            <a:avLst/>
                          </a:prstGeom>
                        </pic:spPr>
                      </pic:pic>
                    </a:graphicData>
                  </a:graphic>
                </wp:inline>
              </w:drawing>
            </w:r>
          </w:p>
        </w:tc>
      </w:tr>
      <w:tr w:rsidR="00A07D92">
        <w:trPr>
          <w:trHeight w:val="340"/>
        </w:trPr>
        <w:tc>
          <w:tcPr>
            <w:tcW w:w="2250" w:type="dxa"/>
            <w:shd w:val="clear" w:color="auto" w:fill="auto"/>
            <w:vAlign w:val="center"/>
          </w:tcPr>
          <w:p w:rsidR="00A07D92" w:rsidRDefault="00A07D92">
            <w:pPr>
              <w:spacing w:before="0" w:after="0" w:line="240" w:lineRule="auto"/>
              <w:jc w:val="left"/>
              <w:rPr>
                <w:color w:val="auto"/>
                <w:sz w:val="20"/>
                <w:szCs w:val="20"/>
              </w:rPr>
            </w:pPr>
          </w:p>
        </w:tc>
        <w:tc>
          <w:tcPr>
            <w:tcW w:w="1684" w:type="dxa"/>
            <w:shd w:val="clear" w:color="auto" w:fill="auto"/>
            <w:vAlign w:val="center"/>
          </w:tcPr>
          <w:p w:rsidR="00A07D92" w:rsidRDefault="00495E63">
            <w:pPr>
              <w:spacing w:before="0" w:after="0" w:line="240" w:lineRule="auto"/>
              <w:jc w:val="left"/>
              <w:rPr>
                <w:color w:val="auto"/>
                <w:sz w:val="20"/>
                <w:szCs w:val="20"/>
              </w:rPr>
            </w:pPr>
            <w:r>
              <w:rPr>
                <w:color w:val="auto"/>
                <w:sz w:val="20"/>
                <w:szCs w:val="20"/>
              </w:rPr>
              <w:t>Sunčana Sitar</w:t>
            </w:r>
          </w:p>
        </w:tc>
        <w:tc>
          <w:tcPr>
            <w:tcW w:w="2172" w:type="dxa"/>
            <w:shd w:val="clear" w:color="auto" w:fill="auto"/>
          </w:tcPr>
          <w:p w:rsidR="00A07D92" w:rsidRDefault="00A07D92">
            <w:pPr>
              <w:spacing w:before="0" w:after="0" w:line="240" w:lineRule="auto"/>
              <w:jc w:val="left"/>
              <w:rPr>
                <w:color w:val="auto"/>
                <w:sz w:val="20"/>
                <w:szCs w:val="20"/>
              </w:rPr>
            </w:pPr>
          </w:p>
          <w:p w:rsidR="00A07D92" w:rsidRDefault="00495E63">
            <w:pPr>
              <w:spacing w:before="0" w:after="0" w:line="240" w:lineRule="auto"/>
              <w:jc w:val="left"/>
              <w:rPr>
                <w:sz w:val="20"/>
                <w:szCs w:val="20"/>
              </w:rPr>
            </w:pPr>
            <w:proofErr w:type="spellStart"/>
            <w:r>
              <w:rPr>
                <w:color w:val="auto"/>
                <w:sz w:val="20"/>
                <w:szCs w:val="20"/>
              </w:rPr>
              <w:t>oecc</w:t>
            </w:r>
            <w:proofErr w:type="spellEnd"/>
            <w:r>
              <w:rPr>
                <w:color w:val="auto"/>
                <w:sz w:val="20"/>
                <w:szCs w:val="20"/>
              </w:rPr>
              <w:t>.</w:t>
            </w:r>
          </w:p>
        </w:tc>
        <w:tc>
          <w:tcPr>
            <w:tcW w:w="3875" w:type="dxa"/>
            <w:gridSpan w:val="4"/>
            <w:shd w:val="clear" w:color="auto" w:fill="auto"/>
          </w:tcPr>
          <w:p w:rsidR="00A07D92" w:rsidRDefault="00495E63">
            <w:pPr>
              <w:spacing w:before="0" w:after="0" w:line="240" w:lineRule="auto"/>
              <w:jc w:val="left"/>
              <w:rPr>
                <w:sz w:val="20"/>
                <w:szCs w:val="20"/>
                <w:lang w:eastAsia="hr-HR"/>
              </w:rPr>
            </w:pPr>
            <w:r>
              <w:rPr>
                <w:noProof/>
                <w:lang w:eastAsia="hr-HR"/>
              </w:rPr>
              <w:drawing>
                <wp:inline distT="0" distB="0" distL="0" distR="0">
                  <wp:extent cx="534670" cy="405765"/>
                  <wp:effectExtent l="0" t="0" r="0" b="0"/>
                  <wp:docPr id="16"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0" descr="Text&#10;&#10;Description automatically generated"/>
                          <pic:cNvPicPr>
                            <a:picLocks noChangeAspect="1" noChangeArrowheads="1"/>
                          </pic:cNvPicPr>
                        </pic:nvPicPr>
                        <pic:blipFill>
                          <a:blip r:embed="rId18"/>
                          <a:stretch>
                            <a:fillRect/>
                          </a:stretch>
                        </pic:blipFill>
                        <pic:spPr bwMode="auto">
                          <a:xfrm>
                            <a:off x="0" y="0"/>
                            <a:ext cx="534670" cy="405765"/>
                          </a:xfrm>
                          <a:prstGeom prst="rect">
                            <a:avLst/>
                          </a:prstGeom>
                        </pic:spPr>
                      </pic:pic>
                    </a:graphicData>
                  </a:graphic>
                </wp:inline>
              </w:drawing>
            </w:r>
          </w:p>
        </w:tc>
      </w:tr>
      <w:tr w:rsidR="00A07D92">
        <w:trPr>
          <w:trHeight w:val="340"/>
        </w:trPr>
        <w:tc>
          <w:tcPr>
            <w:tcW w:w="2250" w:type="dxa"/>
            <w:shd w:val="clear" w:color="auto" w:fill="auto"/>
            <w:vAlign w:val="center"/>
          </w:tcPr>
          <w:p w:rsidR="00A07D92" w:rsidRDefault="00A07D92">
            <w:pPr>
              <w:spacing w:before="0" w:after="0" w:line="240" w:lineRule="auto"/>
              <w:jc w:val="left"/>
              <w:rPr>
                <w:color w:val="auto"/>
                <w:sz w:val="20"/>
                <w:szCs w:val="20"/>
              </w:rPr>
            </w:pPr>
          </w:p>
        </w:tc>
        <w:tc>
          <w:tcPr>
            <w:tcW w:w="1684" w:type="dxa"/>
            <w:shd w:val="clear" w:color="auto" w:fill="auto"/>
            <w:vAlign w:val="center"/>
          </w:tcPr>
          <w:p w:rsidR="00A07D92" w:rsidRDefault="00495E63">
            <w:pPr>
              <w:spacing w:before="0" w:after="0" w:line="240" w:lineRule="auto"/>
              <w:jc w:val="left"/>
              <w:rPr>
                <w:color w:val="auto"/>
                <w:sz w:val="20"/>
                <w:szCs w:val="20"/>
              </w:rPr>
            </w:pPr>
            <w:r>
              <w:rPr>
                <w:sz w:val="20"/>
                <w:szCs w:val="20"/>
              </w:rPr>
              <w:t>Danijela Štimac</w:t>
            </w:r>
          </w:p>
        </w:tc>
        <w:tc>
          <w:tcPr>
            <w:tcW w:w="2172" w:type="dxa"/>
            <w:shd w:val="clear" w:color="auto" w:fill="auto"/>
            <w:vAlign w:val="center"/>
          </w:tcPr>
          <w:p w:rsidR="00A07D92" w:rsidRDefault="00495E63">
            <w:pPr>
              <w:spacing w:before="0" w:after="0" w:line="240" w:lineRule="auto"/>
              <w:jc w:val="left"/>
              <w:rPr>
                <w:sz w:val="20"/>
                <w:szCs w:val="20"/>
              </w:rPr>
            </w:pPr>
            <w:r>
              <w:rPr>
                <w:sz w:val="20"/>
                <w:szCs w:val="20"/>
              </w:rPr>
              <w:t xml:space="preserve">bacc.prim.educ.      </w:t>
            </w:r>
            <w:r>
              <w:rPr>
                <w:sz w:val="20"/>
                <w:szCs w:val="20"/>
                <w:lang w:eastAsia="hr-HR"/>
              </w:rPr>
              <w:t xml:space="preserve"> </w:t>
            </w:r>
          </w:p>
        </w:tc>
        <w:tc>
          <w:tcPr>
            <w:tcW w:w="3875" w:type="dxa"/>
            <w:gridSpan w:val="4"/>
            <w:shd w:val="clear" w:color="auto" w:fill="auto"/>
          </w:tcPr>
          <w:p w:rsidR="00A07D92" w:rsidRDefault="00495E63">
            <w:pPr>
              <w:spacing w:before="0" w:after="0" w:line="240" w:lineRule="auto"/>
              <w:jc w:val="left"/>
              <w:rPr>
                <w:sz w:val="20"/>
                <w:szCs w:val="20"/>
                <w:lang w:eastAsia="hr-HR"/>
              </w:rPr>
            </w:pPr>
            <w:r>
              <w:rPr>
                <w:noProof/>
                <w:lang w:eastAsia="hr-HR"/>
              </w:rPr>
              <w:drawing>
                <wp:inline distT="0" distB="0" distL="0" distR="0">
                  <wp:extent cx="775335" cy="407670"/>
                  <wp:effectExtent l="0" t="0" r="0" b="0"/>
                  <wp:docPr id="17" name="Picture 35" descr="C:\Users\Korisnik2-DLS\AppData\Local\Microsoft\Windows\INetCache\Content.Word\Danijela Štimac potp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5" descr="C:\Users\Korisnik2-DLS\AppData\Local\Microsoft\Windows\INetCache\Content.Word\Danijela Štimac potpis.png"/>
                          <pic:cNvPicPr>
                            <a:picLocks noChangeAspect="1" noChangeArrowheads="1"/>
                          </pic:cNvPicPr>
                        </pic:nvPicPr>
                        <pic:blipFill>
                          <a:blip r:embed="rId19"/>
                          <a:stretch>
                            <a:fillRect/>
                          </a:stretch>
                        </pic:blipFill>
                        <pic:spPr bwMode="auto">
                          <a:xfrm>
                            <a:off x="0" y="0"/>
                            <a:ext cx="775335" cy="407670"/>
                          </a:xfrm>
                          <a:prstGeom prst="rect">
                            <a:avLst/>
                          </a:prstGeom>
                        </pic:spPr>
                      </pic:pic>
                    </a:graphicData>
                  </a:graphic>
                </wp:inline>
              </w:drawing>
            </w:r>
            <w:bookmarkStart w:id="1" w:name="_Hlk136509895"/>
            <w:bookmarkEnd w:id="1"/>
          </w:p>
        </w:tc>
      </w:tr>
    </w:tbl>
    <w:p w:rsidR="00A07D92" w:rsidRDefault="00A07D92">
      <w:pPr>
        <w:spacing w:before="0" w:after="0"/>
        <w:jc w:val="center"/>
        <w:rPr>
          <w:sz w:val="20"/>
        </w:rPr>
      </w:pPr>
    </w:p>
    <w:p w:rsidR="00A07D92" w:rsidRDefault="00A07D92">
      <w:pPr>
        <w:spacing w:before="0" w:after="0"/>
        <w:jc w:val="center"/>
        <w:rPr>
          <w:sz w:val="20"/>
        </w:rPr>
      </w:pPr>
    </w:p>
    <w:p w:rsidR="00A07D92" w:rsidRDefault="00A07D92">
      <w:pPr>
        <w:spacing w:before="0" w:after="0"/>
        <w:jc w:val="center"/>
        <w:rPr>
          <w:sz w:val="20"/>
        </w:rPr>
      </w:pPr>
    </w:p>
    <w:p w:rsidR="00A07D92" w:rsidRDefault="00A07D92">
      <w:pPr>
        <w:spacing w:before="0" w:after="0"/>
        <w:jc w:val="center"/>
        <w:rPr>
          <w:sz w:val="20"/>
        </w:rPr>
      </w:pPr>
    </w:p>
    <w:p w:rsidR="00A07D92" w:rsidRDefault="00495E63">
      <w:pPr>
        <w:spacing w:before="0" w:after="0"/>
        <w:jc w:val="center"/>
        <w:rPr>
          <w:sz w:val="20"/>
        </w:rPr>
      </w:pPr>
      <w:proofErr w:type="spellStart"/>
      <w:r>
        <w:rPr>
          <w:sz w:val="20"/>
        </w:rPr>
        <w:t>M.P</w:t>
      </w:r>
      <w:proofErr w:type="spellEnd"/>
      <w:r>
        <w:rPr>
          <w:sz w:val="20"/>
        </w:rPr>
        <w:t xml:space="preserve">. </w:t>
      </w:r>
    </w:p>
    <w:p w:rsidR="00A07D92" w:rsidRDefault="00495E63">
      <w:pPr>
        <w:spacing w:before="0" w:after="0"/>
        <w:jc w:val="center"/>
        <w:rPr>
          <w:sz w:val="20"/>
        </w:rPr>
      </w:pPr>
      <w:r>
        <w:rPr>
          <w:noProof/>
          <w:lang w:eastAsia="hr-HR"/>
        </w:rPr>
        <w:drawing>
          <wp:inline distT="0" distB="0" distL="0" distR="0">
            <wp:extent cx="852170" cy="437515"/>
            <wp:effectExtent l="0" t="0" r="0" b="0"/>
            <wp:docPr id="18" name="Slika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453"/>
                    <pic:cNvPicPr>
                      <a:picLocks noChangeAspect="1" noChangeArrowheads="1"/>
                    </pic:cNvPicPr>
                  </pic:nvPicPr>
                  <pic:blipFill>
                    <a:blip r:embed="rId20"/>
                    <a:stretch>
                      <a:fillRect/>
                    </a:stretch>
                  </pic:blipFill>
                  <pic:spPr bwMode="auto">
                    <a:xfrm>
                      <a:off x="0" y="0"/>
                      <a:ext cx="852170" cy="437515"/>
                    </a:xfrm>
                    <a:prstGeom prst="rect">
                      <a:avLst/>
                    </a:prstGeom>
                  </pic:spPr>
                </pic:pic>
              </a:graphicData>
            </a:graphic>
          </wp:inline>
        </w:drawing>
      </w:r>
    </w:p>
    <w:p w:rsidR="00A07D92" w:rsidRDefault="00495E63">
      <w:pPr>
        <w:spacing w:before="0" w:after="0"/>
        <w:jc w:val="right"/>
        <w:rPr>
          <w:sz w:val="20"/>
        </w:rPr>
      </w:pPr>
      <w:r>
        <w:rPr>
          <w:sz w:val="20"/>
        </w:rPr>
        <w:t>Odgovorna osoba</w:t>
      </w:r>
    </w:p>
    <w:p w:rsidR="00A07D92" w:rsidRDefault="00495E63">
      <w:pPr>
        <w:spacing w:before="120" w:after="120"/>
        <w:jc w:val="right"/>
      </w:pPr>
      <w:r>
        <w:rPr>
          <w:color w:val="auto"/>
          <w:sz w:val="20"/>
          <w:szCs w:val="20"/>
        </w:rPr>
        <w:t xml:space="preserve">Igor </w:t>
      </w:r>
      <w:proofErr w:type="spellStart"/>
      <w:r>
        <w:rPr>
          <w:color w:val="auto"/>
          <w:sz w:val="20"/>
          <w:szCs w:val="20"/>
        </w:rPr>
        <w:t>Meixner</w:t>
      </w:r>
      <w:proofErr w:type="spellEnd"/>
      <w:r>
        <w:rPr>
          <w:color w:val="auto"/>
          <w:sz w:val="20"/>
          <w:szCs w:val="20"/>
        </w:rPr>
        <w:t>, dipl.ing.kem.tehn.</w:t>
      </w:r>
      <w:bookmarkStart w:id="2" w:name="_Hlk131587470"/>
      <w:bookmarkEnd w:id="2"/>
    </w:p>
    <w:p w:rsidR="00A07D92" w:rsidRDefault="00A07D92">
      <w:pPr>
        <w:spacing w:before="0" w:after="0"/>
        <w:jc w:val="right"/>
        <w:rPr>
          <w:sz w:val="20"/>
        </w:rPr>
      </w:pPr>
    </w:p>
    <w:p w:rsidR="00A07D92" w:rsidRDefault="00495E63">
      <w:pPr>
        <w:jc w:val="center"/>
        <w:rPr>
          <w:i/>
          <w:sz w:val="16"/>
        </w:rPr>
      </w:pPr>
      <w:r>
        <w:rPr>
          <w:noProof/>
          <w:lang w:eastAsia="hr-HR"/>
        </w:rPr>
        <w:drawing>
          <wp:anchor distT="0" distB="0" distL="114300" distR="0" simplePos="0" relativeHeight="37" behindDoc="0" locked="0" layoutInCell="1" allowOverlap="1">
            <wp:simplePos x="0" y="0"/>
            <wp:positionH relativeFrom="column">
              <wp:align>right</wp:align>
            </wp:positionH>
            <wp:positionV relativeFrom="paragraph">
              <wp:posOffset>635</wp:posOffset>
            </wp:positionV>
            <wp:extent cx="842010" cy="647065"/>
            <wp:effectExtent l="0" t="0" r="0" b="0"/>
            <wp:wrapSquare wrapText="bothSides"/>
            <wp:docPr id="19" name="Slika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454"/>
                    <pic:cNvPicPr>
                      <a:picLocks noChangeAspect="1" noChangeArrowheads="1"/>
                    </pic:cNvPicPr>
                  </pic:nvPicPr>
                  <pic:blipFill>
                    <a:blip r:embed="rId21"/>
                    <a:stretch>
                      <a:fillRect/>
                    </a:stretch>
                  </pic:blipFill>
                  <pic:spPr bwMode="auto">
                    <a:xfrm>
                      <a:off x="0" y="0"/>
                      <a:ext cx="842010" cy="647065"/>
                    </a:xfrm>
                    <a:prstGeom prst="rect">
                      <a:avLst/>
                    </a:prstGeom>
                  </pic:spPr>
                </pic:pic>
              </a:graphicData>
            </a:graphic>
          </wp:anchor>
        </w:drawing>
      </w:r>
      <w:r>
        <w:rPr>
          <w:sz w:val="20"/>
        </w:rPr>
        <w:br/>
      </w:r>
    </w:p>
    <w:p w:rsidR="00A07D92" w:rsidRDefault="00A07D92">
      <w:pPr>
        <w:jc w:val="center"/>
        <w:rPr>
          <w:i/>
          <w:sz w:val="16"/>
        </w:rPr>
      </w:pPr>
    </w:p>
    <w:p w:rsidR="00A07D92" w:rsidRDefault="00A07D92">
      <w:pPr>
        <w:rPr>
          <w:i/>
          <w:sz w:val="16"/>
        </w:rPr>
      </w:pPr>
    </w:p>
    <w:p w:rsidR="00A07D92" w:rsidRDefault="00495E63">
      <w:pPr>
        <w:jc w:val="center"/>
        <w:rPr>
          <w:i/>
          <w:sz w:val="16"/>
        </w:rPr>
      </w:pPr>
      <w:r>
        <w:rPr>
          <w:i/>
          <w:sz w:val="16"/>
        </w:rPr>
        <w:t>Ovaj dokument u cijelom svom sadržaju predstavlja vlasništvo Grada Malog Lošinja te je zabranjeno kopiranje, umnožavanje ili pak objavljivanje u bilo kojem obliku osim zakonski propisanog bez prethodne pismene suglasn</w:t>
      </w:r>
      <w:r>
        <w:rPr>
          <w:i/>
          <w:sz w:val="16"/>
        </w:rPr>
        <w:t>osti odgovorne osobe Grada Malog Lošinja</w:t>
      </w:r>
    </w:p>
    <w:p w:rsidR="00A07D92" w:rsidRDefault="00A07D92">
      <w:pPr>
        <w:jc w:val="center"/>
        <w:rPr>
          <w:i/>
          <w:sz w:val="16"/>
        </w:rPr>
      </w:pPr>
    </w:p>
    <w:p w:rsidR="00A07D92" w:rsidRDefault="00A07D92">
      <w:pPr>
        <w:jc w:val="center"/>
        <w:rPr>
          <w:i/>
          <w:sz w:val="16"/>
        </w:rPr>
      </w:pPr>
    </w:p>
    <w:p w:rsidR="00A07D92" w:rsidRDefault="00495E63">
      <w:sdt>
        <w:sdtPr>
          <w:id w:val="1412942338"/>
        </w:sdtPr>
        <w:sdtEndPr/>
        <w:sdtContent>
          <w:r>
            <w:rPr>
              <w:szCs w:val="22"/>
            </w:rPr>
            <w:t>S A D R Ž A J</w:t>
          </w:r>
        </w:sdtContent>
      </w:sdt>
    </w:p>
    <w:sdt>
      <w:sdtPr>
        <w:id w:val="694194498"/>
        <w:docPartObj>
          <w:docPartGallery w:val="Table of Contents"/>
          <w:docPartUnique/>
        </w:docPartObj>
      </w:sdtPr>
      <w:sdtEndPr/>
      <w:sdtContent>
        <w:p w:rsidR="00A07D92" w:rsidRDefault="00495E63">
          <w:pPr>
            <w:spacing w:after="0"/>
          </w:pPr>
          <w:r>
            <w:fldChar w:fldCharType="begin"/>
          </w:r>
          <w:r>
            <w:instrText>TOC \z \o "1-3" \u \h</w:instrText>
          </w:r>
          <w:r>
            <w:fldChar w:fldCharType="end"/>
          </w:r>
        </w:p>
      </w:sdtContent>
    </w:sdt>
    <w:p w:rsidR="00A07D92" w:rsidRDefault="00495E63">
      <w:pPr>
        <w:pStyle w:val="Sadraj1"/>
        <w:tabs>
          <w:tab w:val="left" w:pos="342"/>
          <w:tab w:val="right" w:leader="dot" w:pos="9060"/>
        </w:tabs>
        <w:rPr>
          <w:rFonts w:asciiTheme="minorHAnsi" w:eastAsiaTheme="minorEastAsia" w:hAnsiTheme="minorHAnsi" w:cstheme="minorBidi"/>
          <w:b w:val="0"/>
          <w:bCs w:val="0"/>
          <w:caps w:val="0"/>
          <w:color w:val="auto"/>
          <w:kern w:val="2"/>
          <w:szCs w:val="22"/>
          <w:u w:val="none"/>
          <w:lang w:eastAsia="hr-HR"/>
          <w14:ligatures w14:val="standardContextual"/>
        </w:rPr>
      </w:pPr>
      <w:hyperlink w:anchor="_Toc136522772">
        <w:r>
          <w:rPr>
            <w:rStyle w:val="Indeksirajvezu"/>
          </w:rPr>
          <w:t>1</w:t>
        </w:r>
        <w:r>
          <w:rPr>
            <w:rStyle w:val="Indeksirajvezu"/>
            <w:rFonts w:asciiTheme="minorHAnsi" w:eastAsiaTheme="minorEastAsia" w:hAnsiTheme="minorHAnsi" w:cstheme="minorBidi"/>
            <w:b w:val="0"/>
            <w:bCs w:val="0"/>
            <w:caps w:val="0"/>
            <w:color w:val="auto"/>
            <w:kern w:val="2"/>
            <w:szCs w:val="22"/>
            <w:u w:val="none"/>
            <w:lang w:eastAsia="hr-HR"/>
            <w14:ligatures w14:val="standardContextual"/>
          </w:rPr>
          <w:tab/>
        </w:r>
        <w:r>
          <w:rPr>
            <w:rStyle w:val="Indeksirajvezu"/>
          </w:rPr>
          <w:t>Uvod</w:t>
        </w:r>
        <w:r>
          <w:rPr>
            <w:webHidden/>
          </w:rPr>
          <w:fldChar w:fldCharType="begin"/>
        </w:r>
        <w:r>
          <w:rPr>
            <w:webHidden/>
          </w:rPr>
          <w:instrText>PAGEREF _Toc136522772 \h</w:instrText>
        </w:r>
        <w:r>
          <w:rPr>
            <w:webHidden/>
          </w:rPr>
        </w:r>
        <w:r>
          <w:rPr>
            <w:webHidden/>
          </w:rPr>
          <w:fldChar w:fldCharType="separate"/>
        </w:r>
        <w:r>
          <w:rPr>
            <w:rStyle w:val="Indeksirajvezu"/>
          </w:rPr>
          <w:tab/>
          <w:t>8</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773">
        <w:r>
          <w:rPr>
            <w:rStyle w:val="Indeksirajvezu"/>
            <w:lang w:bidi="en-US"/>
          </w:rPr>
          <w:t>1.1 Temelj za izradu Procjene rizika</w:t>
        </w:r>
        <w:r>
          <w:rPr>
            <w:webHidden/>
          </w:rPr>
          <w:fldChar w:fldCharType="begin"/>
        </w:r>
        <w:r>
          <w:rPr>
            <w:webHidden/>
          </w:rPr>
          <w:instrText>PAGEREF _Toc136522773 \h</w:instrText>
        </w:r>
        <w:r>
          <w:rPr>
            <w:webHidden/>
          </w:rPr>
        </w:r>
        <w:r>
          <w:rPr>
            <w:webHidden/>
          </w:rPr>
          <w:fldChar w:fldCharType="separate"/>
        </w:r>
        <w:r>
          <w:rPr>
            <w:rStyle w:val="Indeksirajvezu"/>
          </w:rPr>
          <w:tab/>
          <w:t>8</w:t>
        </w:r>
        <w:r>
          <w:rPr>
            <w:webHidden/>
          </w:rPr>
          <w:fldChar w:fldCharType="end"/>
        </w:r>
      </w:hyperlink>
    </w:p>
    <w:p w:rsidR="00A07D92" w:rsidRDefault="00495E63">
      <w:pPr>
        <w:pStyle w:val="Sadraj1"/>
        <w:tabs>
          <w:tab w:val="left" w:pos="342"/>
          <w:tab w:val="right" w:leader="dot" w:pos="9060"/>
        </w:tabs>
        <w:rPr>
          <w:rFonts w:asciiTheme="minorHAnsi" w:eastAsiaTheme="minorEastAsia" w:hAnsiTheme="minorHAnsi" w:cstheme="minorBidi"/>
          <w:b w:val="0"/>
          <w:bCs w:val="0"/>
          <w:caps w:val="0"/>
          <w:color w:val="auto"/>
          <w:kern w:val="2"/>
          <w:szCs w:val="22"/>
          <w:u w:val="none"/>
          <w:lang w:eastAsia="hr-HR"/>
          <w14:ligatures w14:val="standardContextual"/>
        </w:rPr>
      </w:pPr>
      <w:hyperlink w:anchor="_Toc136522774">
        <w:r>
          <w:rPr>
            <w:rStyle w:val="Indeksirajvezu"/>
          </w:rPr>
          <w:t>2</w:t>
        </w:r>
        <w:r>
          <w:rPr>
            <w:rStyle w:val="Indeksirajvezu"/>
            <w:rFonts w:asciiTheme="minorHAnsi" w:eastAsiaTheme="minorEastAsia" w:hAnsiTheme="minorHAnsi" w:cstheme="minorBidi"/>
            <w:b w:val="0"/>
            <w:bCs w:val="0"/>
            <w:caps w:val="0"/>
            <w:color w:val="auto"/>
            <w:kern w:val="2"/>
            <w:szCs w:val="22"/>
            <w:u w:val="none"/>
            <w:lang w:eastAsia="hr-HR"/>
            <w14:ligatures w14:val="standardContextual"/>
          </w:rPr>
          <w:tab/>
        </w:r>
        <w:r>
          <w:rPr>
            <w:rStyle w:val="Indeksirajvezu"/>
          </w:rPr>
          <w:t>Osnovne karakteristike područja Grada Malog Lošinja</w:t>
        </w:r>
        <w:r>
          <w:rPr>
            <w:webHidden/>
          </w:rPr>
          <w:fldChar w:fldCharType="begin"/>
        </w:r>
        <w:r>
          <w:rPr>
            <w:webHidden/>
          </w:rPr>
          <w:instrText>PAGEREF _Toc136522774 \h</w:instrText>
        </w:r>
        <w:r>
          <w:rPr>
            <w:webHidden/>
          </w:rPr>
        </w:r>
        <w:r>
          <w:rPr>
            <w:webHidden/>
          </w:rPr>
          <w:fldChar w:fldCharType="separate"/>
        </w:r>
        <w:r>
          <w:rPr>
            <w:rStyle w:val="Indeksirajvezu"/>
          </w:rPr>
          <w:tab/>
          <w:t>10</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775">
        <w:r>
          <w:rPr>
            <w:rStyle w:val="Indeksirajvezu"/>
            <w:lang w:bidi="en-US"/>
          </w:rPr>
          <w:t>2.1 Geografski pokazatelji</w:t>
        </w:r>
        <w:r>
          <w:rPr>
            <w:webHidden/>
          </w:rPr>
          <w:fldChar w:fldCharType="begin"/>
        </w:r>
        <w:r>
          <w:rPr>
            <w:webHidden/>
          </w:rPr>
          <w:instrText>PAGEREF _Toc136522775 \h</w:instrText>
        </w:r>
        <w:r>
          <w:rPr>
            <w:webHidden/>
          </w:rPr>
        </w:r>
        <w:r>
          <w:rPr>
            <w:webHidden/>
          </w:rPr>
          <w:fldChar w:fldCharType="separate"/>
        </w:r>
        <w:r>
          <w:rPr>
            <w:rStyle w:val="Indeksirajvezu"/>
          </w:rPr>
          <w:tab/>
          <w:t>10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76">
        <w:r>
          <w:rPr>
            <w:rStyle w:val="Indeksirajvezu"/>
            <w:lang w:bidi="en-US"/>
          </w:rPr>
          <w:t>2.1.1 Geografski položaj</w:t>
        </w:r>
        <w:r>
          <w:rPr>
            <w:webHidden/>
          </w:rPr>
          <w:fldChar w:fldCharType="begin"/>
        </w:r>
        <w:r>
          <w:rPr>
            <w:webHidden/>
          </w:rPr>
          <w:instrText>PAGEREF _Toc136522776 \h</w:instrText>
        </w:r>
        <w:r>
          <w:rPr>
            <w:webHidden/>
          </w:rPr>
        </w:r>
        <w:r>
          <w:rPr>
            <w:webHidden/>
          </w:rPr>
          <w:fldChar w:fldCharType="separate"/>
        </w:r>
        <w:r>
          <w:rPr>
            <w:rStyle w:val="Indeksirajvezu"/>
          </w:rPr>
          <w:tab/>
          <w:t>10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77">
        <w:r>
          <w:rPr>
            <w:rStyle w:val="Indeksirajvezu"/>
            <w:lang w:bidi="en-US"/>
          </w:rPr>
          <w:t>2.1.2 Broj stanovnika</w:t>
        </w:r>
        <w:r>
          <w:rPr>
            <w:webHidden/>
          </w:rPr>
          <w:fldChar w:fldCharType="begin"/>
        </w:r>
        <w:r>
          <w:rPr>
            <w:webHidden/>
          </w:rPr>
          <w:instrText>PAGEREF _Toc136522777 \h</w:instrText>
        </w:r>
        <w:r>
          <w:rPr>
            <w:webHidden/>
          </w:rPr>
        </w:r>
        <w:r>
          <w:rPr>
            <w:webHidden/>
          </w:rPr>
          <w:fldChar w:fldCharType="separate"/>
        </w:r>
        <w:r>
          <w:rPr>
            <w:rStyle w:val="Indeksirajvezu"/>
          </w:rPr>
          <w:tab/>
          <w:t>11</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78">
        <w:r>
          <w:rPr>
            <w:rStyle w:val="Indeksirajvezu"/>
            <w:lang w:bidi="en-US"/>
          </w:rPr>
          <w:t>2.1.3 Gustoća naseljenosti</w:t>
        </w:r>
        <w:r>
          <w:rPr>
            <w:webHidden/>
          </w:rPr>
          <w:fldChar w:fldCharType="begin"/>
        </w:r>
        <w:r>
          <w:rPr>
            <w:webHidden/>
          </w:rPr>
          <w:instrText>PAGEREF _Toc136522778 \h</w:instrText>
        </w:r>
        <w:r>
          <w:rPr>
            <w:webHidden/>
          </w:rPr>
        </w:r>
        <w:r>
          <w:rPr>
            <w:webHidden/>
          </w:rPr>
          <w:fldChar w:fldCharType="separate"/>
        </w:r>
        <w:r>
          <w:rPr>
            <w:rStyle w:val="Indeksirajvezu"/>
          </w:rPr>
          <w:tab/>
          <w:t>12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79">
        <w:r>
          <w:rPr>
            <w:rStyle w:val="Indeksirajvezu"/>
            <w:lang w:bidi="en-US"/>
          </w:rPr>
          <w:t>2.1.4 Razmještaj stanovništva</w:t>
        </w:r>
        <w:r>
          <w:rPr>
            <w:webHidden/>
          </w:rPr>
          <w:fldChar w:fldCharType="begin"/>
        </w:r>
        <w:r>
          <w:rPr>
            <w:webHidden/>
          </w:rPr>
          <w:instrText xml:space="preserve">PAGEREF </w:instrText>
        </w:r>
        <w:r>
          <w:rPr>
            <w:webHidden/>
          </w:rPr>
          <w:instrText>_Toc136522779 \h</w:instrText>
        </w:r>
        <w:r>
          <w:rPr>
            <w:webHidden/>
          </w:rPr>
        </w:r>
        <w:r>
          <w:rPr>
            <w:webHidden/>
          </w:rPr>
          <w:fldChar w:fldCharType="separate"/>
        </w:r>
        <w:r>
          <w:rPr>
            <w:rStyle w:val="Indeksirajvezu"/>
          </w:rPr>
          <w:tab/>
          <w:t>12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80">
        <w:r>
          <w:rPr>
            <w:rStyle w:val="Indeksirajvezu"/>
            <w:lang w:bidi="en-US"/>
          </w:rPr>
          <w:t>2.1.5 Spolno-dobna raspodjela stanovništva</w:t>
        </w:r>
        <w:r>
          <w:rPr>
            <w:webHidden/>
          </w:rPr>
          <w:fldChar w:fldCharType="begin"/>
        </w:r>
        <w:r>
          <w:rPr>
            <w:webHidden/>
          </w:rPr>
          <w:instrText>PAGEREF _Toc136522780 \h</w:instrText>
        </w:r>
        <w:r>
          <w:rPr>
            <w:webHidden/>
          </w:rPr>
        </w:r>
        <w:r>
          <w:rPr>
            <w:webHidden/>
          </w:rPr>
          <w:fldChar w:fldCharType="separate"/>
        </w:r>
        <w:r>
          <w:rPr>
            <w:rStyle w:val="Indeksirajvezu"/>
          </w:rPr>
          <w:tab/>
          <w:t>13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81">
        <w:r>
          <w:rPr>
            <w:rStyle w:val="Indeksirajvezu"/>
            <w:lang w:bidi="en-US"/>
          </w:rPr>
          <w:t>2.1.6 Prometna povezanost</w:t>
        </w:r>
        <w:r>
          <w:rPr>
            <w:webHidden/>
          </w:rPr>
          <w:fldChar w:fldCharType="begin"/>
        </w:r>
        <w:r>
          <w:rPr>
            <w:webHidden/>
          </w:rPr>
          <w:instrText>PAGEREF _Toc136522781 \h</w:instrText>
        </w:r>
        <w:r>
          <w:rPr>
            <w:webHidden/>
          </w:rPr>
        </w:r>
        <w:r>
          <w:rPr>
            <w:webHidden/>
          </w:rPr>
          <w:fldChar w:fldCharType="separate"/>
        </w:r>
        <w:r>
          <w:rPr>
            <w:rStyle w:val="Indeksirajvezu"/>
          </w:rPr>
          <w:tab/>
          <w:t>15</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782">
        <w:r>
          <w:rPr>
            <w:rStyle w:val="Indeksirajvezu"/>
            <w:lang w:bidi="en-US"/>
          </w:rPr>
          <w:t>2.2 Društveno-politički pokazatelji</w:t>
        </w:r>
        <w:r>
          <w:rPr>
            <w:webHidden/>
          </w:rPr>
          <w:fldChar w:fldCharType="begin"/>
        </w:r>
        <w:r>
          <w:rPr>
            <w:webHidden/>
          </w:rPr>
          <w:instrText>PAGEREF _Toc136522782 \h</w:instrText>
        </w:r>
        <w:r>
          <w:rPr>
            <w:webHidden/>
          </w:rPr>
        </w:r>
        <w:r>
          <w:rPr>
            <w:webHidden/>
          </w:rPr>
          <w:fldChar w:fldCharType="separate"/>
        </w:r>
        <w:r>
          <w:rPr>
            <w:rStyle w:val="Indeksirajvezu"/>
          </w:rPr>
          <w:tab/>
          <w:t>20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83">
        <w:r>
          <w:rPr>
            <w:rStyle w:val="Indeksirajvezu"/>
            <w:lang w:bidi="en-US"/>
          </w:rPr>
          <w:t>2.2.1 Sjedišta upravnih tijela jedinice lokalne samouprave</w:t>
        </w:r>
        <w:r>
          <w:rPr>
            <w:webHidden/>
          </w:rPr>
          <w:fldChar w:fldCharType="begin"/>
        </w:r>
        <w:r>
          <w:rPr>
            <w:webHidden/>
          </w:rPr>
          <w:instrText>PAGEREF _Toc136522783 \h</w:instrText>
        </w:r>
        <w:r>
          <w:rPr>
            <w:webHidden/>
          </w:rPr>
        </w:r>
        <w:r>
          <w:rPr>
            <w:webHidden/>
          </w:rPr>
          <w:fldChar w:fldCharType="separate"/>
        </w:r>
        <w:r>
          <w:rPr>
            <w:rStyle w:val="Indeksirajvezu"/>
          </w:rPr>
          <w:tab/>
          <w:t>20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84">
        <w:r>
          <w:rPr>
            <w:rStyle w:val="Indeksirajvezu"/>
            <w:lang w:bidi="en-US"/>
          </w:rPr>
          <w:t>2.2.2 Zdravstvene ustanove</w:t>
        </w:r>
        <w:r>
          <w:rPr>
            <w:webHidden/>
          </w:rPr>
          <w:fldChar w:fldCharType="begin"/>
        </w:r>
        <w:r>
          <w:rPr>
            <w:webHidden/>
          </w:rPr>
          <w:instrText>PAGEREF _Toc136522784 \h</w:instrText>
        </w:r>
        <w:r>
          <w:rPr>
            <w:webHidden/>
          </w:rPr>
        </w:r>
        <w:r>
          <w:rPr>
            <w:webHidden/>
          </w:rPr>
          <w:fldChar w:fldCharType="separate"/>
        </w:r>
        <w:r>
          <w:rPr>
            <w:rStyle w:val="Indeksirajvezu"/>
          </w:rPr>
          <w:tab/>
          <w:t>21</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85">
        <w:r>
          <w:rPr>
            <w:rStyle w:val="Indeksirajvezu"/>
            <w:lang w:bidi="en-US"/>
          </w:rPr>
          <w:t>2.2.3 Odgojno-obrazovne ustanove</w:t>
        </w:r>
        <w:r>
          <w:rPr>
            <w:webHidden/>
          </w:rPr>
          <w:fldChar w:fldCharType="begin"/>
        </w:r>
        <w:r>
          <w:rPr>
            <w:webHidden/>
          </w:rPr>
          <w:instrText>PAGEREF _Toc136522785 \h</w:instrText>
        </w:r>
        <w:r>
          <w:rPr>
            <w:webHidden/>
          </w:rPr>
        </w:r>
        <w:r>
          <w:rPr>
            <w:webHidden/>
          </w:rPr>
          <w:fldChar w:fldCharType="separate"/>
        </w:r>
        <w:r>
          <w:rPr>
            <w:rStyle w:val="Indeksirajvezu"/>
          </w:rPr>
          <w:tab/>
          <w:t>23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86">
        <w:r>
          <w:rPr>
            <w:rStyle w:val="Indeksirajvezu"/>
            <w:lang w:bidi="en-US"/>
          </w:rPr>
          <w:t>2.2.4 Broj kućanstava</w:t>
        </w:r>
        <w:r>
          <w:rPr>
            <w:webHidden/>
          </w:rPr>
          <w:fldChar w:fldCharType="begin"/>
        </w:r>
        <w:r>
          <w:rPr>
            <w:webHidden/>
          </w:rPr>
          <w:instrText>PAGEREF _Toc136522786 \h</w:instrText>
        </w:r>
        <w:r>
          <w:rPr>
            <w:webHidden/>
          </w:rPr>
        </w:r>
        <w:r>
          <w:rPr>
            <w:webHidden/>
          </w:rPr>
          <w:fldChar w:fldCharType="separate"/>
        </w:r>
        <w:r>
          <w:rPr>
            <w:rStyle w:val="Indeksirajvezu"/>
          </w:rPr>
          <w:tab/>
          <w:t>24</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87">
        <w:r>
          <w:rPr>
            <w:rStyle w:val="Indeksirajvezu"/>
            <w:lang w:bidi="en-US"/>
          </w:rPr>
          <w:t>2.2.5 Broj, vrsta (namjena) i starost građevina</w:t>
        </w:r>
        <w:r>
          <w:rPr>
            <w:webHidden/>
          </w:rPr>
          <w:fldChar w:fldCharType="begin"/>
        </w:r>
        <w:r>
          <w:rPr>
            <w:webHidden/>
          </w:rPr>
          <w:instrText>PAGEREF _Toc136522787 \h</w:instrText>
        </w:r>
        <w:r>
          <w:rPr>
            <w:webHidden/>
          </w:rPr>
        </w:r>
        <w:r>
          <w:rPr>
            <w:webHidden/>
          </w:rPr>
          <w:fldChar w:fldCharType="separate"/>
        </w:r>
        <w:r>
          <w:rPr>
            <w:rStyle w:val="Indeksirajvezu"/>
          </w:rPr>
          <w:tab/>
          <w:t>25</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788">
        <w:r>
          <w:rPr>
            <w:rStyle w:val="Indeksirajvezu"/>
            <w:lang w:bidi="en-US"/>
          </w:rPr>
          <w:t>2.3 Ekonomsko – gospodarski pokazatelji</w:t>
        </w:r>
        <w:r>
          <w:rPr>
            <w:webHidden/>
          </w:rPr>
          <w:fldChar w:fldCharType="begin"/>
        </w:r>
        <w:r>
          <w:rPr>
            <w:webHidden/>
          </w:rPr>
          <w:instrText>PAGEREF _Toc136522788 \h</w:instrText>
        </w:r>
        <w:r>
          <w:rPr>
            <w:webHidden/>
          </w:rPr>
        </w:r>
        <w:r>
          <w:rPr>
            <w:webHidden/>
          </w:rPr>
          <w:fldChar w:fldCharType="separate"/>
        </w:r>
        <w:r>
          <w:rPr>
            <w:rStyle w:val="Indeksirajvezu"/>
          </w:rPr>
          <w:tab/>
          <w:t>26</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89">
        <w:r>
          <w:rPr>
            <w:rStyle w:val="Indeksirajvezu"/>
            <w:lang w:bidi="en-US"/>
          </w:rPr>
          <w:t>2.3.1 Proračun Grada Malog Lošinja</w:t>
        </w:r>
        <w:r>
          <w:rPr>
            <w:webHidden/>
          </w:rPr>
          <w:fldChar w:fldCharType="begin"/>
        </w:r>
        <w:r>
          <w:rPr>
            <w:webHidden/>
          </w:rPr>
          <w:instrText>PAGEREF _Toc136522789 \h</w:instrText>
        </w:r>
        <w:r>
          <w:rPr>
            <w:webHidden/>
          </w:rPr>
        </w:r>
        <w:r>
          <w:rPr>
            <w:webHidden/>
          </w:rPr>
          <w:fldChar w:fldCharType="separate"/>
        </w:r>
        <w:r>
          <w:rPr>
            <w:rStyle w:val="Indeksirajvezu"/>
          </w:rPr>
          <w:tab/>
          <w:t>26</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90">
        <w:r>
          <w:rPr>
            <w:rStyle w:val="Indeksirajvezu"/>
            <w:lang w:bidi="en-US"/>
          </w:rPr>
          <w:t>2.3.2 Gospodarske grane</w:t>
        </w:r>
        <w:r>
          <w:rPr>
            <w:webHidden/>
          </w:rPr>
          <w:fldChar w:fldCharType="begin"/>
        </w:r>
        <w:r>
          <w:rPr>
            <w:webHidden/>
          </w:rPr>
          <w:instrText>PAGEREF _Toc136522790 \h</w:instrText>
        </w:r>
        <w:r>
          <w:rPr>
            <w:webHidden/>
          </w:rPr>
        </w:r>
        <w:r>
          <w:rPr>
            <w:webHidden/>
          </w:rPr>
          <w:fldChar w:fldCharType="separate"/>
        </w:r>
        <w:r>
          <w:rPr>
            <w:rStyle w:val="Indeksirajvezu"/>
          </w:rPr>
          <w:tab/>
          <w:t>27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91">
        <w:r>
          <w:rPr>
            <w:rStyle w:val="Indeksirajvezu"/>
            <w:lang w:bidi="en-US"/>
          </w:rPr>
          <w:t>2.3.3 Objekti kritične infrastrukture</w:t>
        </w:r>
        <w:r>
          <w:rPr>
            <w:webHidden/>
          </w:rPr>
          <w:fldChar w:fldCharType="begin"/>
        </w:r>
        <w:r>
          <w:rPr>
            <w:webHidden/>
          </w:rPr>
          <w:instrText>PAGEREF _Toc136522791 \h</w:instrText>
        </w:r>
        <w:r>
          <w:rPr>
            <w:webHidden/>
          </w:rPr>
        </w:r>
        <w:r>
          <w:rPr>
            <w:webHidden/>
          </w:rPr>
          <w:fldChar w:fldCharType="separate"/>
        </w:r>
        <w:r>
          <w:rPr>
            <w:rStyle w:val="Indeksirajvezu"/>
          </w:rPr>
          <w:tab/>
          <w:t>29</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92">
        <w:r>
          <w:rPr>
            <w:rStyle w:val="Indeksirajvezu"/>
            <w:lang w:bidi="en-US"/>
          </w:rPr>
          <w:t>2.3.4 Velike gospodarske tvrtke</w:t>
        </w:r>
        <w:r>
          <w:rPr>
            <w:webHidden/>
          </w:rPr>
          <w:fldChar w:fldCharType="begin"/>
        </w:r>
        <w:r>
          <w:rPr>
            <w:webHidden/>
          </w:rPr>
          <w:instrText>PAGEREF _Toc136522792 \h</w:instrText>
        </w:r>
        <w:r>
          <w:rPr>
            <w:webHidden/>
          </w:rPr>
        </w:r>
        <w:r>
          <w:rPr>
            <w:webHidden/>
          </w:rPr>
          <w:fldChar w:fldCharType="separate"/>
        </w:r>
        <w:r>
          <w:rPr>
            <w:rStyle w:val="Indeksirajvezu"/>
          </w:rPr>
          <w:tab/>
          <w:t>32</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793">
        <w:r>
          <w:rPr>
            <w:rStyle w:val="Indeksirajvezu"/>
            <w:lang w:bidi="en-US"/>
          </w:rPr>
          <w:t>2.4 Prirodno – kulturni pokazatelji</w:t>
        </w:r>
        <w:r>
          <w:rPr>
            <w:webHidden/>
          </w:rPr>
          <w:fldChar w:fldCharType="begin"/>
        </w:r>
        <w:r>
          <w:rPr>
            <w:webHidden/>
          </w:rPr>
          <w:instrText>PAGEREF _Toc136522793 \h</w:instrText>
        </w:r>
        <w:r>
          <w:rPr>
            <w:webHidden/>
          </w:rPr>
        </w:r>
        <w:r>
          <w:rPr>
            <w:webHidden/>
          </w:rPr>
          <w:fldChar w:fldCharType="separate"/>
        </w:r>
        <w:r>
          <w:rPr>
            <w:rStyle w:val="Indeksirajvezu"/>
          </w:rPr>
          <w:tab/>
          <w:t>32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94">
        <w:r>
          <w:rPr>
            <w:rStyle w:val="Indeksirajvezu"/>
            <w:lang w:bidi="en-US"/>
          </w:rPr>
          <w:t>2.4.1 Zaštićena područja</w:t>
        </w:r>
        <w:r>
          <w:rPr>
            <w:webHidden/>
          </w:rPr>
          <w:fldChar w:fldCharType="begin"/>
        </w:r>
        <w:r>
          <w:rPr>
            <w:webHidden/>
          </w:rPr>
          <w:instrText>PAGEREF _Toc136522794 \h</w:instrText>
        </w:r>
        <w:r>
          <w:rPr>
            <w:webHidden/>
          </w:rPr>
        </w:r>
        <w:r>
          <w:rPr>
            <w:webHidden/>
          </w:rPr>
          <w:fldChar w:fldCharType="separate"/>
        </w:r>
        <w:r>
          <w:rPr>
            <w:rStyle w:val="Indeksirajvezu"/>
          </w:rPr>
          <w:tab/>
          <w:t>32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95">
        <w:r>
          <w:rPr>
            <w:rStyle w:val="Indeksirajvezu"/>
            <w:lang w:bidi="en-US"/>
          </w:rPr>
          <w:t xml:space="preserve">2.4.2 Kulturno </w:t>
        </w:r>
        <w:r>
          <w:rPr>
            <w:rStyle w:val="Indeksirajvezu"/>
            <w:lang w:bidi="en-US"/>
          </w:rPr>
          <w:t>– povijesna baština</w:t>
        </w:r>
        <w:r>
          <w:rPr>
            <w:webHidden/>
          </w:rPr>
          <w:fldChar w:fldCharType="begin"/>
        </w:r>
        <w:r>
          <w:rPr>
            <w:webHidden/>
          </w:rPr>
          <w:instrText>PAGEREF _Toc136522795 \h</w:instrText>
        </w:r>
        <w:r>
          <w:rPr>
            <w:webHidden/>
          </w:rPr>
        </w:r>
        <w:r>
          <w:rPr>
            <w:webHidden/>
          </w:rPr>
          <w:fldChar w:fldCharType="separate"/>
        </w:r>
        <w:r>
          <w:rPr>
            <w:rStyle w:val="Indeksirajvezu"/>
          </w:rPr>
          <w:tab/>
          <w:t>33</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796">
        <w:r>
          <w:rPr>
            <w:rStyle w:val="Indeksirajvezu"/>
            <w:lang w:bidi="en-US"/>
          </w:rPr>
          <w:t>2.5 Povijesni pokazatelji</w:t>
        </w:r>
        <w:r>
          <w:rPr>
            <w:webHidden/>
          </w:rPr>
          <w:fldChar w:fldCharType="begin"/>
        </w:r>
        <w:r>
          <w:rPr>
            <w:webHidden/>
          </w:rPr>
          <w:instrText>PAGEREF _Toc136522796 \h</w:instrText>
        </w:r>
        <w:r>
          <w:rPr>
            <w:webHidden/>
          </w:rPr>
        </w:r>
        <w:r>
          <w:rPr>
            <w:webHidden/>
          </w:rPr>
          <w:fldChar w:fldCharType="separate"/>
        </w:r>
        <w:r>
          <w:rPr>
            <w:rStyle w:val="Indeksirajvezu"/>
          </w:rPr>
          <w:tab/>
          <w:t>36</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97">
        <w:r>
          <w:rPr>
            <w:rStyle w:val="Indeksirajvezu"/>
            <w:lang w:bidi="en-US"/>
          </w:rPr>
          <w:t>2.5.1 Štete uslijed prijašnjih događaja</w:t>
        </w:r>
        <w:r>
          <w:rPr>
            <w:webHidden/>
          </w:rPr>
          <w:fldChar w:fldCharType="begin"/>
        </w:r>
        <w:r>
          <w:rPr>
            <w:webHidden/>
          </w:rPr>
          <w:instrText>PAGEREF _Toc136522797 \h</w:instrText>
        </w:r>
        <w:r>
          <w:rPr>
            <w:webHidden/>
          </w:rPr>
        </w:r>
        <w:r>
          <w:rPr>
            <w:webHidden/>
          </w:rPr>
          <w:fldChar w:fldCharType="separate"/>
        </w:r>
        <w:r>
          <w:rPr>
            <w:rStyle w:val="Indeksirajvezu"/>
          </w:rPr>
          <w:tab/>
          <w:t>36</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798">
        <w:r>
          <w:rPr>
            <w:rStyle w:val="Indeksirajvezu"/>
            <w:lang w:bidi="en-US"/>
          </w:rPr>
          <w:t>2.6 Pokazatelji operativne sposobno</w:t>
        </w:r>
        <w:r>
          <w:rPr>
            <w:rStyle w:val="Indeksirajvezu"/>
            <w:lang w:bidi="en-US"/>
          </w:rPr>
          <w:t>sti</w:t>
        </w:r>
        <w:r>
          <w:rPr>
            <w:webHidden/>
          </w:rPr>
          <w:fldChar w:fldCharType="begin"/>
        </w:r>
        <w:r>
          <w:rPr>
            <w:webHidden/>
          </w:rPr>
          <w:instrText>PAGEREF _Toc136522798 \h</w:instrText>
        </w:r>
        <w:r>
          <w:rPr>
            <w:webHidden/>
          </w:rPr>
        </w:r>
        <w:r>
          <w:rPr>
            <w:webHidden/>
          </w:rPr>
          <w:fldChar w:fldCharType="separate"/>
        </w:r>
        <w:r>
          <w:rPr>
            <w:rStyle w:val="Indeksirajvezu"/>
          </w:rPr>
          <w:tab/>
          <w:t>37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799">
        <w:r>
          <w:rPr>
            <w:rStyle w:val="Indeksirajvezu"/>
            <w:lang w:bidi="en-US"/>
          </w:rPr>
          <w:t>2.6.1 Popis operativnih snaga</w:t>
        </w:r>
        <w:r>
          <w:rPr>
            <w:webHidden/>
          </w:rPr>
          <w:fldChar w:fldCharType="begin"/>
        </w:r>
        <w:r>
          <w:rPr>
            <w:webHidden/>
          </w:rPr>
          <w:instrText>PAGEREF _Toc136522799 \h</w:instrText>
        </w:r>
        <w:r>
          <w:rPr>
            <w:webHidden/>
          </w:rPr>
        </w:r>
        <w:r>
          <w:rPr>
            <w:webHidden/>
          </w:rPr>
          <w:fldChar w:fldCharType="separate"/>
        </w:r>
        <w:r>
          <w:rPr>
            <w:rStyle w:val="Indeksirajvezu"/>
          </w:rPr>
          <w:tab/>
          <w:t>37</w:t>
        </w:r>
        <w:r>
          <w:rPr>
            <w:webHidden/>
          </w:rPr>
          <w:fldChar w:fldCharType="end"/>
        </w:r>
      </w:hyperlink>
    </w:p>
    <w:p w:rsidR="00A07D92" w:rsidRDefault="00495E63">
      <w:pPr>
        <w:pStyle w:val="Sadraj1"/>
        <w:tabs>
          <w:tab w:val="left" w:pos="342"/>
          <w:tab w:val="right" w:leader="dot" w:pos="9060"/>
        </w:tabs>
        <w:rPr>
          <w:rFonts w:asciiTheme="minorHAnsi" w:eastAsiaTheme="minorEastAsia" w:hAnsiTheme="minorHAnsi" w:cstheme="minorBidi"/>
          <w:b w:val="0"/>
          <w:bCs w:val="0"/>
          <w:caps w:val="0"/>
          <w:color w:val="auto"/>
          <w:kern w:val="2"/>
          <w:szCs w:val="22"/>
          <w:u w:val="none"/>
          <w:lang w:eastAsia="hr-HR"/>
          <w14:ligatures w14:val="standardContextual"/>
        </w:rPr>
      </w:pPr>
      <w:hyperlink w:anchor="_Toc136522800">
        <w:r>
          <w:rPr>
            <w:rStyle w:val="Indeksirajvezu"/>
          </w:rPr>
          <w:t>3</w:t>
        </w:r>
        <w:r>
          <w:rPr>
            <w:rStyle w:val="Indeksirajvezu"/>
            <w:rFonts w:asciiTheme="minorHAnsi" w:eastAsiaTheme="minorEastAsia" w:hAnsiTheme="minorHAnsi" w:cstheme="minorBidi"/>
            <w:b w:val="0"/>
            <w:bCs w:val="0"/>
            <w:caps w:val="0"/>
            <w:color w:val="auto"/>
            <w:kern w:val="2"/>
            <w:szCs w:val="22"/>
            <w:u w:val="none"/>
            <w:lang w:eastAsia="hr-HR"/>
            <w14:ligatures w14:val="standardContextual"/>
          </w:rPr>
          <w:tab/>
        </w:r>
        <w:r>
          <w:rPr>
            <w:rStyle w:val="Indeksirajvezu"/>
          </w:rPr>
          <w:t>Identifikacija prijetnji i rizika</w:t>
        </w:r>
        <w:r>
          <w:rPr>
            <w:webHidden/>
          </w:rPr>
          <w:fldChar w:fldCharType="begin"/>
        </w:r>
        <w:r>
          <w:rPr>
            <w:webHidden/>
          </w:rPr>
          <w:instrText>PAGEREF _Toc136522800 \h</w:instrText>
        </w:r>
        <w:r>
          <w:rPr>
            <w:webHidden/>
          </w:rPr>
        </w:r>
        <w:r>
          <w:rPr>
            <w:webHidden/>
          </w:rPr>
          <w:fldChar w:fldCharType="separate"/>
        </w:r>
        <w:r>
          <w:rPr>
            <w:rStyle w:val="Indeksirajvezu"/>
          </w:rPr>
          <w:tab/>
          <w:t>38</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01">
        <w:r>
          <w:rPr>
            <w:rStyle w:val="Indeksirajvezu"/>
            <w:lang w:bidi="en-US"/>
          </w:rPr>
          <w:t>3.1 Popis identificiranih prijetnji i rizika</w:t>
        </w:r>
        <w:r>
          <w:rPr>
            <w:webHidden/>
          </w:rPr>
          <w:fldChar w:fldCharType="begin"/>
        </w:r>
        <w:r>
          <w:rPr>
            <w:webHidden/>
          </w:rPr>
          <w:instrText>PAGEREF _Toc136522801 \h</w:instrText>
        </w:r>
        <w:r>
          <w:rPr>
            <w:webHidden/>
          </w:rPr>
        </w:r>
        <w:r>
          <w:rPr>
            <w:webHidden/>
          </w:rPr>
          <w:fldChar w:fldCharType="separate"/>
        </w:r>
        <w:r>
          <w:rPr>
            <w:rStyle w:val="Indeksirajvezu"/>
          </w:rPr>
          <w:tab/>
          <w:t>38</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02">
        <w:r>
          <w:rPr>
            <w:rStyle w:val="Indeksirajvezu"/>
            <w:lang w:bidi="en-US"/>
          </w:rPr>
          <w:t>3.2 Odabrani rizici i razlog odabira</w:t>
        </w:r>
        <w:r>
          <w:rPr>
            <w:webHidden/>
          </w:rPr>
          <w:fldChar w:fldCharType="begin"/>
        </w:r>
        <w:r>
          <w:rPr>
            <w:webHidden/>
          </w:rPr>
          <w:instrText>PAGEREF _Toc136522802 \h</w:instrText>
        </w:r>
        <w:r>
          <w:rPr>
            <w:webHidden/>
          </w:rPr>
        </w:r>
        <w:r>
          <w:rPr>
            <w:webHidden/>
          </w:rPr>
          <w:fldChar w:fldCharType="separate"/>
        </w:r>
        <w:r>
          <w:rPr>
            <w:rStyle w:val="Indeksirajvezu"/>
          </w:rPr>
          <w:tab/>
          <w:t>42</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03">
        <w:r>
          <w:rPr>
            <w:rStyle w:val="Indeksirajvezu"/>
            <w:lang w:bidi="en-US"/>
          </w:rPr>
          <w:t>3.3 Karte prijetnji</w:t>
        </w:r>
        <w:r>
          <w:rPr>
            <w:webHidden/>
          </w:rPr>
          <w:fldChar w:fldCharType="begin"/>
        </w:r>
        <w:r>
          <w:rPr>
            <w:webHidden/>
          </w:rPr>
          <w:instrText>PAGEREF _Toc136522803 \h</w:instrText>
        </w:r>
        <w:r>
          <w:rPr>
            <w:webHidden/>
          </w:rPr>
        </w:r>
        <w:r>
          <w:rPr>
            <w:webHidden/>
          </w:rPr>
          <w:fldChar w:fldCharType="separate"/>
        </w:r>
        <w:r>
          <w:rPr>
            <w:rStyle w:val="Indeksirajvezu"/>
          </w:rPr>
          <w:tab/>
          <w:t>42</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04">
        <w:r>
          <w:rPr>
            <w:rStyle w:val="Indeksirajvezu"/>
          </w:rPr>
          <w:t>3.4 Karte rizika</w:t>
        </w:r>
        <w:r>
          <w:rPr>
            <w:webHidden/>
          </w:rPr>
          <w:fldChar w:fldCharType="begin"/>
        </w:r>
        <w:r>
          <w:rPr>
            <w:webHidden/>
          </w:rPr>
          <w:instrText>PAGEREF _Toc136522804 \h</w:instrText>
        </w:r>
        <w:r>
          <w:rPr>
            <w:webHidden/>
          </w:rPr>
        </w:r>
        <w:r>
          <w:rPr>
            <w:webHidden/>
          </w:rPr>
          <w:fldChar w:fldCharType="separate"/>
        </w:r>
        <w:r>
          <w:rPr>
            <w:rStyle w:val="Indeksirajvezu"/>
          </w:rPr>
          <w:tab/>
          <w:t>42</w:t>
        </w:r>
        <w:r>
          <w:rPr>
            <w:webHidden/>
          </w:rPr>
          <w:fldChar w:fldCharType="end"/>
        </w:r>
      </w:hyperlink>
    </w:p>
    <w:p w:rsidR="00A07D92" w:rsidRDefault="00495E63">
      <w:pPr>
        <w:pStyle w:val="Sadraj1"/>
        <w:tabs>
          <w:tab w:val="left" w:pos="342"/>
          <w:tab w:val="right" w:leader="dot" w:pos="9060"/>
        </w:tabs>
        <w:rPr>
          <w:rFonts w:asciiTheme="minorHAnsi" w:eastAsiaTheme="minorEastAsia" w:hAnsiTheme="minorHAnsi" w:cstheme="minorBidi"/>
          <w:b w:val="0"/>
          <w:bCs w:val="0"/>
          <w:caps w:val="0"/>
          <w:color w:val="auto"/>
          <w:kern w:val="2"/>
          <w:szCs w:val="22"/>
          <w:u w:val="none"/>
          <w:lang w:eastAsia="hr-HR"/>
          <w14:ligatures w14:val="standardContextual"/>
        </w:rPr>
      </w:pPr>
      <w:hyperlink w:anchor="_Toc136522805">
        <w:r>
          <w:rPr>
            <w:rStyle w:val="Indeksirajvezu"/>
          </w:rPr>
          <w:t>4</w:t>
        </w:r>
        <w:r>
          <w:rPr>
            <w:rStyle w:val="Indeksirajvezu"/>
            <w:rFonts w:asciiTheme="minorHAnsi" w:eastAsiaTheme="minorEastAsia" w:hAnsiTheme="minorHAnsi" w:cstheme="minorBidi"/>
            <w:b w:val="0"/>
            <w:bCs w:val="0"/>
            <w:caps w:val="0"/>
            <w:color w:val="auto"/>
            <w:kern w:val="2"/>
            <w:szCs w:val="22"/>
            <w:u w:val="none"/>
            <w:lang w:eastAsia="hr-HR"/>
            <w14:ligatures w14:val="standardContextual"/>
          </w:rPr>
          <w:tab/>
        </w:r>
        <w:r>
          <w:rPr>
            <w:rStyle w:val="Indeksirajvezu"/>
          </w:rPr>
          <w:t>Kriteriji za procjenu utjecaja prijetnji na kategorije društvene vrijednosti</w:t>
        </w:r>
        <w:r>
          <w:rPr>
            <w:webHidden/>
          </w:rPr>
          <w:fldChar w:fldCharType="begin"/>
        </w:r>
        <w:r>
          <w:rPr>
            <w:webHidden/>
          </w:rPr>
          <w:instrText>PAGEREF _Toc136522805 \h</w:instrText>
        </w:r>
        <w:r>
          <w:rPr>
            <w:webHidden/>
          </w:rPr>
        </w:r>
        <w:r>
          <w:rPr>
            <w:webHidden/>
          </w:rPr>
          <w:fldChar w:fldCharType="separate"/>
        </w:r>
        <w:r>
          <w:rPr>
            <w:rStyle w:val="Indeksirajvezu"/>
          </w:rPr>
          <w:tab/>
          <w:t>43</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06">
        <w:r>
          <w:rPr>
            <w:rStyle w:val="Indeksirajvezu"/>
            <w:lang w:bidi="en-US"/>
          </w:rPr>
          <w:t>4.1 Život i zdravlje ljudi</w:t>
        </w:r>
        <w:r>
          <w:rPr>
            <w:webHidden/>
          </w:rPr>
          <w:fldChar w:fldCharType="begin"/>
        </w:r>
        <w:r>
          <w:rPr>
            <w:webHidden/>
          </w:rPr>
          <w:instrText>PAGEREF _Toc136522806 \h</w:instrText>
        </w:r>
        <w:r>
          <w:rPr>
            <w:webHidden/>
          </w:rPr>
        </w:r>
        <w:r>
          <w:rPr>
            <w:webHidden/>
          </w:rPr>
          <w:fldChar w:fldCharType="separate"/>
        </w:r>
        <w:r>
          <w:rPr>
            <w:rStyle w:val="Indeksirajvezu"/>
          </w:rPr>
          <w:tab/>
          <w:t>43</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07">
        <w:r>
          <w:rPr>
            <w:rStyle w:val="Indeksirajvezu"/>
            <w:lang w:bidi="en-US"/>
          </w:rPr>
          <w:t>4.2 Gospodarstvo</w:t>
        </w:r>
        <w:r>
          <w:rPr>
            <w:webHidden/>
          </w:rPr>
          <w:fldChar w:fldCharType="begin"/>
        </w:r>
        <w:r>
          <w:rPr>
            <w:webHidden/>
          </w:rPr>
          <w:instrText>PAGEREF _Toc136522807 \h</w:instrText>
        </w:r>
        <w:r>
          <w:rPr>
            <w:webHidden/>
          </w:rPr>
        </w:r>
        <w:r>
          <w:rPr>
            <w:webHidden/>
          </w:rPr>
          <w:fldChar w:fldCharType="separate"/>
        </w:r>
        <w:r>
          <w:rPr>
            <w:rStyle w:val="Indeksirajvezu"/>
          </w:rPr>
          <w:tab/>
          <w:t>43</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08">
        <w:r>
          <w:rPr>
            <w:rStyle w:val="Indeksirajvezu"/>
            <w:lang w:bidi="en-US"/>
          </w:rPr>
          <w:t xml:space="preserve">4.3 </w:t>
        </w:r>
        <w:r>
          <w:rPr>
            <w:rStyle w:val="Indeksirajvezu"/>
            <w:lang w:bidi="en-US"/>
          </w:rPr>
          <w:t>Društvena stabilnost i politika</w:t>
        </w:r>
        <w:r>
          <w:rPr>
            <w:webHidden/>
          </w:rPr>
          <w:fldChar w:fldCharType="begin"/>
        </w:r>
        <w:r>
          <w:rPr>
            <w:webHidden/>
          </w:rPr>
          <w:instrText>PAGEREF _Toc136522808 \h</w:instrText>
        </w:r>
        <w:r>
          <w:rPr>
            <w:webHidden/>
          </w:rPr>
        </w:r>
        <w:r>
          <w:rPr>
            <w:webHidden/>
          </w:rPr>
          <w:fldChar w:fldCharType="separate"/>
        </w:r>
        <w:r>
          <w:rPr>
            <w:rStyle w:val="Indeksirajvezu"/>
          </w:rPr>
          <w:tab/>
          <w:t>45</w:t>
        </w:r>
        <w:r>
          <w:rPr>
            <w:webHidden/>
          </w:rPr>
          <w:fldChar w:fldCharType="end"/>
        </w:r>
      </w:hyperlink>
    </w:p>
    <w:p w:rsidR="00A07D92" w:rsidRDefault="00495E63">
      <w:pPr>
        <w:pStyle w:val="Sadraj1"/>
        <w:tabs>
          <w:tab w:val="left" w:pos="342"/>
          <w:tab w:val="right" w:leader="dot" w:pos="9060"/>
        </w:tabs>
        <w:rPr>
          <w:rFonts w:asciiTheme="minorHAnsi" w:eastAsiaTheme="minorEastAsia" w:hAnsiTheme="minorHAnsi" w:cstheme="minorBidi"/>
          <w:b w:val="0"/>
          <w:bCs w:val="0"/>
          <w:caps w:val="0"/>
          <w:color w:val="auto"/>
          <w:kern w:val="2"/>
          <w:szCs w:val="22"/>
          <w:u w:val="none"/>
          <w:lang w:eastAsia="hr-HR"/>
          <w14:ligatures w14:val="standardContextual"/>
        </w:rPr>
      </w:pPr>
      <w:hyperlink w:anchor="_Toc136522809">
        <w:r>
          <w:rPr>
            <w:rStyle w:val="Indeksirajvezu"/>
          </w:rPr>
          <w:t>5</w:t>
        </w:r>
        <w:r>
          <w:rPr>
            <w:rStyle w:val="Indeksirajvezu"/>
            <w:rFonts w:asciiTheme="minorHAnsi" w:eastAsiaTheme="minorEastAsia" w:hAnsiTheme="minorHAnsi" w:cstheme="minorBidi"/>
            <w:b w:val="0"/>
            <w:bCs w:val="0"/>
            <w:caps w:val="0"/>
            <w:color w:val="auto"/>
            <w:kern w:val="2"/>
            <w:szCs w:val="22"/>
            <w:u w:val="none"/>
            <w:lang w:eastAsia="hr-HR"/>
            <w14:ligatures w14:val="standardContextual"/>
          </w:rPr>
          <w:tab/>
        </w:r>
        <w:r>
          <w:rPr>
            <w:rStyle w:val="Indeksirajvezu"/>
          </w:rPr>
          <w:t>Vjerojatnost</w:t>
        </w:r>
        <w:r>
          <w:rPr>
            <w:webHidden/>
          </w:rPr>
          <w:fldChar w:fldCharType="begin"/>
        </w:r>
        <w:r>
          <w:rPr>
            <w:webHidden/>
          </w:rPr>
          <w:instrText>PAGEREF _Toc136522809 \h</w:instrText>
        </w:r>
        <w:r>
          <w:rPr>
            <w:webHidden/>
          </w:rPr>
        </w:r>
        <w:r>
          <w:rPr>
            <w:webHidden/>
          </w:rPr>
          <w:fldChar w:fldCharType="separate"/>
        </w:r>
        <w:r>
          <w:rPr>
            <w:rStyle w:val="Indeksirajvezu"/>
          </w:rPr>
          <w:tab/>
          <w:t>46</w:t>
        </w:r>
        <w:r>
          <w:rPr>
            <w:webHidden/>
          </w:rPr>
          <w:fldChar w:fldCharType="end"/>
        </w:r>
      </w:hyperlink>
    </w:p>
    <w:p w:rsidR="00A07D92" w:rsidRDefault="00495E63">
      <w:pPr>
        <w:pStyle w:val="Sadraj1"/>
        <w:tabs>
          <w:tab w:val="left" w:pos="342"/>
          <w:tab w:val="right" w:leader="dot" w:pos="9060"/>
        </w:tabs>
        <w:rPr>
          <w:rFonts w:asciiTheme="minorHAnsi" w:eastAsiaTheme="minorEastAsia" w:hAnsiTheme="minorHAnsi" w:cstheme="minorBidi"/>
          <w:b w:val="0"/>
          <w:bCs w:val="0"/>
          <w:caps w:val="0"/>
          <w:color w:val="auto"/>
          <w:kern w:val="2"/>
          <w:szCs w:val="22"/>
          <w:u w:val="none"/>
          <w:lang w:eastAsia="hr-HR"/>
          <w14:ligatures w14:val="standardContextual"/>
        </w:rPr>
      </w:pPr>
      <w:hyperlink w:anchor="_Toc136522810">
        <w:r>
          <w:rPr>
            <w:rStyle w:val="Indeksirajvezu"/>
          </w:rPr>
          <w:t>6</w:t>
        </w:r>
        <w:r>
          <w:rPr>
            <w:rStyle w:val="Indeksirajvezu"/>
            <w:rFonts w:asciiTheme="minorHAnsi" w:eastAsiaTheme="minorEastAsia" w:hAnsiTheme="minorHAnsi" w:cstheme="minorBidi"/>
            <w:b w:val="0"/>
            <w:bCs w:val="0"/>
            <w:caps w:val="0"/>
            <w:color w:val="auto"/>
            <w:kern w:val="2"/>
            <w:szCs w:val="22"/>
            <w:u w:val="none"/>
            <w:lang w:eastAsia="hr-HR"/>
            <w14:ligatures w14:val="standardContextual"/>
          </w:rPr>
          <w:tab/>
        </w:r>
        <w:r>
          <w:rPr>
            <w:rStyle w:val="Indeksirajvezu"/>
          </w:rPr>
          <w:t>Scenariji</w:t>
        </w:r>
        <w:r>
          <w:rPr>
            <w:webHidden/>
          </w:rPr>
          <w:fldChar w:fldCharType="begin"/>
        </w:r>
        <w:r>
          <w:rPr>
            <w:webHidden/>
          </w:rPr>
          <w:instrText>PAGEREF _Toc136522810 \h</w:instrText>
        </w:r>
        <w:r>
          <w:rPr>
            <w:webHidden/>
          </w:rPr>
        </w:r>
        <w:r>
          <w:rPr>
            <w:webHidden/>
          </w:rPr>
          <w:fldChar w:fldCharType="separate"/>
        </w:r>
        <w:r>
          <w:rPr>
            <w:rStyle w:val="Indeksirajvezu"/>
          </w:rPr>
          <w:tab/>
          <w:t>47</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11">
        <w:r>
          <w:rPr>
            <w:rStyle w:val="Indeksirajvezu"/>
            <w:rFonts w:eastAsiaTheme="majorEastAsia"/>
            <w:lang w:bidi="en-US"/>
          </w:rPr>
          <w:t>6.1 Potres</w:t>
        </w:r>
        <w:r>
          <w:rPr>
            <w:webHidden/>
          </w:rPr>
          <w:fldChar w:fldCharType="begin"/>
        </w:r>
        <w:r>
          <w:rPr>
            <w:webHidden/>
          </w:rPr>
          <w:instrText>PAGEREF _Toc136522811 \h</w:instrText>
        </w:r>
        <w:r>
          <w:rPr>
            <w:webHidden/>
          </w:rPr>
        </w:r>
        <w:r>
          <w:rPr>
            <w:webHidden/>
          </w:rPr>
          <w:fldChar w:fldCharType="separate"/>
        </w:r>
        <w:r>
          <w:rPr>
            <w:rStyle w:val="Indeksirajvezu"/>
          </w:rPr>
          <w:tab/>
          <w:t>47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12">
        <w:r>
          <w:rPr>
            <w:rStyle w:val="Indeksirajvezu"/>
            <w:lang w:bidi="en-US"/>
          </w:rPr>
          <w:t>6.1.1 Naziv scenarija</w:t>
        </w:r>
        <w:r>
          <w:rPr>
            <w:webHidden/>
          </w:rPr>
          <w:fldChar w:fldCharType="begin"/>
        </w:r>
        <w:r>
          <w:rPr>
            <w:webHidden/>
          </w:rPr>
          <w:instrText>PAGEREF _Toc136522812 \h</w:instrText>
        </w:r>
        <w:r>
          <w:rPr>
            <w:webHidden/>
          </w:rPr>
        </w:r>
        <w:r>
          <w:rPr>
            <w:webHidden/>
          </w:rPr>
          <w:fldChar w:fldCharType="separate"/>
        </w:r>
        <w:r>
          <w:rPr>
            <w:rStyle w:val="Indeksirajvezu"/>
          </w:rPr>
          <w:tab/>
          <w:t>47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13">
        <w:r>
          <w:rPr>
            <w:rStyle w:val="Indeksirajvezu"/>
            <w:lang w:bidi="en-US"/>
          </w:rPr>
          <w:t>6.1</w:t>
        </w:r>
        <w:r>
          <w:rPr>
            <w:rStyle w:val="Indeksirajvezu"/>
            <w:lang w:bidi="en-US"/>
          </w:rPr>
          <w:t>.2 Uvod</w:t>
        </w:r>
        <w:r>
          <w:rPr>
            <w:webHidden/>
          </w:rPr>
          <w:fldChar w:fldCharType="begin"/>
        </w:r>
        <w:r>
          <w:rPr>
            <w:webHidden/>
          </w:rPr>
          <w:instrText>PAGEREF _Toc136522813 \h</w:instrText>
        </w:r>
        <w:r>
          <w:rPr>
            <w:webHidden/>
          </w:rPr>
        </w:r>
        <w:r>
          <w:rPr>
            <w:webHidden/>
          </w:rPr>
          <w:fldChar w:fldCharType="separate"/>
        </w:r>
        <w:r>
          <w:rPr>
            <w:rStyle w:val="Indeksirajvezu"/>
          </w:rPr>
          <w:tab/>
          <w:t>47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14">
        <w:r>
          <w:rPr>
            <w:rStyle w:val="Indeksirajvezu"/>
            <w:lang w:bidi="en-US"/>
          </w:rPr>
          <w:t>6.1.3 Prikaz utjecaja na kritičnu infrastrukturu</w:t>
        </w:r>
        <w:r>
          <w:rPr>
            <w:webHidden/>
          </w:rPr>
          <w:fldChar w:fldCharType="begin"/>
        </w:r>
        <w:r>
          <w:rPr>
            <w:webHidden/>
          </w:rPr>
          <w:instrText>PAGEREF _Toc136522814 \h</w:instrText>
        </w:r>
        <w:r>
          <w:rPr>
            <w:webHidden/>
          </w:rPr>
        </w:r>
        <w:r>
          <w:rPr>
            <w:webHidden/>
          </w:rPr>
          <w:fldChar w:fldCharType="separate"/>
        </w:r>
        <w:r>
          <w:rPr>
            <w:rStyle w:val="Indeksirajvezu"/>
          </w:rPr>
          <w:tab/>
          <w:t>47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15">
        <w:r>
          <w:rPr>
            <w:rStyle w:val="Indeksirajvezu"/>
            <w:lang w:bidi="en-US"/>
          </w:rPr>
          <w:t>6.1.4 Kontekst</w:t>
        </w:r>
        <w:r>
          <w:rPr>
            <w:webHidden/>
          </w:rPr>
          <w:fldChar w:fldCharType="begin"/>
        </w:r>
        <w:r>
          <w:rPr>
            <w:webHidden/>
          </w:rPr>
          <w:instrText>PAGEREF _Toc136522815 \h</w:instrText>
        </w:r>
        <w:r>
          <w:rPr>
            <w:webHidden/>
          </w:rPr>
        </w:r>
        <w:r>
          <w:rPr>
            <w:webHidden/>
          </w:rPr>
          <w:fldChar w:fldCharType="separate"/>
        </w:r>
        <w:r>
          <w:rPr>
            <w:rStyle w:val="Indeksirajvezu"/>
          </w:rPr>
          <w:tab/>
          <w:t>49</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16">
        <w:r>
          <w:rPr>
            <w:rStyle w:val="Indeksirajvezu"/>
            <w:lang w:bidi="en-US"/>
          </w:rPr>
          <w:t>6.1.5 Uzrok</w:t>
        </w:r>
        <w:r>
          <w:rPr>
            <w:webHidden/>
          </w:rPr>
          <w:fldChar w:fldCharType="begin"/>
        </w:r>
        <w:r>
          <w:rPr>
            <w:webHidden/>
          </w:rPr>
          <w:instrText>PAGEREF _Toc136522816 \h</w:instrText>
        </w:r>
        <w:r>
          <w:rPr>
            <w:webHidden/>
          </w:rPr>
        </w:r>
        <w:r>
          <w:rPr>
            <w:webHidden/>
          </w:rPr>
          <w:fldChar w:fldCharType="separate"/>
        </w:r>
        <w:r>
          <w:rPr>
            <w:rStyle w:val="Indeksirajvezu"/>
          </w:rPr>
          <w:tab/>
          <w:t>57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17">
        <w:r>
          <w:rPr>
            <w:rStyle w:val="Indeksirajvezu"/>
            <w:lang w:bidi="en-US"/>
          </w:rPr>
          <w:t>6.1.6 Događaj s najgorim mogućim posljedicama</w:t>
        </w:r>
        <w:r>
          <w:rPr>
            <w:webHidden/>
          </w:rPr>
          <w:fldChar w:fldCharType="begin"/>
        </w:r>
        <w:r>
          <w:rPr>
            <w:webHidden/>
          </w:rPr>
          <w:instrText>PAGEREF _Toc136522817 \h</w:instrText>
        </w:r>
        <w:r>
          <w:rPr>
            <w:webHidden/>
          </w:rPr>
        </w:r>
        <w:r>
          <w:rPr>
            <w:webHidden/>
          </w:rPr>
          <w:fldChar w:fldCharType="separate"/>
        </w:r>
        <w:r>
          <w:rPr>
            <w:rStyle w:val="Indeksirajvezu"/>
          </w:rPr>
          <w:tab/>
          <w:t>57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18">
        <w:r>
          <w:rPr>
            <w:rStyle w:val="Indeksirajvezu"/>
            <w:lang w:bidi="en-US"/>
          </w:rPr>
          <w:t>6.1.7 Podaci, izvori i metode proračuna</w:t>
        </w:r>
        <w:r>
          <w:rPr>
            <w:webHidden/>
          </w:rPr>
          <w:fldChar w:fldCharType="begin"/>
        </w:r>
        <w:r>
          <w:rPr>
            <w:webHidden/>
          </w:rPr>
          <w:instrText>PAGEREF _Toc136522818 \h</w:instrText>
        </w:r>
        <w:r>
          <w:rPr>
            <w:webHidden/>
          </w:rPr>
        </w:r>
        <w:r>
          <w:rPr>
            <w:webHidden/>
          </w:rPr>
          <w:fldChar w:fldCharType="separate"/>
        </w:r>
        <w:r>
          <w:rPr>
            <w:rStyle w:val="Indeksirajvezu"/>
          </w:rPr>
          <w:tab/>
          <w:t>66</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19">
        <w:r>
          <w:rPr>
            <w:rStyle w:val="Indeksirajvezu"/>
            <w:lang w:bidi="en-US"/>
          </w:rPr>
          <w:t>6.1.8 Matrice rizika</w:t>
        </w:r>
        <w:r>
          <w:rPr>
            <w:webHidden/>
          </w:rPr>
          <w:fldChar w:fldCharType="begin"/>
        </w:r>
        <w:r>
          <w:rPr>
            <w:webHidden/>
          </w:rPr>
          <w:instrText>PAGEREF _Toc136522819 \h</w:instrText>
        </w:r>
        <w:r>
          <w:rPr>
            <w:webHidden/>
          </w:rPr>
        </w:r>
        <w:r>
          <w:rPr>
            <w:webHidden/>
          </w:rPr>
          <w:fldChar w:fldCharType="separate"/>
        </w:r>
        <w:r>
          <w:rPr>
            <w:rStyle w:val="Indeksirajvezu"/>
          </w:rPr>
          <w:tab/>
          <w:t>67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20">
        <w:r>
          <w:rPr>
            <w:rStyle w:val="Indeksirajvezu"/>
            <w:lang w:bidi="en-US"/>
          </w:rPr>
          <w:t>6.1.9 Karte</w:t>
        </w:r>
        <w:r>
          <w:rPr>
            <w:webHidden/>
          </w:rPr>
          <w:fldChar w:fldCharType="begin"/>
        </w:r>
        <w:r>
          <w:rPr>
            <w:webHidden/>
          </w:rPr>
          <w:instrText>PAGEREF _Toc136522820 \h</w:instrText>
        </w:r>
        <w:r>
          <w:rPr>
            <w:webHidden/>
          </w:rPr>
        </w:r>
        <w:r>
          <w:rPr>
            <w:webHidden/>
          </w:rPr>
          <w:fldChar w:fldCharType="separate"/>
        </w:r>
        <w:r>
          <w:rPr>
            <w:rStyle w:val="Indeksirajvezu"/>
          </w:rPr>
          <w:tab/>
          <w:t>68</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21">
        <w:r>
          <w:rPr>
            <w:rStyle w:val="Indeksirajvezu"/>
          </w:rPr>
          <w:t xml:space="preserve">6.2 Epidemija i </w:t>
        </w:r>
        <w:proofErr w:type="spellStart"/>
        <w:r>
          <w:rPr>
            <w:rStyle w:val="Indeksirajvezu"/>
          </w:rPr>
          <w:t>pandemija</w:t>
        </w:r>
        <w:proofErr w:type="spellEnd"/>
        <w:r>
          <w:rPr>
            <w:webHidden/>
          </w:rPr>
          <w:fldChar w:fldCharType="begin"/>
        </w:r>
        <w:r>
          <w:rPr>
            <w:webHidden/>
          </w:rPr>
          <w:instrText>PAGEREF _Toc136522821 \h</w:instrText>
        </w:r>
        <w:r>
          <w:rPr>
            <w:webHidden/>
          </w:rPr>
        </w:r>
        <w:r>
          <w:rPr>
            <w:webHidden/>
          </w:rPr>
          <w:fldChar w:fldCharType="separate"/>
        </w:r>
        <w:r>
          <w:rPr>
            <w:rStyle w:val="Indeksirajvezu"/>
          </w:rPr>
          <w:tab/>
          <w:t>70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22">
        <w:r>
          <w:rPr>
            <w:rStyle w:val="Indeksirajvezu"/>
            <w:rFonts w:cstheme="majorBidi"/>
            <w:lang w:bidi="en-US"/>
          </w:rPr>
          <w:t>6.2.1 Naziv scenarija</w:t>
        </w:r>
        <w:r>
          <w:rPr>
            <w:webHidden/>
          </w:rPr>
          <w:fldChar w:fldCharType="begin"/>
        </w:r>
        <w:r>
          <w:rPr>
            <w:webHidden/>
          </w:rPr>
          <w:instrText>PAGEREF _Toc136522822 \h</w:instrText>
        </w:r>
        <w:r>
          <w:rPr>
            <w:webHidden/>
          </w:rPr>
        </w:r>
        <w:r>
          <w:rPr>
            <w:webHidden/>
          </w:rPr>
          <w:fldChar w:fldCharType="separate"/>
        </w:r>
        <w:r>
          <w:rPr>
            <w:rStyle w:val="Indeksirajvezu"/>
          </w:rPr>
          <w:tab/>
        </w:r>
        <w:r>
          <w:rPr>
            <w:rStyle w:val="Indeksirajvezu"/>
          </w:rPr>
          <w:t>70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23">
        <w:r>
          <w:rPr>
            <w:rStyle w:val="Indeksirajvezu"/>
            <w:rFonts w:cstheme="majorBidi"/>
            <w:lang w:bidi="en-US"/>
          </w:rPr>
          <w:t>6.2.2 Uvod</w:t>
        </w:r>
        <w:r>
          <w:rPr>
            <w:webHidden/>
          </w:rPr>
          <w:fldChar w:fldCharType="begin"/>
        </w:r>
        <w:r>
          <w:rPr>
            <w:webHidden/>
          </w:rPr>
          <w:instrText>PAGEREF _Toc136522823 \h</w:instrText>
        </w:r>
        <w:r>
          <w:rPr>
            <w:webHidden/>
          </w:rPr>
        </w:r>
        <w:r>
          <w:rPr>
            <w:webHidden/>
          </w:rPr>
          <w:fldChar w:fldCharType="separate"/>
        </w:r>
        <w:r>
          <w:rPr>
            <w:rStyle w:val="Indeksirajvezu"/>
          </w:rPr>
          <w:tab/>
          <w:t>70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24">
        <w:r>
          <w:rPr>
            <w:rStyle w:val="Indeksirajvezu"/>
            <w:rFonts w:cstheme="majorBidi"/>
            <w:lang w:bidi="en-US"/>
          </w:rPr>
          <w:t>6.2.3 P</w:t>
        </w:r>
        <w:r>
          <w:rPr>
            <w:rStyle w:val="Indeksirajvezu"/>
            <w:rFonts w:cstheme="majorBidi"/>
            <w:lang w:bidi="en-US"/>
          </w:rPr>
          <w:t>rikaz utjecaja na kritičnu infrastrukturu</w:t>
        </w:r>
        <w:r>
          <w:rPr>
            <w:webHidden/>
          </w:rPr>
          <w:fldChar w:fldCharType="begin"/>
        </w:r>
        <w:r>
          <w:rPr>
            <w:webHidden/>
          </w:rPr>
          <w:instrText>PAGEREF _Toc136522824 \h</w:instrText>
        </w:r>
        <w:r>
          <w:rPr>
            <w:webHidden/>
          </w:rPr>
        </w:r>
        <w:r>
          <w:rPr>
            <w:webHidden/>
          </w:rPr>
          <w:fldChar w:fldCharType="separate"/>
        </w:r>
        <w:r>
          <w:rPr>
            <w:rStyle w:val="Indeksirajvezu"/>
          </w:rPr>
          <w:tab/>
          <w:t>70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25">
        <w:r>
          <w:rPr>
            <w:rStyle w:val="Indeksirajvezu"/>
            <w:rFonts w:cstheme="majorBidi"/>
            <w:lang w:bidi="en-US"/>
          </w:rPr>
          <w:t>6.2.4 Kontekst</w:t>
        </w:r>
        <w:r>
          <w:rPr>
            <w:webHidden/>
          </w:rPr>
          <w:fldChar w:fldCharType="begin"/>
        </w:r>
        <w:r>
          <w:rPr>
            <w:webHidden/>
          </w:rPr>
          <w:instrText>PAGEREF _Toc136522825 \h</w:instrText>
        </w:r>
        <w:r>
          <w:rPr>
            <w:webHidden/>
          </w:rPr>
        </w:r>
        <w:r>
          <w:rPr>
            <w:webHidden/>
          </w:rPr>
          <w:fldChar w:fldCharType="separate"/>
        </w:r>
        <w:r>
          <w:rPr>
            <w:rStyle w:val="Indeksirajvezu"/>
          </w:rPr>
          <w:tab/>
          <w:t>71</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26">
        <w:r>
          <w:rPr>
            <w:rStyle w:val="Indeksirajvezu"/>
            <w:rFonts w:cstheme="majorBidi"/>
            <w:lang w:bidi="en-US"/>
          </w:rPr>
          <w:t>6.2.5 Uzrok</w:t>
        </w:r>
        <w:r>
          <w:rPr>
            <w:webHidden/>
          </w:rPr>
          <w:fldChar w:fldCharType="begin"/>
        </w:r>
        <w:r>
          <w:rPr>
            <w:webHidden/>
          </w:rPr>
          <w:instrText>PAGEREF _Toc136522826 \h</w:instrText>
        </w:r>
        <w:r>
          <w:rPr>
            <w:webHidden/>
          </w:rPr>
        </w:r>
        <w:r>
          <w:rPr>
            <w:webHidden/>
          </w:rPr>
          <w:fldChar w:fldCharType="separate"/>
        </w:r>
        <w:r>
          <w:rPr>
            <w:rStyle w:val="Indeksirajvezu"/>
          </w:rPr>
          <w:tab/>
          <w:t>75</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27">
        <w:r>
          <w:rPr>
            <w:rStyle w:val="Indeksirajvezu"/>
            <w:rFonts w:cstheme="majorBidi"/>
            <w:iCs/>
            <w:lang w:bidi="en-US"/>
          </w:rPr>
          <w:t>6.2.6 Događaj s najgorim mogućim posljedicama</w:t>
        </w:r>
        <w:r>
          <w:rPr>
            <w:webHidden/>
          </w:rPr>
          <w:fldChar w:fldCharType="begin"/>
        </w:r>
        <w:r>
          <w:rPr>
            <w:webHidden/>
          </w:rPr>
          <w:instrText>PAGERE</w:instrText>
        </w:r>
        <w:r>
          <w:rPr>
            <w:webHidden/>
          </w:rPr>
          <w:instrText>F _Toc136522827 \h</w:instrText>
        </w:r>
        <w:r>
          <w:rPr>
            <w:webHidden/>
          </w:rPr>
        </w:r>
        <w:r>
          <w:rPr>
            <w:webHidden/>
          </w:rPr>
          <w:fldChar w:fldCharType="separate"/>
        </w:r>
        <w:r>
          <w:rPr>
            <w:rStyle w:val="Indeksirajvezu"/>
          </w:rPr>
          <w:tab/>
          <w:t>76</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28">
        <w:r>
          <w:rPr>
            <w:rStyle w:val="Indeksirajvezu"/>
            <w:rFonts w:cstheme="majorBidi"/>
            <w:lang w:bidi="en-US"/>
          </w:rPr>
          <w:t>6.2.7 Podaci, izvori i metode proračuna</w:t>
        </w:r>
        <w:r>
          <w:rPr>
            <w:webHidden/>
          </w:rPr>
          <w:fldChar w:fldCharType="begin"/>
        </w:r>
        <w:r>
          <w:rPr>
            <w:webHidden/>
          </w:rPr>
          <w:instrText>PAGEREF _Toc136522828 \h</w:instrText>
        </w:r>
        <w:r>
          <w:rPr>
            <w:webHidden/>
          </w:rPr>
        </w:r>
        <w:r>
          <w:rPr>
            <w:webHidden/>
          </w:rPr>
          <w:fldChar w:fldCharType="separate"/>
        </w:r>
        <w:r>
          <w:rPr>
            <w:rStyle w:val="Indeksirajvezu"/>
          </w:rPr>
          <w:tab/>
          <w:t>78</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29">
        <w:r>
          <w:rPr>
            <w:rStyle w:val="Indeksirajvezu"/>
            <w:rFonts w:cstheme="majorBidi"/>
            <w:lang w:bidi="en-US"/>
          </w:rPr>
          <w:t>6.2.8 Matrice rizika</w:t>
        </w:r>
        <w:r>
          <w:rPr>
            <w:webHidden/>
          </w:rPr>
          <w:fldChar w:fldCharType="begin"/>
        </w:r>
        <w:r>
          <w:rPr>
            <w:webHidden/>
          </w:rPr>
          <w:instrText>PAGEREF _Toc136522829 \h</w:instrText>
        </w:r>
        <w:r>
          <w:rPr>
            <w:webHidden/>
          </w:rPr>
        </w:r>
        <w:r>
          <w:rPr>
            <w:webHidden/>
          </w:rPr>
          <w:fldChar w:fldCharType="separate"/>
        </w:r>
        <w:r>
          <w:rPr>
            <w:rStyle w:val="Indeksirajvezu"/>
          </w:rPr>
          <w:tab/>
          <w:t>79</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30">
        <w:r>
          <w:rPr>
            <w:rStyle w:val="Indeksirajvezu"/>
            <w:rFonts w:cstheme="majorBidi"/>
            <w:lang w:bidi="en-US"/>
          </w:rPr>
          <w:t>6.2</w:t>
        </w:r>
        <w:r>
          <w:rPr>
            <w:rStyle w:val="Indeksirajvezu"/>
            <w:rFonts w:cstheme="majorBidi"/>
            <w:lang w:bidi="en-US"/>
          </w:rPr>
          <w:t>.9 Karte</w:t>
        </w:r>
        <w:r>
          <w:rPr>
            <w:webHidden/>
          </w:rPr>
          <w:fldChar w:fldCharType="begin"/>
        </w:r>
        <w:r>
          <w:rPr>
            <w:webHidden/>
          </w:rPr>
          <w:instrText>PAGEREF _Toc136522830 \h</w:instrText>
        </w:r>
        <w:r>
          <w:rPr>
            <w:webHidden/>
          </w:rPr>
        </w:r>
        <w:r>
          <w:rPr>
            <w:webHidden/>
          </w:rPr>
          <w:fldChar w:fldCharType="separate"/>
        </w:r>
        <w:r>
          <w:rPr>
            <w:rStyle w:val="Indeksirajvezu"/>
          </w:rPr>
          <w:tab/>
          <w:t>80</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31">
        <w:r>
          <w:rPr>
            <w:rStyle w:val="Indeksirajvezu"/>
          </w:rPr>
          <w:t>6.3 Poplava – plimni val</w:t>
        </w:r>
        <w:r>
          <w:rPr>
            <w:webHidden/>
          </w:rPr>
          <w:fldChar w:fldCharType="begin"/>
        </w:r>
        <w:r>
          <w:rPr>
            <w:webHidden/>
          </w:rPr>
          <w:instrText>PAGEREF _Toc136522831 \h</w:instrText>
        </w:r>
        <w:r>
          <w:rPr>
            <w:webHidden/>
          </w:rPr>
        </w:r>
        <w:r>
          <w:rPr>
            <w:webHidden/>
          </w:rPr>
          <w:fldChar w:fldCharType="separate"/>
        </w:r>
        <w:r>
          <w:rPr>
            <w:rStyle w:val="Indeksirajvezu"/>
          </w:rPr>
          <w:tab/>
          <w:t>82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32">
        <w:r>
          <w:rPr>
            <w:rStyle w:val="Indeksirajvezu"/>
            <w:rFonts w:cstheme="majorBidi"/>
            <w:lang w:bidi="en-US"/>
          </w:rPr>
          <w:t>6.3.1 Naziv scenarija</w:t>
        </w:r>
        <w:r>
          <w:rPr>
            <w:webHidden/>
          </w:rPr>
          <w:fldChar w:fldCharType="begin"/>
        </w:r>
        <w:r>
          <w:rPr>
            <w:webHidden/>
          </w:rPr>
          <w:instrText>PAGEREF _Toc136522832 \h</w:instrText>
        </w:r>
        <w:r>
          <w:rPr>
            <w:webHidden/>
          </w:rPr>
        </w:r>
        <w:r>
          <w:rPr>
            <w:webHidden/>
          </w:rPr>
          <w:fldChar w:fldCharType="separate"/>
        </w:r>
        <w:r>
          <w:rPr>
            <w:rStyle w:val="Indeksirajvezu"/>
          </w:rPr>
          <w:tab/>
          <w:t>82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33">
        <w:r>
          <w:rPr>
            <w:rStyle w:val="Indeksirajvezu"/>
            <w:rFonts w:cstheme="majorBidi"/>
            <w:lang w:bidi="en-US"/>
          </w:rPr>
          <w:t>6.3.2 Uvod</w:t>
        </w:r>
        <w:r>
          <w:rPr>
            <w:webHidden/>
          </w:rPr>
          <w:fldChar w:fldCharType="begin"/>
        </w:r>
        <w:r>
          <w:rPr>
            <w:webHidden/>
          </w:rPr>
          <w:instrText>PAGEREF _Toc136522833 \h</w:instrText>
        </w:r>
        <w:r>
          <w:rPr>
            <w:webHidden/>
          </w:rPr>
        </w:r>
        <w:r>
          <w:rPr>
            <w:webHidden/>
          </w:rPr>
          <w:fldChar w:fldCharType="separate"/>
        </w:r>
        <w:r>
          <w:rPr>
            <w:rStyle w:val="Indeksirajvezu"/>
          </w:rPr>
          <w:tab/>
          <w:t>82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34">
        <w:r>
          <w:rPr>
            <w:rStyle w:val="Indeksirajvezu"/>
            <w:rFonts w:cstheme="majorBidi"/>
            <w:lang w:bidi="en-US"/>
          </w:rPr>
          <w:t>6.3.3 Prikaz utjecaja na kritičnu infrastrukturu</w:t>
        </w:r>
        <w:r>
          <w:rPr>
            <w:webHidden/>
          </w:rPr>
          <w:fldChar w:fldCharType="begin"/>
        </w:r>
        <w:r>
          <w:rPr>
            <w:webHidden/>
          </w:rPr>
          <w:instrText>PAGEREF _Toc136522834 \h</w:instrText>
        </w:r>
        <w:r>
          <w:rPr>
            <w:webHidden/>
          </w:rPr>
        </w:r>
        <w:r>
          <w:rPr>
            <w:webHidden/>
          </w:rPr>
          <w:fldChar w:fldCharType="separate"/>
        </w:r>
        <w:r>
          <w:rPr>
            <w:rStyle w:val="Indeksirajvezu"/>
          </w:rPr>
          <w:tab/>
          <w:t>83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35">
        <w:r>
          <w:rPr>
            <w:rStyle w:val="Indeksirajvezu"/>
            <w:rFonts w:cstheme="majorBidi"/>
            <w:lang w:bidi="en-US"/>
          </w:rPr>
          <w:t>6.3.4 Kontekst</w:t>
        </w:r>
        <w:r>
          <w:rPr>
            <w:webHidden/>
          </w:rPr>
          <w:fldChar w:fldCharType="begin"/>
        </w:r>
        <w:r>
          <w:rPr>
            <w:webHidden/>
          </w:rPr>
          <w:instrText>PAGEREF _Toc136522835 \h</w:instrText>
        </w:r>
        <w:r>
          <w:rPr>
            <w:webHidden/>
          </w:rPr>
        </w:r>
        <w:r>
          <w:rPr>
            <w:webHidden/>
          </w:rPr>
          <w:fldChar w:fldCharType="separate"/>
        </w:r>
        <w:r>
          <w:rPr>
            <w:rStyle w:val="Indeksirajvezu"/>
          </w:rPr>
          <w:tab/>
          <w:t>83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36">
        <w:r>
          <w:rPr>
            <w:rStyle w:val="Indeksirajvezu"/>
            <w:rFonts w:cstheme="majorBidi"/>
            <w:lang w:bidi="en-US"/>
          </w:rPr>
          <w:t>6.3.5 Uzrok</w:t>
        </w:r>
        <w:r>
          <w:rPr>
            <w:webHidden/>
          </w:rPr>
          <w:fldChar w:fldCharType="begin"/>
        </w:r>
        <w:r>
          <w:rPr>
            <w:webHidden/>
          </w:rPr>
          <w:instrText>PAGEREF _Toc136522836 \h</w:instrText>
        </w:r>
        <w:r>
          <w:rPr>
            <w:webHidden/>
          </w:rPr>
        </w:r>
        <w:r>
          <w:rPr>
            <w:webHidden/>
          </w:rPr>
          <w:fldChar w:fldCharType="separate"/>
        </w:r>
        <w:r>
          <w:rPr>
            <w:rStyle w:val="Indeksirajvezu"/>
          </w:rPr>
          <w:tab/>
          <w:t>86</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37">
        <w:r>
          <w:rPr>
            <w:rStyle w:val="Indeksirajvezu"/>
            <w:rFonts w:cstheme="majorBidi"/>
            <w:lang w:bidi="en-US"/>
          </w:rPr>
          <w:t>6.3.6 Događaj sa najgorim mogućim posljedicama</w:t>
        </w:r>
        <w:r>
          <w:rPr>
            <w:webHidden/>
          </w:rPr>
          <w:fldChar w:fldCharType="begin"/>
        </w:r>
        <w:r>
          <w:rPr>
            <w:webHidden/>
          </w:rPr>
          <w:instrText>PAGEREF _Toc136522837 \h</w:instrText>
        </w:r>
        <w:r>
          <w:rPr>
            <w:webHidden/>
          </w:rPr>
        </w:r>
        <w:r>
          <w:rPr>
            <w:webHidden/>
          </w:rPr>
          <w:fldChar w:fldCharType="separate"/>
        </w:r>
        <w:r>
          <w:rPr>
            <w:rStyle w:val="Indeksirajvezu"/>
          </w:rPr>
          <w:tab/>
          <w:t>87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38">
        <w:r>
          <w:rPr>
            <w:rStyle w:val="Indeksirajvezu"/>
            <w:rFonts w:cstheme="majorBidi"/>
            <w:lang w:bidi="en-US"/>
          </w:rPr>
          <w:t xml:space="preserve">6.3.7 Podaci, izvori </w:t>
        </w:r>
        <w:r>
          <w:rPr>
            <w:rStyle w:val="Indeksirajvezu"/>
            <w:rFonts w:cstheme="majorBidi"/>
            <w:lang w:bidi="en-US"/>
          </w:rPr>
          <w:t>i metode proračuna</w:t>
        </w:r>
        <w:r>
          <w:rPr>
            <w:webHidden/>
          </w:rPr>
          <w:fldChar w:fldCharType="begin"/>
        </w:r>
        <w:r>
          <w:rPr>
            <w:webHidden/>
          </w:rPr>
          <w:instrText>PAGEREF _Toc136522838 \h</w:instrText>
        </w:r>
        <w:r>
          <w:rPr>
            <w:webHidden/>
          </w:rPr>
        </w:r>
        <w:r>
          <w:rPr>
            <w:webHidden/>
          </w:rPr>
          <w:fldChar w:fldCharType="separate"/>
        </w:r>
        <w:r>
          <w:rPr>
            <w:rStyle w:val="Indeksirajvezu"/>
          </w:rPr>
          <w:tab/>
          <w:t>89</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39">
        <w:r>
          <w:rPr>
            <w:rStyle w:val="Indeksirajvezu"/>
            <w:rFonts w:cstheme="majorBidi"/>
            <w:lang w:bidi="en-US"/>
          </w:rPr>
          <w:t>6.3.8 Matrice rizika</w:t>
        </w:r>
        <w:r>
          <w:rPr>
            <w:webHidden/>
          </w:rPr>
          <w:fldChar w:fldCharType="begin"/>
        </w:r>
        <w:r>
          <w:rPr>
            <w:webHidden/>
          </w:rPr>
          <w:instrText>PAGEREF _Toc136522839 \h</w:instrText>
        </w:r>
        <w:r>
          <w:rPr>
            <w:webHidden/>
          </w:rPr>
        </w:r>
        <w:r>
          <w:rPr>
            <w:webHidden/>
          </w:rPr>
          <w:fldChar w:fldCharType="separate"/>
        </w:r>
        <w:r>
          <w:rPr>
            <w:rStyle w:val="Indeksirajvezu"/>
          </w:rPr>
          <w:tab/>
          <w:t>90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40">
        <w:r>
          <w:rPr>
            <w:rStyle w:val="Indeksirajvezu"/>
            <w:rFonts w:cstheme="majorBidi"/>
            <w:lang w:bidi="en-US"/>
          </w:rPr>
          <w:t>6.3.9 Karte</w:t>
        </w:r>
        <w:r>
          <w:rPr>
            <w:webHidden/>
          </w:rPr>
          <w:fldChar w:fldCharType="begin"/>
        </w:r>
        <w:r>
          <w:rPr>
            <w:webHidden/>
          </w:rPr>
          <w:instrText>PAGEREF _Toc136522840 \h</w:instrText>
        </w:r>
        <w:r>
          <w:rPr>
            <w:webHidden/>
          </w:rPr>
        </w:r>
        <w:r>
          <w:rPr>
            <w:webHidden/>
          </w:rPr>
          <w:fldChar w:fldCharType="separate"/>
        </w:r>
        <w:r>
          <w:rPr>
            <w:rStyle w:val="Indeksirajvezu"/>
          </w:rPr>
          <w:tab/>
          <w:t>91</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41">
        <w:r>
          <w:rPr>
            <w:rStyle w:val="Indeksirajvezu"/>
          </w:rPr>
          <w:t>6.4 Požari otvorenog tipa</w:t>
        </w:r>
        <w:r>
          <w:rPr>
            <w:webHidden/>
          </w:rPr>
          <w:fldChar w:fldCharType="begin"/>
        </w:r>
        <w:r>
          <w:rPr>
            <w:webHidden/>
          </w:rPr>
          <w:instrText>PAGEREF _Toc136522841 \h</w:instrText>
        </w:r>
        <w:r>
          <w:rPr>
            <w:webHidden/>
          </w:rPr>
        </w:r>
        <w:r>
          <w:rPr>
            <w:webHidden/>
          </w:rPr>
          <w:fldChar w:fldCharType="separate"/>
        </w:r>
        <w:r>
          <w:rPr>
            <w:rStyle w:val="Indeksirajvezu"/>
          </w:rPr>
          <w:tab/>
          <w:t>93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42">
        <w:r>
          <w:rPr>
            <w:rStyle w:val="Indeksirajvezu"/>
            <w:rFonts w:cstheme="majorBidi"/>
            <w:lang w:bidi="en-US"/>
          </w:rPr>
          <w:t>6.4.1 Naziv scenarija</w:t>
        </w:r>
        <w:r>
          <w:rPr>
            <w:webHidden/>
          </w:rPr>
          <w:fldChar w:fldCharType="begin"/>
        </w:r>
        <w:r>
          <w:rPr>
            <w:webHidden/>
          </w:rPr>
          <w:instrText>PAGEREF _Toc136522842 \h</w:instrText>
        </w:r>
        <w:r>
          <w:rPr>
            <w:webHidden/>
          </w:rPr>
        </w:r>
        <w:r>
          <w:rPr>
            <w:webHidden/>
          </w:rPr>
          <w:fldChar w:fldCharType="separate"/>
        </w:r>
        <w:r>
          <w:rPr>
            <w:rStyle w:val="Indeksirajvezu"/>
          </w:rPr>
          <w:tab/>
          <w:t>93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43">
        <w:r>
          <w:rPr>
            <w:rStyle w:val="Indeksirajvezu"/>
            <w:rFonts w:cstheme="majorBidi"/>
            <w:lang w:bidi="en-US"/>
          </w:rPr>
          <w:t>6.4.2 Uvod</w:t>
        </w:r>
        <w:r>
          <w:rPr>
            <w:webHidden/>
          </w:rPr>
          <w:fldChar w:fldCharType="begin"/>
        </w:r>
        <w:r>
          <w:rPr>
            <w:webHidden/>
          </w:rPr>
          <w:instrText>PAGEREF _Toc136522843 \h</w:instrText>
        </w:r>
        <w:r>
          <w:rPr>
            <w:webHidden/>
          </w:rPr>
        </w:r>
        <w:r>
          <w:rPr>
            <w:webHidden/>
          </w:rPr>
          <w:fldChar w:fldCharType="separate"/>
        </w:r>
        <w:r>
          <w:rPr>
            <w:rStyle w:val="Indeksirajvezu"/>
          </w:rPr>
          <w:tab/>
          <w:t>93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44">
        <w:r>
          <w:rPr>
            <w:rStyle w:val="Indeksirajvezu"/>
            <w:rFonts w:cstheme="majorBidi"/>
            <w:lang w:bidi="en-US"/>
          </w:rPr>
          <w:t>6.4.3 Prikaz utjecaja na kritičnu infrastrukturu</w:t>
        </w:r>
        <w:r>
          <w:rPr>
            <w:webHidden/>
          </w:rPr>
          <w:fldChar w:fldCharType="begin"/>
        </w:r>
        <w:r>
          <w:rPr>
            <w:webHidden/>
          </w:rPr>
          <w:instrText>PAGEREF _Toc136522844 \h</w:instrText>
        </w:r>
        <w:r>
          <w:rPr>
            <w:webHidden/>
          </w:rPr>
        </w:r>
        <w:r>
          <w:rPr>
            <w:webHidden/>
          </w:rPr>
          <w:fldChar w:fldCharType="separate"/>
        </w:r>
        <w:r>
          <w:rPr>
            <w:rStyle w:val="Indeksirajvezu"/>
          </w:rPr>
          <w:tab/>
          <w:t>93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45">
        <w:r>
          <w:rPr>
            <w:rStyle w:val="Indeksirajvezu"/>
            <w:rFonts w:cstheme="majorBidi"/>
            <w:lang w:bidi="en-US"/>
          </w:rPr>
          <w:t>6.4.4 Kontekst</w:t>
        </w:r>
        <w:r>
          <w:rPr>
            <w:webHidden/>
          </w:rPr>
          <w:fldChar w:fldCharType="begin"/>
        </w:r>
        <w:r>
          <w:rPr>
            <w:webHidden/>
          </w:rPr>
          <w:instrText xml:space="preserve">PAGEREF _Toc136522845 </w:instrText>
        </w:r>
        <w:r>
          <w:rPr>
            <w:webHidden/>
          </w:rPr>
          <w:instrText>\h</w:instrText>
        </w:r>
        <w:r>
          <w:rPr>
            <w:webHidden/>
          </w:rPr>
        </w:r>
        <w:r>
          <w:rPr>
            <w:webHidden/>
          </w:rPr>
          <w:fldChar w:fldCharType="separate"/>
        </w:r>
        <w:r>
          <w:rPr>
            <w:rStyle w:val="Indeksirajvezu"/>
          </w:rPr>
          <w:tab/>
          <w:t>94</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46">
        <w:r>
          <w:rPr>
            <w:rStyle w:val="Indeksirajvezu"/>
            <w:rFonts w:cstheme="majorBidi"/>
            <w:lang w:bidi="en-US"/>
          </w:rPr>
          <w:t>6.4.5 Uzrok</w:t>
        </w:r>
        <w:r>
          <w:rPr>
            <w:webHidden/>
          </w:rPr>
          <w:fldChar w:fldCharType="begin"/>
        </w:r>
        <w:r>
          <w:rPr>
            <w:webHidden/>
          </w:rPr>
          <w:instrText>PAGEREF _Toc136522846 \h</w:instrText>
        </w:r>
        <w:r>
          <w:rPr>
            <w:webHidden/>
          </w:rPr>
        </w:r>
        <w:r>
          <w:rPr>
            <w:webHidden/>
          </w:rPr>
          <w:fldChar w:fldCharType="separate"/>
        </w:r>
        <w:r>
          <w:rPr>
            <w:rStyle w:val="Indeksirajvezu"/>
          </w:rPr>
          <w:tab/>
          <w:t>99</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47">
        <w:r>
          <w:rPr>
            <w:rStyle w:val="Indeksirajvezu"/>
            <w:rFonts w:cstheme="majorBidi"/>
            <w:lang w:bidi="en-US"/>
          </w:rPr>
          <w:t>6.4.6</w:t>
        </w:r>
        <w:r>
          <w:rPr>
            <w:rStyle w:val="Indeksirajvezu"/>
            <w:rFonts w:cstheme="majorBidi"/>
            <w:lang w:bidi="en-US"/>
          </w:rPr>
          <w:t xml:space="preserve"> Događaj s najgorim mogućim posljedicama</w:t>
        </w:r>
        <w:r>
          <w:rPr>
            <w:webHidden/>
          </w:rPr>
          <w:fldChar w:fldCharType="begin"/>
        </w:r>
        <w:r>
          <w:rPr>
            <w:webHidden/>
          </w:rPr>
          <w:instrText>PAGEREF _Toc136522847 \h</w:instrText>
        </w:r>
        <w:r>
          <w:rPr>
            <w:webHidden/>
          </w:rPr>
        </w:r>
        <w:r>
          <w:rPr>
            <w:webHidden/>
          </w:rPr>
          <w:fldChar w:fldCharType="separate"/>
        </w:r>
        <w:r>
          <w:rPr>
            <w:rStyle w:val="Indeksirajvezu"/>
          </w:rPr>
          <w:tab/>
          <w:t>102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48">
        <w:r>
          <w:rPr>
            <w:rStyle w:val="Indeksirajvezu"/>
            <w:rFonts w:cstheme="majorBidi"/>
            <w:lang w:bidi="en-US"/>
          </w:rPr>
          <w:t>6.4.7 Podaci, izvori i metode proračuna</w:t>
        </w:r>
        <w:r>
          <w:rPr>
            <w:webHidden/>
          </w:rPr>
          <w:fldChar w:fldCharType="begin"/>
        </w:r>
        <w:r>
          <w:rPr>
            <w:webHidden/>
          </w:rPr>
          <w:instrText>PAGEREF _Toc136522848 \h</w:instrText>
        </w:r>
        <w:r>
          <w:rPr>
            <w:webHidden/>
          </w:rPr>
        </w:r>
        <w:r>
          <w:rPr>
            <w:webHidden/>
          </w:rPr>
          <w:fldChar w:fldCharType="separate"/>
        </w:r>
        <w:r>
          <w:rPr>
            <w:rStyle w:val="Indeksirajvezu"/>
          </w:rPr>
          <w:tab/>
          <w:t>105</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49">
        <w:r>
          <w:rPr>
            <w:rStyle w:val="Indeksirajvezu"/>
            <w:rFonts w:cstheme="majorBidi"/>
            <w:lang w:bidi="en-US"/>
          </w:rPr>
          <w:t>6.4.8 Matrice rizika</w:t>
        </w:r>
        <w:r>
          <w:rPr>
            <w:webHidden/>
          </w:rPr>
          <w:fldChar w:fldCharType="begin"/>
        </w:r>
        <w:r>
          <w:rPr>
            <w:webHidden/>
          </w:rPr>
          <w:instrText>PAGEREF _Toc136522849 \h</w:instrText>
        </w:r>
        <w:r>
          <w:rPr>
            <w:webHidden/>
          </w:rPr>
        </w:r>
        <w:r>
          <w:rPr>
            <w:webHidden/>
          </w:rPr>
          <w:fldChar w:fldCharType="separate"/>
        </w:r>
        <w:r>
          <w:rPr>
            <w:rStyle w:val="Indeksirajvezu"/>
          </w:rPr>
          <w:tab/>
          <w:t>106</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50">
        <w:r>
          <w:rPr>
            <w:rStyle w:val="Indeksirajvezu"/>
            <w:rFonts w:cstheme="majorBidi"/>
            <w:lang w:bidi="en-US"/>
          </w:rPr>
          <w:t>6.4.9 Karte</w:t>
        </w:r>
        <w:r>
          <w:rPr>
            <w:webHidden/>
          </w:rPr>
          <w:fldChar w:fldCharType="begin"/>
        </w:r>
        <w:r>
          <w:rPr>
            <w:webHidden/>
          </w:rPr>
          <w:instrText>PAGE</w:instrText>
        </w:r>
        <w:r>
          <w:rPr>
            <w:webHidden/>
          </w:rPr>
          <w:instrText>REF _Toc136522850 \h</w:instrText>
        </w:r>
        <w:r>
          <w:rPr>
            <w:webHidden/>
          </w:rPr>
        </w:r>
        <w:r>
          <w:rPr>
            <w:webHidden/>
          </w:rPr>
          <w:fldChar w:fldCharType="separate"/>
        </w:r>
        <w:r>
          <w:rPr>
            <w:rStyle w:val="Indeksirajvezu"/>
          </w:rPr>
          <w:tab/>
          <w:t>107</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51">
        <w:r>
          <w:rPr>
            <w:rStyle w:val="Indeksirajvezu"/>
          </w:rPr>
          <w:t>6.5 Tehničko-tehnološke nesreće s opasnim tvarima</w:t>
        </w:r>
        <w:r>
          <w:rPr>
            <w:webHidden/>
          </w:rPr>
          <w:fldChar w:fldCharType="begin"/>
        </w:r>
        <w:r>
          <w:rPr>
            <w:webHidden/>
          </w:rPr>
          <w:instrText>PAGEREF _Toc136522851 \h</w:instrText>
        </w:r>
        <w:r>
          <w:rPr>
            <w:webHidden/>
          </w:rPr>
        </w:r>
        <w:r>
          <w:rPr>
            <w:webHidden/>
          </w:rPr>
          <w:fldChar w:fldCharType="separate"/>
        </w:r>
        <w:r>
          <w:rPr>
            <w:rStyle w:val="Indeksirajvezu"/>
          </w:rPr>
          <w:tab/>
          <w:t>109</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52">
        <w:r>
          <w:rPr>
            <w:rStyle w:val="Indeksirajvezu"/>
            <w:rFonts w:cstheme="majorBidi"/>
            <w:lang w:bidi="en-US"/>
          </w:rPr>
          <w:t>6.5.1 Naziv scenarija</w:t>
        </w:r>
        <w:r>
          <w:rPr>
            <w:webHidden/>
          </w:rPr>
          <w:fldChar w:fldCharType="begin"/>
        </w:r>
        <w:r>
          <w:rPr>
            <w:webHidden/>
          </w:rPr>
          <w:instrText>PAGEREF _Toc136522852 \h</w:instrText>
        </w:r>
        <w:r>
          <w:rPr>
            <w:webHidden/>
          </w:rPr>
        </w:r>
        <w:r>
          <w:rPr>
            <w:webHidden/>
          </w:rPr>
          <w:fldChar w:fldCharType="separate"/>
        </w:r>
        <w:r>
          <w:rPr>
            <w:rStyle w:val="Indeksirajvezu"/>
          </w:rPr>
          <w:tab/>
          <w:t>109</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53">
        <w:r>
          <w:rPr>
            <w:rStyle w:val="Indeksirajvezu"/>
            <w:rFonts w:cstheme="majorBidi"/>
            <w:lang w:bidi="en-US"/>
          </w:rPr>
          <w:t>6</w:t>
        </w:r>
        <w:r>
          <w:rPr>
            <w:rStyle w:val="Indeksirajvezu"/>
            <w:rFonts w:cstheme="majorBidi"/>
            <w:lang w:bidi="en-US"/>
          </w:rPr>
          <w:t>.5.2 Uvod</w:t>
        </w:r>
        <w:r>
          <w:rPr>
            <w:webHidden/>
          </w:rPr>
          <w:fldChar w:fldCharType="begin"/>
        </w:r>
        <w:r>
          <w:rPr>
            <w:webHidden/>
          </w:rPr>
          <w:instrText>PAGEREF _Toc136522853 \h</w:instrText>
        </w:r>
        <w:r>
          <w:rPr>
            <w:webHidden/>
          </w:rPr>
        </w:r>
        <w:r>
          <w:rPr>
            <w:webHidden/>
          </w:rPr>
          <w:fldChar w:fldCharType="separate"/>
        </w:r>
        <w:r>
          <w:rPr>
            <w:rStyle w:val="Indeksirajvezu"/>
          </w:rPr>
          <w:tab/>
          <w:t>109</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54">
        <w:r>
          <w:rPr>
            <w:rStyle w:val="Indeksirajvezu"/>
            <w:rFonts w:cstheme="majorBidi"/>
            <w:lang w:bidi="en-US"/>
          </w:rPr>
          <w:t>6.5.3 Prikaz utjecaja na kritičnu infrastrukturu</w:t>
        </w:r>
        <w:r>
          <w:rPr>
            <w:webHidden/>
          </w:rPr>
          <w:fldChar w:fldCharType="begin"/>
        </w:r>
        <w:r>
          <w:rPr>
            <w:webHidden/>
          </w:rPr>
          <w:instrText>PAGEREF _Toc136522854 \h</w:instrText>
        </w:r>
        <w:r>
          <w:rPr>
            <w:webHidden/>
          </w:rPr>
        </w:r>
        <w:r>
          <w:rPr>
            <w:webHidden/>
          </w:rPr>
          <w:fldChar w:fldCharType="separate"/>
        </w:r>
        <w:r>
          <w:rPr>
            <w:rStyle w:val="Indeksirajvezu"/>
          </w:rPr>
          <w:tab/>
          <w:t>109</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55">
        <w:r>
          <w:rPr>
            <w:rStyle w:val="Indeksirajvezu"/>
            <w:rFonts w:cstheme="majorBidi"/>
            <w:lang w:bidi="en-US"/>
          </w:rPr>
          <w:t>6.5.4 Kontekst</w:t>
        </w:r>
        <w:r>
          <w:rPr>
            <w:webHidden/>
          </w:rPr>
          <w:fldChar w:fldCharType="begin"/>
        </w:r>
        <w:r>
          <w:rPr>
            <w:webHidden/>
          </w:rPr>
          <w:instrText>PAGEREF _Toc136522855 \h</w:instrText>
        </w:r>
        <w:r>
          <w:rPr>
            <w:webHidden/>
          </w:rPr>
        </w:r>
        <w:r>
          <w:rPr>
            <w:webHidden/>
          </w:rPr>
          <w:fldChar w:fldCharType="separate"/>
        </w:r>
        <w:r>
          <w:rPr>
            <w:rStyle w:val="Indeksirajvezu"/>
          </w:rPr>
          <w:tab/>
          <w:t>110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56">
        <w:r>
          <w:rPr>
            <w:rStyle w:val="Indeksirajvezu"/>
            <w:rFonts w:cstheme="majorBidi"/>
            <w:lang w:bidi="en-US"/>
          </w:rPr>
          <w:t>6.5.5 Uzrok</w:t>
        </w:r>
        <w:r>
          <w:rPr>
            <w:webHidden/>
          </w:rPr>
          <w:fldChar w:fldCharType="begin"/>
        </w:r>
        <w:r>
          <w:rPr>
            <w:webHidden/>
          </w:rPr>
          <w:instrText>PAGEREF _Toc136522856 \h</w:instrText>
        </w:r>
        <w:r>
          <w:rPr>
            <w:webHidden/>
          </w:rPr>
        </w:r>
        <w:r>
          <w:rPr>
            <w:webHidden/>
          </w:rPr>
          <w:fldChar w:fldCharType="separate"/>
        </w:r>
        <w:r>
          <w:rPr>
            <w:rStyle w:val="Indeksirajvezu"/>
          </w:rPr>
          <w:tab/>
          <w:t>111</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57">
        <w:r>
          <w:rPr>
            <w:rStyle w:val="Indeksirajvezu"/>
            <w:rFonts w:cstheme="majorBidi"/>
            <w:iCs/>
            <w:lang w:bidi="en-US"/>
          </w:rPr>
          <w:t>6.5.6 Događaj s najgorim mogućim posljedicama</w:t>
        </w:r>
        <w:r>
          <w:rPr>
            <w:webHidden/>
          </w:rPr>
          <w:fldChar w:fldCharType="begin"/>
        </w:r>
        <w:r>
          <w:rPr>
            <w:webHidden/>
          </w:rPr>
          <w:instrText>PAGEREF _Toc136522857 \h</w:instrText>
        </w:r>
        <w:r>
          <w:rPr>
            <w:webHidden/>
          </w:rPr>
        </w:r>
        <w:r>
          <w:rPr>
            <w:webHidden/>
          </w:rPr>
          <w:fldChar w:fldCharType="separate"/>
        </w:r>
        <w:r>
          <w:rPr>
            <w:rStyle w:val="Indeksirajvezu"/>
          </w:rPr>
          <w:tab/>
          <w:t>112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58">
        <w:r>
          <w:rPr>
            <w:rStyle w:val="Indeksirajvezu"/>
            <w:rFonts w:cstheme="majorBidi"/>
            <w:iCs/>
            <w:lang w:bidi="en-US"/>
          </w:rPr>
          <w:t>6.5.7 Podaci, izvori i metode proračuna</w:t>
        </w:r>
        <w:r>
          <w:rPr>
            <w:webHidden/>
          </w:rPr>
          <w:fldChar w:fldCharType="begin"/>
        </w:r>
        <w:r>
          <w:rPr>
            <w:webHidden/>
          </w:rPr>
          <w:instrText>PAGEREF _Toc136522858 \h</w:instrText>
        </w:r>
        <w:r>
          <w:rPr>
            <w:webHidden/>
          </w:rPr>
        </w:r>
        <w:r>
          <w:rPr>
            <w:webHidden/>
          </w:rPr>
          <w:fldChar w:fldCharType="separate"/>
        </w:r>
        <w:r>
          <w:rPr>
            <w:rStyle w:val="Indeksirajvezu"/>
          </w:rPr>
          <w:tab/>
          <w:t>117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59">
        <w:r>
          <w:rPr>
            <w:rStyle w:val="Indeksirajvezu"/>
            <w:rFonts w:cstheme="majorBidi"/>
            <w:lang w:bidi="en-US"/>
          </w:rPr>
          <w:t>6.5.8 Matrice rizika</w:t>
        </w:r>
        <w:r>
          <w:rPr>
            <w:webHidden/>
          </w:rPr>
          <w:fldChar w:fldCharType="begin"/>
        </w:r>
        <w:r>
          <w:rPr>
            <w:webHidden/>
          </w:rPr>
          <w:instrText>PAGEREF _Toc136522859 \h</w:instrText>
        </w:r>
        <w:r>
          <w:rPr>
            <w:webHidden/>
          </w:rPr>
        </w:r>
        <w:r>
          <w:rPr>
            <w:webHidden/>
          </w:rPr>
          <w:fldChar w:fldCharType="separate"/>
        </w:r>
        <w:r>
          <w:rPr>
            <w:rStyle w:val="Indeksirajvezu"/>
          </w:rPr>
          <w:tab/>
          <w:t>118</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60">
        <w:r>
          <w:rPr>
            <w:rStyle w:val="Indeksirajvezu"/>
            <w:rFonts w:cstheme="majorBidi"/>
            <w:lang w:bidi="en-US"/>
          </w:rPr>
          <w:t>6.5.9 Karte</w:t>
        </w:r>
        <w:r>
          <w:rPr>
            <w:webHidden/>
          </w:rPr>
          <w:fldChar w:fldCharType="begin"/>
        </w:r>
        <w:r>
          <w:rPr>
            <w:webHidden/>
          </w:rPr>
          <w:instrText>PAGEREF _Toc136522860 \h</w:instrText>
        </w:r>
        <w:r>
          <w:rPr>
            <w:webHidden/>
          </w:rPr>
        </w:r>
        <w:r>
          <w:rPr>
            <w:webHidden/>
          </w:rPr>
          <w:fldChar w:fldCharType="separate"/>
        </w:r>
        <w:r>
          <w:rPr>
            <w:rStyle w:val="Indeksirajvezu"/>
          </w:rPr>
          <w:tab/>
          <w:t>119</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61">
        <w:r>
          <w:rPr>
            <w:rStyle w:val="Indeksirajvezu"/>
          </w:rPr>
          <w:t>6.6 Vjetar</w:t>
        </w:r>
        <w:r>
          <w:rPr>
            <w:webHidden/>
          </w:rPr>
          <w:fldChar w:fldCharType="begin"/>
        </w:r>
        <w:r>
          <w:rPr>
            <w:webHidden/>
          </w:rPr>
          <w:instrText xml:space="preserve">PAGEREF </w:instrText>
        </w:r>
        <w:r>
          <w:rPr>
            <w:webHidden/>
          </w:rPr>
          <w:instrText>_Toc136522861 \h</w:instrText>
        </w:r>
        <w:r>
          <w:rPr>
            <w:webHidden/>
          </w:rPr>
        </w:r>
        <w:r>
          <w:rPr>
            <w:webHidden/>
          </w:rPr>
          <w:fldChar w:fldCharType="separate"/>
        </w:r>
        <w:r>
          <w:rPr>
            <w:rStyle w:val="Indeksirajvezu"/>
          </w:rPr>
          <w:tab/>
          <w:t>121</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62">
        <w:r>
          <w:rPr>
            <w:rStyle w:val="Indeksirajvezu"/>
            <w:rFonts w:cstheme="majorBidi"/>
            <w:iCs/>
            <w:lang w:bidi="en-US"/>
          </w:rPr>
          <w:t>6.6.1 Naziv scenarija</w:t>
        </w:r>
        <w:r>
          <w:rPr>
            <w:webHidden/>
          </w:rPr>
          <w:fldChar w:fldCharType="begin"/>
        </w:r>
        <w:r>
          <w:rPr>
            <w:webHidden/>
          </w:rPr>
          <w:instrText>PAGEREF _Toc136522862 \h</w:instrText>
        </w:r>
        <w:r>
          <w:rPr>
            <w:webHidden/>
          </w:rPr>
        </w:r>
        <w:r>
          <w:rPr>
            <w:webHidden/>
          </w:rPr>
          <w:fldChar w:fldCharType="separate"/>
        </w:r>
        <w:r>
          <w:rPr>
            <w:rStyle w:val="Indeksirajvezu"/>
          </w:rPr>
          <w:tab/>
          <w:t>121</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63">
        <w:r>
          <w:rPr>
            <w:rStyle w:val="Indeksirajvezu"/>
            <w:rFonts w:cstheme="majorBidi"/>
            <w:lang w:bidi="en-US"/>
          </w:rPr>
          <w:t>6.6.2 Uvod</w:t>
        </w:r>
        <w:r>
          <w:rPr>
            <w:webHidden/>
          </w:rPr>
          <w:fldChar w:fldCharType="begin"/>
        </w:r>
        <w:r>
          <w:rPr>
            <w:webHidden/>
          </w:rPr>
          <w:instrText>PAGEREF _Toc136522863 \h</w:instrText>
        </w:r>
        <w:r>
          <w:rPr>
            <w:webHidden/>
          </w:rPr>
        </w:r>
        <w:r>
          <w:rPr>
            <w:webHidden/>
          </w:rPr>
          <w:fldChar w:fldCharType="separate"/>
        </w:r>
        <w:r>
          <w:rPr>
            <w:rStyle w:val="Indeksirajvezu"/>
          </w:rPr>
          <w:tab/>
          <w:t>121</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64">
        <w:r>
          <w:rPr>
            <w:rStyle w:val="Indeksirajvezu"/>
            <w:rFonts w:cstheme="majorBidi"/>
            <w:iCs/>
            <w:lang w:bidi="en-US"/>
          </w:rPr>
          <w:t>6.6.3 Prikaz utjecaja na kritičnu strukturu</w:t>
        </w:r>
        <w:r>
          <w:rPr>
            <w:webHidden/>
          </w:rPr>
          <w:fldChar w:fldCharType="begin"/>
        </w:r>
        <w:r>
          <w:rPr>
            <w:webHidden/>
          </w:rPr>
          <w:instrText>PAGEREF _Toc136522864 \h</w:instrText>
        </w:r>
        <w:r>
          <w:rPr>
            <w:webHidden/>
          </w:rPr>
        </w:r>
        <w:r>
          <w:rPr>
            <w:webHidden/>
          </w:rPr>
          <w:fldChar w:fldCharType="separate"/>
        </w:r>
        <w:r>
          <w:rPr>
            <w:rStyle w:val="Indeksirajvezu"/>
          </w:rPr>
          <w:tab/>
          <w:t>122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65">
        <w:r>
          <w:rPr>
            <w:rStyle w:val="Indeksirajvezu"/>
            <w:rFonts w:cstheme="majorBidi"/>
            <w:iCs/>
            <w:lang w:bidi="en-US"/>
          </w:rPr>
          <w:t>6.6.4 Kontekst</w:t>
        </w:r>
        <w:r>
          <w:rPr>
            <w:webHidden/>
          </w:rPr>
          <w:fldChar w:fldCharType="begin"/>
        </w:r>
        <w:r>
          <w:rPr>
            <w:webHidden/>
          </w:rPr>
          <w:instrText>PAGEREF _Toc136522865 \h</w:instrText>
        </w:r>
        <w:r>
          <w:rPr>
            <w:webHidden/>
          </w:rPr>
        </w:r>
        <w:r>
          <w:rPr>
            <w:webHidden/>
          </w:rPr>
          <w:fldChar w:fldCharType="separate"/>
        </w:r>
        <w:r>
          <w:rPr>
            <w:rStyle w:val="Indeksirajvezu"/>
          </w:rPr>
          <w:tab/>
          <w:t>122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66">
        <w:r>
          <w:rPr>
            <w:rStyle w:val="Indeksirajvezu"/>
            <w:rFonts w:cstheme="majorBidi"/>
            <w:iCs/>
            <w:lang w:bidi="en-US"/>
          </w:rPr>
          <w:t>6.6.5 Uzrok</w:t>
        </w:r>
        <w:r>
          <w:rPr>
            <w:webHidden/>
          </w:rPr>
          <w:fldChar w:fldCharType="begin"/>
        </w:r>
        <w:r>
          <w:rPr>
            <w:webHidden/>
          </w:rPr>
          <w:instrText xml:space="preserve">PAGEREF </w:instrText>
        </w:r>
        <w:r>
          <w:rPr>
            <w:webHidden/>
          </w:rPr>
          <w:instrText>_Toc136522866 \h</w:instrText>
        </w:r>
        <w:r>
          <w:rPr>
            <w:webHidden/>
          </w:rPr>
        </w:r>
        <w:r>
          <w:rPr>
            <w:webHidden/>
          </w:rPr>
          <w:fldChar w:fldCharType="separate"/>
        </w:r>
        <w:r>
          <w:rPr>
            <w:rStyle w:val="Indeksirajvezu"/>
          </w:rPr>
          <w:tab/>
          <w:t>124</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67">
        <w:r>
          <w:rPr>
            <w:rStyle w:val="Indeksirajvezu"/>
            <w:rFonts w:cstheme="majorBidi"/>
            <w:iCs/>
            <w:lang w:bidi="en-US"/>
          </w:rPr>
          <w:t>6.6.6 Događaj s najgorim mogućim posljedicama</w:t>
        </w:r>
        <w:r>
          <w:rPr>
            <w:webHidden/>
          </w:rPr>
          <w:fldChar w:fldCharType="begin"/>
        </w:r>
        <w:r>
          <w:rPr>
            <w:webHidden/>
          </w:rPr>
          <w:instrText>PAGEREF _Toc136522867 \h</w:instrText>
        </w:r>
        <w:r>
          <w:rPr>
            <w:webHidden/>
          </w:rPr>
        </w:r>
        <w:r>
          <w:rPr>
            <w:webHidden/>
          </w:rPr>
          <w:fldChar w:fldCharType="separate"/>
        </w:r>
        <w:r>
          <w:rPr>
            <w:rStyle w:val="Indeksirajvezu"/>
          </w:rPr>
          <w:tab/>
          <w:t>125</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68">
        <w:r>
          <w:rPr>
            <w:rStyle w:val="Indeksirajvezu"/>
            <w:rFonts w:cstheme="majorBidi"/>
            <w:iCs/>
            <w:lang w:bidi="en-US"/>
          </w:rPr>
          <w:t>6.6.7 Podaci, izvori i metode proračuna</w:t>
        </w:r>
        <w:r>
          <w:rPr>
            <w:webHidden/>
          </w:rPr>
          <w:fldChar w:fldCharType="begin"/>
        </w:r>
        <w:r>
          <w:rPr>
            <w:webHidden/>
          </w:rPr>
          <w:instrText>PAGEREF _Toc136522868 \h</w:instrText>
        </w:r>
        <w:r>
          <w:rPr>
            <w:webHidden/>
          </w:rPr>
        </w:r>
        <w:r>
          <w:rPr>
            <w:webHidden/>
          </w:rPr>
          <w:fldChar w:fldCharType="separate"/>
        </w:r>
        <w:r>
          <w:rPr>
            <w:rStyle w:val="Indeksirajvezu"/>
          </w:rPr>
          <w:tab/>
          <w:t>127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69">
        <w:r>
          <w:rPr>
            <w:rStyle w:val="Indeksirajvezu"/>
            <w:rFonts w:cstheme="majorBidi"/>
            <w:iCs/>
            <w:lang w:bidi="en-US"/>
          </w:rPr>
          <w:t>6.6.8 Matrice rizika</w:t>
        </w:r>
        <w:r>
          <w:rPr>
            <w:webHidden/>
          </w:rPr>
          <w:fldChar w:fldCharType="begin"/>
        </w:r>
        <w:r>
          <w:rPr>
            <w:webHidden/>
          </w:rPr>
          <w:instrText>PAGEREF _Toc13652</w:instrText>
        </w:r>
        <w:r>
          <w:rPr>
            <w:webHidden/>
          </w:rPr>
          <w:instrText>2869 \h</w:instrText>
        </w:r>
        <w:r>
          <w:rPr>
            <w:webHidden/>
          </w:rPr>
        </w:r>
        <w:r>
          <w:rPr>
            <w:webHidden/>
          </w:rPr>
          <w:fldChar w:fldCharType="separate"/>
        </w:r>
        <w:r>
          <w:rPr>
            <w:rStyle w:val="Indeksirajvezu"/>
          </w:rPr>
          <w:tab/>
          <w:t>128</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70">
        <w:r>
          <w:rPr>
            <w:rStyle w:val="Indeksirajvezu"/>
            <w:rFonts w:cstheme="majorBidi"/>
            <w:lang w:bidi="en-US"/>
          </w:rPr>
          <w:t>6.6.9 Karte</w:t>
        </w:r>
        <w:r>
          <w:rPr>
            <w:webHidden/>
          </w:rPr>
          <w:fldChar w:fldCharType="begin"/>
        </w:r>
        <w:r>
          <w:rPr>
            <w:webHidden/>
          </w:rPr>
          <w:instrText>PAGEREF _Toc136522870 \h</w:instrText>
        </w:r>
        <w:r>
          <w:rPr>
            <w:webHidden/>
          </w:rPr>
        </w:r>
        <w:r>
          <w:rPr>
            <w:webHidden/>
          </w:rPr>
          <w:fldChar w:fldCharType="separate"/>
        </w:r>
        <w:r>
          <w:rPr>
            <w:rStyle w:val="Indeksirajvezu"/>
          </w:rPr>
          <w:tab/>
          <w:t>129</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71">
        <w:r>
          <w:rPr>
            <w:rStyle w:val="Indeksirajvezu"/>
          </w:rPr>
          <w:t>6.7 Ekstremne temperature</w:t>
        </w:r>
        <w:r>
          <w:rPr>
            <w:webHidden/>
          </w:rPr>
          <w:fldChar w:fldCharType="begin"/>
        </w:r>
        <w:r>
          <w:rPr>
            <w:webHidden/>
          </w:rPr>
          <w:instrText>PAGEREF _Toc136522871 \h</w:instrText>
        </w:r>
        <w:r>
          <w:rPr>
            <w:webHidden/>
          </w:rPr>
        </w:r>
        <w:r>
          <w:rPr>
            <w:webHidden/>
          </w:rPr>
          <w:fldChar w:fldCharType="separate"/>
        </w:r>
        <w:r>
          <w:rPr>
            <w:rStyle w:val="Indeksirajvezu"/>
          </w:rPr>
          <w:tab/>
          <w:t>131</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72">
        <w:r>
          <w:rPr>
            <w:rStyle w:val="Indeksirajvezu"/>
            <w:rFonts w:cstheme="majorBidi"/>
            <w:lang w:bidi="en-US"/>
          </w:rPr>
          <w:t>6.7.1 Naziv scenarija</w:t>
        </w:r>
        <w:r>
          <w:rPr>
            <w:webHidden/>
          </w:rPr>
          <w:fldChar w:fldCharType="begin"/>
        </w:r>
        <w:r>
          <w:rPr>
            <w:webHidden/>
          </w:rPr>
          <w:instrText>PAGEREF _Toc136522872 \h</w:instrText>
        </w:r>
        <w:r>
          <w:rPr>
            <w:webHidden/>
          </w:rPr>
        </w:r>
        <w:r>
          <w:rPr>
            <w:webHidden/>
          </w:rPr>
          <w:fldChar w:fldCharType="separate"/>
        </w:r>
        <w:r>
          <w:rPr>
            <w:rStyle w:val="Indeksirajvezu"/>
          </w:rPr>
          <w:tab/>
          <w:t>131</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73">
        <w:r>
          <w:rPr>
            <w:rStyle w:val="Indeksirajvezu"/>
            <w:rFonts w:cstheme="majorBidi"/>
            <w:lang w:bidi="en-US"/>
          </w:rPr>
          <w:t>6.7.2 Uvod</w:t>
        </w:r>
        <w:r>
          <w:rPr>
            <w:webHidden/>
          </w:rPr>
          <w:fldChar w:fldCharType="begin"/>
        </w:r>
        <w:r>
          <w:rPr>
            <w:webHidden/>
          </w:rPr>
          <w:instrText>PAGEREF _Toc136522873 \h</w:instrText>
        </w:r>
        <w:r>
          <w:rPr>
            <w:webHidden/>
          </w:rPr>
        </w:r>
        <w:r>
          <w:rPr>
            <w:webHidden/>
          </w:rPr>
          <w:fldChar w:fldCharType="separate"/>
        </w:r>
        <w:r>
          <w:rPr>
            <w:rStyle w:val="Indeksirajvezu"/>
          </w:rPr>
          <w:tab/>
          <w:t>131</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74">
        <w:r>
          <w:rPr>
            <w:rStyle w:val="Indeksirajvezu"/>
            <w:rFonts w:cstheme="majorBidi"/>
            <w:lang w:bidi="en-US"/>
          </w:rPr>
          <w:t xml:space="preserve">6.7.3 Prikaz utjecaja na </w:t>
        </w:r>
        <w:r>
          <w:rPr>
            <w:rStyle w:val="Indeksirajvezu"/>
            <w:rFonts w:cstheme="majorBidi"/>
            <w:lang w:bidi="en-US"/>
          </w:rPr>
          <w:t>kritičnu strukturu</w:t>
        </w:r>
        <w:r>
          <w:rPr>
            <w:webHidden/>
          </w:rPr>
          <w:fldChar w:fldCharType="begin"/>
        </w:r>
        <w:r>
          <w:rPr>
            <w:webHidden/>
          </w:rPr>
          <w:instrText>PAGEREF _Toc136522874 \h</w:instrText>
        </w:r>
        <w:r>
          <w:rPr>
            <w:webHidden/>
          </w:rPr>
        </w:r>
        <w:r>
          <w:rPr>
            <w:webHidden/>
          </w:rPr>
          <w:fldChar w:fldCharType="separate"/>
        </w:r>
        <w:r>
          <w:rPr>
            <w:rStyle w:val="Indeksirajvezu"/>
          </w:rPr>
          <w:tab/>
          <w:t>131</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75">
        <w:r>
          <w:rPr>
            <w:rStyle w:val="Indeksirajvezu"/>
            <w:rFonts w:cstheme="majorBidi"/>
            <w:lang w:bidi="en-US"/>
          </w:rPr>
          <w:t>6.7.4 Kontekst</w:t>
        </w:r>
        <w:r>
          <w:rPr>
            <w:webHidden/>
          </w:rPr>
          <w:fldChar w:fldCharType="begin"/>
        </w:r>
        <w:r>
          <w:rPr>
            <w:webHidden/>
          </w:rPr>
          <w:instrText>PAGEREF _Toc136522875 \h</w:instrText>
        </w:r>
        <w:r>
          <w:rPr>
            <w:webHidden/>
          </w:rPr>
        </w:r>
        <w:r>
          <w:rPr>
            <w:webHidden/>
          </w:rPr>
          <w:fldChar w:fldCharType="separate"/>
        </w:r>
        <w:r>
          <w:rPr>
            <w:rStyle w:val="Indeksirajvezu"/>
          </w:rPr>
          <w:tab/>
          <w:t>132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76">
        <w:r>
          <w:rPr>
            <w:rStyle w:val="Indeksirajvezu"/>
            <w:rFonts w:cstheme="majorBidi"/>
            <w:lang w:bidi="en-US"/>
          </w:rPr>
          <w:t>6.7.5 Uzrok</w:t>
        </w:r>
        <w:r>
          <w:rPr>
            <w:webHidden/>
          </w:rPr>
          <w:fldChar w:fldCharType="begin"/>
        </w:r>
        <w:r>
          <w:rPr>
            <w:webHidden/>
          </w:rPr>
          <w:instrText>PAGEREF _Toc136522876 \h</w:instrText>
        </w:r>
        <w:r>
          <w:rPr>
            <w:webHidden/>
          </w:rPr>
        </w:r>
        <w:r>
          <w:rPr>
            <w:webHidden/>
          </w:rPr>
          <w:fldChar w:fldCharType="separate"/>
        </w:r>
        <w:r>
          <w:rPr>
            <w:rStyle w:val="Indeksirajvezu"/>
          </w:rPr>
          <w:tab/>
          <w:t>142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77">
        <w:r>
          <w:rPr>
            <w:rStyle w:val="Indeksirajvezu"/>
            <w:rFonts w:cstheme="majorBidi"/>
            <w:lang w:bidi="en-US"/>
          </w:rPr>
          <w:t>6.7.6 Događaj s najgorim mogućim posljedicama</w:t>
        </w:r>
        <w:r>
          <w:rPr>
            <w:webHidden/>
          </w:rPr>
          <w:fldChar w:fldCharType="begin"/>
        </w:r>
        <w:r>
          <w:rPr>
            <w:webHidden/>
          </w:rPr>
          <w:instrText>PAGEREF _Toc136522877 \h</w:instrText>
        </w:r>
        <w:r>
          <w:rPr>
            <w:webHidden/>
          </w:rPr>
        </w:r>
        <w:r>
          <w:rPr>
            <w:webHidden/>
          </w:rPr>
          <w:fldChar w:fldCharType="separate"/>
        </w:r>
        <w:r>
          <w:rPr>
            <w:rStyle w:val="Indeksirajvezu"/>
          </w:rPr>
          <w:tab/>
          <w:t>142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78">
        <w:r>
          <w:rPr>
            <w:rStyle w:val="Indeksirajvezu"/>
            <w:rFonts w:cstheme="majorBidi"/>
            <w:lang w:bidi="en-US"/>
          </w:rPr>
          <w:t>6.7.7 Podaci, izvori i metode proračuna</w:t>
        </w:r>
        <w:r>
          <w:rPr>
            <w:webHidden/>
          </w:rPr>
          <w:fldChar w:fldCharType="begin"/>
        </w:r>
        <w:r>
          <w:rPr>
            <w:webHidden/>
          </w:rPr>
          <w:instrText>PAGEREF _Toc136522878 \h</w:instrText>
        </w:r>
        <w:r>
          <w:rPr>
            <w:webHidden/>
          </w:rPr>
        </w:r>
        <w:r>
          <w:rPr>
            <w:webHidden/>
          </w:rPr>
          <w:fldChar w:fldCharType="separate"/>
        </w:r>
        <w:r>
          <w:rPr>
            <w:rStyle w:val="Indeksirajvezu"/>
          </w:rPr>
          <w:tab/>
          <w:t>146</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79">
        <w:r>
          <w:rPr>
            <w:rStyle w:val="Indeksirajvezu"/>
            <w:rFonts w:cstheme="majorBidi"/>
            <w:lang w:bidi="en-US"/>
          </w:rPr>
          <w:t>6.7.8 Matrice rizika</w:t>
        </w:r>
        <w:r>
          <w:rPr>
            <w:webHidden/>
          </w:rPr>
          <w:fldChar w:fldCharType="begin"/>
        </w:r>
        <w:r>
          <w:rPr>
            <w:webHidden/>
          </w:rPr>
          <w:instrText>PAGEREF _Toc136522879 \h</w:instrText>
        </w:r>
        <w:r>
          <w:rPr>
            <w:webHidden/>
          </w:rPr>
        </w:r>
        <w:r>
          <w:rPr>
            <w:webHidden/>
          </w:rPr>
          <w:fldChar w:fldCharType="separate"/>
        </w:r>
        <w:r>
          <w:rPr>
            <w:rStyle w:val="Indeksirajvezu"/>
          </w:rPr>
          <w:tab/>
          <w:t>147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80">
        <w:r>
          <w:rPr>
            <w:rStyle w:val="Indeksirajvezu"/>
            <w:rFonts w:cstheme="majorBidi"/>
            <w:lang w:bidi="en-US"/>
          </w:rPr>
          <w:t>6.7.9 Karte</w:t>
        </w:r>
        <w:r>
          <w:rPr>
            <w:webHidden/>
          </w:rPr>
          <w:fldChar w:fldCharType="begin"/>
        </w:r>
        <w:r>
          <w:rPr>
            <w:webHidden/>
          </w:rPr>
          <w:instrText>PAGEREF _Toc136522880 \h</w:instrText>
        </w:r>
        <w:r>
          <w:rPr>
            <w:webHidden/>
          </w:rPr>
        </w:r>
        <w:r>
          <w:rPr>
            <w:webHidden/>
          </w:rPr>
          <w:fldChar w:fldCharType="separate"/>
        </w:r>
        <w:r>
          <w:rPr>
            <w:rStyle w:val="Indeksirajvezu"/>
          </w:rPr>
          <w:tab/>
          <w:t>148</w:t>
        </w:r>
        <w:r>
          <w:rPr>
            <w:webHidden/>
          </w:rPr>
          <w:fldChar w:fldCharType="end"/>
        </w:r>
      </w:hyperlink>
    </w:p>
    <w:p w:rsidR="00A07D92" w:rsidRDefault="00495E63">
      <w:pPr>
        <w:pStyle w:val="Sadraj2"/>
        <w:tabs>
          <w:tab w:val="left" w:pos="526"/>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81">
        <w:r>
          <w:rPr>
            <w:rStyle w:val="Indeksirajvezu"/>
          </w:rPr>
          <w:t>6.8</w:t>
        </w:r>
        <w:r>
          <w:rPr>
            <w:rStyle w:val="Indeksirajvezu"/>
            <w:rFonts w:asciiTheme="minorHAnsi" w:eastAsiaTheme="minorEastAsia" w:hAnsiTheme="minorHAnsi" w:cstheme="minorBidi"/>
            <w:b w:val="0"/>
            <w:bCs w:val="0"/>
            <w:smallCaps w:val="0"/>
            <w:color w:val="auto"/>
            <w:kern w:val="2"/>
            <w:szCs w:val="22"/>
            <w:lang w:eastAsia="hr-HR"/>
            <w14:ligatures w14:val="standardContextual"/>
          </w:rPr>
          <w:tab/>
        </w:r>
        <w:r>
          <w:rPr>
            <w:rStyle w:val="Indeksirajvezu"/>
          </w:rPr>
          <w:t>Klizišta</w:t>
        </w:r>
        <w:r>
          <w:rPr>
            <w:webHidden/>
          </w:rPr>
          <w:fldChar w:fldCharType="begin"/>
        </w:r>
        <w:r>
          <w:rPr>
            <w:webHidden/>
          </w:rPr>
          <w:instrText xml:space="preserve">PAGEREF </w:instrText>
        </w:r>
        <w:r>
          <w:rPr>
            <w:webHidden/>
          </w:rPr>
          <w:instrText>_Toc136522881 \h</w:instrText>
        </w:r>
        <w:r>
          <w:rPr>
            <w:webHidden/>
          </w:rPr>
        </w:r>
        <w:r>
          <w:rPr>
            <w:webHidden/>
          </w:rPr>
          <w:fldChar w:fldCharType="separate"/>
        </w:r>
        <w:r>
          <w:rPr>
            <w:rStyle w:val="Indeksirajvezu"/>
          </w:rPr>
          <w:tab/>
          <w:t>150</w:t>
        </w:r>
        <w:r>
          <w:rPr>
            <w:webHidden/>
          </w:rPr>
          <w:fldChar w:fldCharType="end"/>
        </w:r>
      </w:hyperlink>
    </w:p>
    <w:p w:rsidR="00A07D92" w:rsidRDefault="00495E63">
      <w:pPr>
        <w:pStyle w:val="Sadraj3"/>
        <w:tabs>
          <w:tab w:val="left" w:pos="709"/>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82">
        <w:r>
          <w:rPr>
            <w:rStyle w:val="Indeksirajvezu"/>
            <w:lang w:bidi="en-US"/>
          </w:rPr>
          <w:t>6.8.1</w:t>
        </w:r>
        <w:r>
          <w:rPr>
            <w:rStyle w:val="Indeksirajvezu"/>
            <w:rFonts w:asciiTheme="minorHAnsi" w:eastAsiaTheme="minorEastAsia" w:hAnsiTheme="minorHAnsi" w:cstheme="minorBidi"/>
            <w:smallCaps w:val="0"/>
            <w:color w:val="auto"/>
            <w:kern w:val="2"/>
            <w:szCs w:val="22"/>
            <w:lang w:eastAsia="hr-HR"/>
            <w14:ligatures w14:val="standardContextual"/>
          </w:rPr>
          <w:tab/>
        </w:r>
        <w:r>
          <w:rPr>
            <w:rStyle w:val="Indeksirajvezu"/>
            <w:lang w:bidi="en-US"/>
          </w:rPr>
          <w:t>Naziv scenarija</w:t>
        </w:r>
        <w:r>
          <w:rPr>
            <w:webHidden/>
          </w:rPr>
          <w:fldChar w:fldCharType="begin"/>
        </w:r>
        <w:r>
          <w:rPr>
            <w:webHidden/>
          </w:rPr>
          <w:instrText>PAGEREF _Toc136522882 \h</w:instrText>
        </w:r>
        <w:r>
          <w:rPr>
            <w:webHidden/>
          </w:rPr>
        </w:r>
        <w:r>
          <w:rPr>
            <w:webHidden/>
          </w:rPr>
          <w:fldChar w:fldCharType="separate"/>
        </w:r>
        <w:r>
          <w:rPr>
            <w:rStyle w:val="Indeksirajvezu"/>
          </w:rPr>
          <w:tab/>
          <w:t>150</w:t>
        </w:r>
        <w:r>
          <w:rPr>
            <w:webHidden/>
          </w:rPr>
          <w:fldChar w:fldCharType="end"/>
        </w:r>
      </w:hyperlink>
    </w:p>
    <w:p w:rsidR="00A07D92" w:rsidRDefault="00495E63">
      <w:pPr>
        <w:pStyle w:val="Sadraj3"/>
        <w:tabs>
          <w:tab w:val="left" w:pos="709"/>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83">
        <w:r>
          <w:rPr>
            <w:rStyle w:val="Indeksirajvezu"/>
            <w:lang w:bidi="en-US"/>
          </w:rPr>
          <w:t>6.8.2</w:t>
        </w:r>
        <w:r>
          <w:rPr>
            <w:rStyle w:val="Indeksirajvezu"/>
            <w:rFonts w:asciiTheme="minorHAnsi" w:eastAsiaTheme="minorEastAsia" w:hAnsiTheme="minorHAnsi" w:cstheme="minorBidi"/>
            <w:smallCaps w:val="0"/>
            <w:color w:val="auto"/>
            <w:kern w:val="2"/>
            <w:szCs w:val="22"/>
            <w:lang w:eastAsia="hr-HR"/>
            <w14:ligatures w14:val="standardContextual"/>
          </w:rPr>
          <w:tab/>
        </w:r>
        <w:r>
          <w:rPr>
            <w:rStyle w:val="Indeksirajvezu"/>
            <w:lang w:bidi="en-US"/>
          </w:rPr>
          <w:t>Uvod</w:t>
        </w:r>
        <w:r>
          <w:rPr>
            <w:webHidden/>
          </w:rPr>
          <w:fldChar w:fldCharType="begin"/>
        </w:r>
        <w:r>
          <w:rPr>
            <w:webHidden/>
          </w:rPr>
          <w:instrText>PAGEREF _Toc136522883 \h</w:instrText>
        </w:r>
        <w:r>
          <w:rPr>
            <w:webHidden/>
          </w:rPr>
        </w:r>
        <w:r>
          <w:rPr>
            <w:webHidden/>
          </w:rPr>
          <w:fldChar w:fldCharType="separate"/>
        </w:r>
        <w:r>
          <w:rPr>
            <w:rStyle w:val="Indeksirajvezu"/>
          </w:rPr>
          <w:tab/>
          <w:t>150</w:t>
        </w:r>
        <w:r>
          <w:rPr>
            <w:webHidden/>
          </w:rPr>
          <w:fldChar w:fldCharType="end"/>
        </w:r>
      </w:hyperlink>
    </w:p>
    <w:p w:rsidR="00A07D92" w:rsidRDefault="00495E63">
      <w:pPr>
        <w:pStyle w:val="Sadraj3"/>
        <w:tabs>
          <w:tab w:val="left" w:pos="709"/>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84">
        <w:r>
          <w:rPr>
            <w:rStyle w:val="Indeksirajvezu"/>
            <w:lang w:bidi="en-US"/>
          </w:rPr>
          <w:t>6.8.3</w:t>
        </w:r>
        <w:r>
          <w:rPr>
            <w:rStyle w:val="Indeksirajvezu"/>
            <w:rFonts w:asciiTheme="minorHAnsi" w:eastAsiaTheme="minorEastAsia" w:hAnsiTheme="minorHAnsi" w:cstheme="minorBidi"/>
            <w:smallCaps w:val="0"/>
            <w:color w:val="auto"/>
            <w:kern w:val="2"/>
            <w:szCs w:val="22"/>
            <w:lang w:eastAsia="hr-HR"/>
            <w14:ligatures w14:val="standardContextual"/>
          </w:rPr>
          <w:tab/>
        </w:r>
        <w:r>
          <w:rPr>
            <w:rStyle w:val="Indeksirajvezu"/>
            <w:lang w:bidi="en-US"/>
          </w:rPr>
          <w:t>Prikaz utjecaja na kritičnu infrastrukturu</w:t>
        </w:r>
        <w:r>
          <w:rPr>
            <w:webHidden/>
          </w:rPr>
          <w:fldChar w:fldCharType="begin"/>
        </w:r>
        <w:r>
          <w:rPr>
            <w:webHidden/>
          </w:rPr>
          <w:instrText>PAGEREF _Toc136522884 \h</w:instrText>
        </w:r>
        <w:r>
          <w:rPr>
            <w:webHidden/>
          </w:rPr>
        </w:r>
        <w:r>
          <w:rPr>
            <w:webHidden/>
          </w:rPr>
          <w:fldChar w:fldCharType="separate"/>
        </w:r>
        <w:r>
          <w:rPr>
            <w:rStyle w:val="Indeksirajvezu"/>
          </w:rPr>
          <w:tab/>
          <w:t>152</w:t>
        </w:r>
        <w:r>
          <w:rPr>
            <w:webHidden/>
          </w:rPr>
          <w:fldChar w:fldCharType="end"/>
        </w:r>
      </w:hyperlink>
    </w:p>
    <w:p w:rsidR="00A07D92" w:rsidRDefault="00495E63">
      <w:pPr>
        <w:pStyle w:val="Sadraj3"/>
        <w:tabs>
          <w:tab w:val="left" w:pos="709"/>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85">
        <w:r>
          <w:rPr>
            <w:rStyle w:val="Indeksirajvezu"/>
            <w:lang w:bidi="en-US"/>
          </w:rPr>
          <w:t>6.8.4</w:t>
        </w:r>
        <w:r>
          <w:rPr>
            <w:rStyle w:val="Indeksirajvezu"/>
            <w:rFonts w:asciiTheme="minorHAnsi" w:eastAsiaTheme="minorEastAsia" w:hAnsiTheme="minorHAnsi" w:cstheme="minorBidi"/>
            <w:smallCaps w:val="0"/>
            <w:color w:val="auto"/>
            <w:kern w:val="2"/>
            <w:szCs w:val="22"/>
            <w:lang w:eastAsia="hr-HR"/>
            <w14:ligatures w14:val="standardContextual"/>
          </w:rPr>
          <w:tab/>
        </w:r>
        <w:r>
          <w:rPr>
            <w:rStyle w:val="Indeksirajvezu"/>
            <w:lang w:bidi="en-US"/>
          </w:rPr>
          <w:t>Kontekst</w:t>
        </w:r>
        <w:r>
          <w:rPr>
            <w:webHidden/>
          </w:rPr>
          <w:fldChar w:fldCharType="begin"/>
        </w:r>
        <w:r>
          <w:rPr>
            <w:webHidden/>
          </w:rPr>
          <w:instrText>PAGEREF _Toc136522885 \h</w:instrText>
        </w:r>
        <w:r>
          <w:rPr>
            <w:webHidden/>
          </w:rPr>
        </w:r>
        <w:r>
          <w:rPr>
            <w:webHidden/>
          </w:rPr>
          <w:fldChar w:fldCharType="separate"/>
        </w:r>
        <w:r>
          <w:rPr>
            <w:rStyle w:val="Indeksirajvezu"/>
          </w:rPr>
          <w:tab/>
          <w:t>152</w:t>
        </w:r>
        <w:r>
          <w:rPr>
            <w:webHidden/>
          </w:rPr>
          <w:fldChar w:fldCharType="end"/>
        </w:r>
      </w:hyperlink>
    </w:p>
    <w:p w:rsidR="00A07D92" w:rsidRDefault="00495E63">
      <w:pPr>
        <w:pStyle w:val="Sadraj3"/>
        <w:tabs>
          <w:tab w:val="left" w:pos="709"/>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86">
        <w:r>
          <w:rPr>
            <w:rStyle w:val="Indeksirajvezu"/>
            <w:lang w:bidi="en-US"/>
          </w:rPr>
          <w:t>6.8.5</w:t>
        </w:r>
        <w:r>
          <w:rPr>
            <w:rStyle w:val="Indeksirajvezu"/>
            <w:rFonts w:asciiTheme="minorHAnsi" w:eastAsiaTheme="minorEastAsia" w:hAnsiTheme="minorHAnsi" w:cstheme="minorBidi"/>
            <w:smallCaps w:val="0"/>
            <w:color w:val="auto"/>
            <w:kern w:val="2"/>
            <w:szCs w:val="22"/>
            <w:lang w:eastAsia="hr-HR"/>
            <w14:ligatures w14:val="standardContextual"/>
          </w:rPr>
          <w:tab/>
        </w:r>
        <w:r>
          <w:rPr>
            <w:rStyle w:val="Indeksirajvezu"/>
            <w:lang w:bidi="en-US"/>
          </w:rPr>
          <w:t>Uzrok</w:t>
        </w:r>
        <w:r>
          <w:rPr>
            <w:webHidden/>
          </w:rPr>
          <w:fldChar w:fldCharType="begin"/>
        </w:r>
        <w:r>
          <w:rPr>
            <w:webHidden/>
          </w:rPr>
          <w:instrText>PAGEREF _Toc136522886 \h</w:instrText>
        </w:r>
        <w:r>
          <w:rPr>
            <w:webHidden/>
          </w:rPr>
        </w:r>
        <w:r>
          <w:rPr>
            <w:webHidden/>
          </w:rPr>
          <w:fldChar w:fldCharType="separate"/>
        </w:r>
        <w:r>
          <w:rPr>
            <w:rStyle w:val="Indeksirajvezu"/>
          </w:rPr>
          <w:tab/>
          <w:t>155</w:t>
        </w:r>
        <w:r>
          <w:rPr>
            <w:webHidden/>
          </w:rPr>
          <w:fldChar w:fldCharType="end"/>
        </w:r>
      </w:hyperlink>
    </w:p>
    <w:p w:rsidR="00A07D92" w:rsidRDefault="00495E63">
      <w:pPr>
        <w:pStyle w:val="Sadraj3"/>
        <w:tabs>
          <w:tab w:val="left" w:pos="709"/>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87">
        <w:r>
          <w:rPr>
            <w:rStyle w:val="Indeksirajvezu"/>
            <w:lang w:bidi="en-US"/>
          </w:rPr>
          <w:t>6.8.6</w:t>
        </w:r>
        <w:r>
          <w:rPr>
            <w:rStyle w:val="Indeksirajvezu"/>
            <w:rFonts w:asciiTheme="minorHAnsi" w:eastAsiaTheme="minorEastAsia" w:hAnsiTheme="minorHAnsi" w:cstheme="minorBidi"/>
            <w:smallCaps w:val="0"/>
            <w:color w:val="auto"/>
            <w:kern w:val="2"/>
            <w:szCs w:val="22"/>
            <w:lang w:eastAsia="hr-HR"/>
            <w14:ligatures w14:val="standardContextual"/>
          </w:rPr>
          <w:tab/>
        </w:r>
        <w:r>
          <w:rPr>
            <w:rStyle w:val="Indeksirajvezu"/>
            <w:lang w:bidi="en-US"/>
          </w:rPr>
          <w:t>Događaj s najgorim mogućim posljedicama</w:t>
        </w:r>
        <w:r>
          <w:rPr>
            <w:webHidden/>
          </w:rPr>
          <w:fldChar w:fldCharType="begin"/>
        </w:r>
        <w:r>
          <w:rPr>
            <w:webHidden/>
          </w:rPr>
          <w:instrText>PAGEREF _Toc136522887 \h</w:instrText>
        </w:r>
        <w:r>
          <w:rPr>
            <w:webHidden/>
          </w:rPr>
        </w:r>
        <w:r>
          <w:rPr>
            <w:webHidden/>
          </w:rPr>
          <w:fldChar w:fldCharType="separate"/>
        </w:r>
        <w:r>
          <w:rPr>
            <w:rStyle w:val="Indeksirajvezu"/>
          </w:rPr>
          <w:tab/>
          <w:t>156</w:t>
        </w:r>
        <w:r>
          <w:rPr>
            <w:webHidden/>
          </w:rPr>
          <w:fldChar w:fldCharType="end"/>
        </w:r>
      </w:hyperlink>
    </w:p>
    <w:p w:rsidR="00A07D92" w:rsidRDefault="00495E63">
      <w:pPr>
        <w:pStyle w:val="Sadraj3"/>
        <w:tabs>
          <w:tab w:val="left" w:pos="709"/>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88">
        <w:r>
          <w:rPr>
            <w:rStyle w:val="Indeksirajvezu"/>
            <w:lang w:bidi="en-US"/>
          </w:rPr>
          <w:t>6.8.7</w:t>
        </w:r>
        <w:r>
          <w:rPr>
            <w:rStyle w:val="Indeksirajvezu"/>
            <w:rFonts w:asciiTheme="minorHAnsi" w:eastAsiaTheme="minorEastAsia" w:hAnsiTheme="minorHAnsi" w:cstheme="minorBidi"/>
            <w:smallCaps w:val="0"/>
            <w:color w:val="auto"/>
            <w:kern w:val="2"/>
            <w:szCs w:val="22"/>
            <w:lang w:eastAsia="hr-HR"/>
            <w14:ligatures w14:val="standardContextual"/>
          </w:rPr>
          <w:tab/>
        </w:r>
        <w:r>
          <w:rPr>
            <w:rStyle w:val="Indeksirajvezu"/>
            <w:lang w:bidi="en-US"/>
          </w:rPr>
          <w:t>Podaci, izvori i metode proračuna</w:t>
        </w:r>
        <w:r>
          <w:rPr>
            <w:webHidden/>
          </w:rPr>
          <w:fldChar w:fldCharType="begin"/>
        </w:r>
        <w:r>
          <w:rPr>
            <w:webHidden/>
          </w:rPr>
          <w:instrText>PAGEREF _Toc136522888 \h</w:instrText>
        </w:r>
        <w:r>
          <w:rPr>
            <w:webHidden/>
          </w:rPr>
        </w:r>
        <w:r>
          <w:rPr>
            <w:webHidden/>
          </w:rPr>
          <w:fldChar w:fldCharType="separate"/>
        </w:r>
        <w:r>
          <w:rPr>
            <w:rStyle w:val="Indeksirajvezu"/>
          </w:rPr>
          <w:tab/>
          <w:t>158</w:t>
        </w:r>
        <w:r>
          <w:rPr>
            <w:webHidden/>
          </w:rPr>
          <w:fldChar w:fldCharType="end"/>
        </w:r>
      </w:hyperlink>
    </w:p>
    <w:p w:rsidR="00A07D92" w:rsidRDefault="00495E63">
      <w:pPr>
        <w:pStyle w:val="Sadraj3"/>
        <w:tabs>
          <w:tab w:val="left" w:pos="709"/>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89">
        <w:r>
          <w:rPr>
            <w:rStyle w:val="Indeksirajvezu"/>
            <w:lang w:bidi="en-US"/>
          </w:rPr>
          <w:t>6.8.8</w:t>
        </w:r>
        <w:r>
          <w:rPr>
            <w:rStyle w:val="Indeksirajvezu"/>
            <w:rFonts w:asciiTheme="minorHAnsi" w:eastAsiaTheme="minorEastAsia" w:hAnsiTheme="minorHAnsi" w:cstheme="minorBidi"/>
            <w:smallCaps w:val="0"/>
            <w:color w:val="auto"/>
            <w:kern w:val="2"/>
            <w:szCs w:val="22"/>
            <w:lang w:eastAsia="hr-HR"/>
            <w14:ligatures w14:val="standardContextual"/>
          </w:rPr>
          <w:tab/>
        </w:r>
        <w:r>
          <w:rPr>
            <w:rStyle w:val="Indeksirajvezu"/>
            <w:lang w:bidi="en-US"/>
          </w:rPr>
          <w:t>Matrice rizika</w:t>
        </w:r>
        <w:r>
          <w:rPr>
            <w:webHidden/>
          </w:rPr>
          <w:fldChar w:fldCharType="begin"/>
        </w:r>
        <w:r>
          <w:rPr>
            <w:webHidden/>
          </w:rPr>
          <w:instrText>PAGEREF _Toc136522889 \h</w:instrText>
        </w:r>
        <w:r>
          <w:rPr>
            <w:webHidden/>
          </w:rPr>
        </w:r>
        <w:r>
          <w:rPr>
            <w:webHidden/>
          </w:rPr>
          <w:fldChar w:fldCharType="separate"/>
        </w:r>
        <w:r>
          <w:rPr>
            <w:rStyle w:val="Indeksirajvezu"/>
          </w:rPr>
          <w:tab/>
          <w:t>159</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90">
        <w:r>
          <w:rPr>
            <w:rStyle w:val="Indeksirajvezu"/>
            <w:rFonts w:cstheme="majorBidi"/>
            <w:lang w:bidi="en-US"/>
          </w:rPr>
          <w:t>6.8.9 Karte</w:t>
        </w:r>
        <w:r>
          <w:rPr>
            <w:webHidden/>
          </w:rPr>
          <w:fldChar w:fldCharType="begin"/>
        </w:r>
        <w:r>
          <w:rPr>
            <w:webHidden/>
          </w:rPr>
          <w:instrText>PAGEREF _Toc136522890 \h</w:instrText>
        </w:r>
        <w:r>
          <w:rPr>
            <w:webHidden/>
          </w:rPr>
        </w:r>
        <w:r>
          <w:rPr>
            <w:webHidden/>
          </w:rPr>
          <w:fldChar w:fldCharType="separate"/>
        </w:r>
        <w:r>
          <w:rPr>
            <w:rStyle w:val="Indeksirajvezu"/>
          </w:rPr>
          <w:tab/>
          <w:t>160</w:t>
        </w:r>
        <w:r>
          <w:rPr>
            <w:webHidden/>
          </w:rPr>
          <w:fldChar w:fldCharType="end"/>
        </w:r>
      </w:hyperlink>
    </w:p>
    <w:p w:rsidR="00A07D92" w:rsidRDefault="00495E63">
      <w:pPr>
        <w:pStyle w:val="Sadraj2"/>
        <w:tabs>
          <w:tab w:val="left" w:pos="526"/>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891">
        <w:r>
          <w:rPr>
            <w:rStyle w:val="Indeksirajvezu"/>
          </w:rPr>
          <w:t>6.9</w:t>
        </w:r>
        <w:r>
          <w:rPr>
            <w:rStyle w:val="Indeksirajvezu"/>
            <w:rFonts w:asciiTheme="minorHAnsi" w:eastAsiaTheme="minorEastAsia" w:hAnsiTheme="minorHAnsi" w:cstheme="minorBidi"/>
            <w:b w:val="0"/>
            <w:bCs w:val="0"/>
            <w:smallCaps w:val="0"/>
            <w:color w:val="auto"/>
            <w:kern w:val="2"/>
            <w:szCs w:val="22"/>
            <w:lang w:eastAsia="hr-HR"/>
            <w14:ligatures w14:val="standardContextual"/>
          </w:rPr>
          <w:tab/>
        </w:r>
        <w:r>
          <w:rPr>
            <w:rStyle w:val="Indeksirajvezu"/>
          </w:rPr>
          <w:t>Tehničko tehnološke i druge nesreće u prometu</w:t>
        </w:r>
        <w:r>
          <w:rPr>
            <w:webHidden/>
          </w:rPr>
          <w:fldChar w:fldCharType="begin"/>
        </w:r>
        <w:r>
          <w:rPr>
            <w:webHidden/>
          </w:rPr>
          <w:instrText>PAGEREF _Toc136522891 \h</w:instrText>
        </w:r>
        <w:r>
          <w:rPr>
            <w:webHidden/>
          </w:rPr>
        </w:r>
        <w:r>
          <w:rPr>
            <w:webHidden/>
          </w:rPr>
          <w:fldChar w:fldCharType="separate"/>
        </w:r>
        <w:r>
          <w:rPr>
            <w:rStyle w:val="Indeksirajvezu"/>
          </w:rPr>
          <w:tab/>
          <w:t>162</w:t>
        </w:r>
        <w:r>
          <w:rPr>
            <w:webHidden/>
          </w:rPr>
          <w:fldChar w:fldCharType="end"/>
        </w:r>
      </w:hyperlink>
    </w:p>
    <w:p w:rsidR="00A07D92" w:rsidRDefault="00495E63">
      <w:pPr>
        <w:pStyle w:val="Sadraj3"/>
        <w:tabs>
          <w:tab w:val="left" w:pos="709"/>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92">
        <w:r>
          <w:rPr>
            <w:rStyle w:val="Indeksirajvezu"/>
            <w:lang w:bidi="en-US"/>
          </w:rPr>
          <w:t>6.9.1</w:t>
        </w:r>
        <w:r>
          <w:rPr>
            <w:rStyle w:val="Indeksirajvezu"/>
            <w:rFonts w:asciiTheme="minorHAnsi" w:eastAsiaTheme="minorEastAsia" w:hAnsiTheme="minorHAnsi" w:cstheme="minorBidi"/>
            <w:smallCaps w:val="0"/>
            <w:color w:val="auto"/>
            <w:kern w:val="2"/>
            <w:szCs w:val="22"/>
            <w:lang w:eastAsia="hr-HR"/>
            <w14:ligatures w14:val="standardContextual"/>
          </w:rPr>
          <w:tab/>
        </w:r>
        <w:r>
          <w:rPr>
            <w:rStyle w:val="Indeksirajvezu"/>
            <w:lang w:bidi="en-US"/>
          </w:rPr>
          <w:t>Naziv scenarija</w:t>
        </w:r>
        <w:r>
          <w:rPr>
            <w:webHidden/>
          </w:rPr>
          <w:fldChar w:fldCharType="begin"/>
        </w:r>
        <w:r>
          <w:rPr>
            <w:webHidden/>
          </w:rPr>
          <w:instrText>PAGEREF _Toc136522892 \h</w:instrText>
        </w:r>
        <w:r>
          <w:rPr>
            <w:webHidden/>
          </w:rPr>
        </w:r>
        <w:r>
          <w:rPr>
            <w:webHidden/>
          </w:rPr>
          <w:fldChar w:fldCharType="separate"/>
        </w:r>
        <w:r>
          <w:rPr>
            <w:rStyle w:val="Indeksirajvezu"/>
          </w:rPr>
          <w:tab/>
          <w:t>162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93">
        <w:r>
          <w:rPr>
            <w:rStyle w:val="Indeksirajvezu"/>
            <w:rFonts w:cstheme="majorBidi"/>
            <w:lang w:bidi="en-US"/>
          </w:rPr>
          <w:t>6.9.2 Uvod</w:t>
        </w:r>
        <w:r>
          <w:rPr>
            <w:webHidden/>
          </w:rPr>
          <w:fldChar w:fldCharType="begin"/>
        </w:r>
        <w:r>
          <w:rPr>
            <w:webHidden/>
          </w:rPr>
          <w:instrText>PAGEREF _Toc136522893 \h</w:instrText>
        </w:r>
        <w:r>
          <w:rPr>
            <w:webHidden/>
          </w:rPr>
        </w:r>
        <w:r>
          <w:rPr>
            <w:webHidden/>
          </w:rPr>
          <w:fldChar w:fldCharType="separate"/>
        </w:r>
        <w:r>
          <w:rPr>
            <w:rStyle w:val="Indeksirajvezu"/>
          </w:rPr>
          <w:tab/>
          <w:t>162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94">
        <w:r>
          <w:rPr>
            <w:rStyle w:val="Indeksirajvezu"/>
            <w:rFonts w:cstheme="majorBidi"/>
            <w:lang w:bidi="en-US"/>
          </w:rPr>
          <w:t>6.9.3 Prikaz utjecaja na kritičnu strukturu</w:t>
        </w:r>
        <w:r>
          <w:rPr>
            <w:webHidden/>
          </w:rPr>
          <w:fldChar w:fldCharType="begin"/>
        </w:r>
        <w:r>
          <w:rPr>
            <w:webHidden/>
          </w:rPr>
          <w:instrText>PAGEREF _Toc136522894 \h</w:instrText>
        </w:r>
        <w:r>
          <w:rPr>
            <w:webHidden/>
          </w:rPr>
        </w:r>
        <w:r>
          <w:rPr>
            <w:webHidden/>
          </w:rPr>
          <w:fldChar w:fldCharType="separate"/>
        </w:r>
        <w:r>
          <w:rPr>
            <w:rStyle w:val="Indeksirajvezu"/>
          </w:rPr>
          <w:tab/>
          <w:t>162</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95">
        <w:r>
          <w:rPr>
            <w:rStyle w:val="Indeksirajvezu"/>
            <w:rFonts w:cstheme="majorBidi"/>
            <w:lang w:bidi="en-US"/>
          </w:rPr>
          <w:t>6.9.4 Kontekst</w:t>
        </w:r>
        <w:r>
          <w:rPr>
            <w:webHidden/>
          </w:rPr>
          <w:fldChar w:fldCharType="begin"/>
        </w:r>
        <w:r>
          <w:rPr>
            <w:webHidden/>
          </w:rPr>
          <w:instrText>PAGEREF _Toc136522895 \h</w:instrText>
        </w:r>
        <w:r>
          <w:rPr>
            <w:webHidden/>
          </w:rPr>
        </w:r>
        <w:r>
          <w:rPr>
            <w:webHidden/>
          </w:rPr>
          <w:fldChar w:fldCharType="separate"/>
        </w:r>
        <w:r>
          <w:rPr>
            <w:rStyle w:val="Indeksirajvezu"/>
          </w:rPr>
          <w:tab/>
          <w:t>163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96">
        <w:r>
          <w:rPr>
            <w:rStyle w:val="Indeksirajvezu"/>
            <w:rFonts w:cstheme="majorBidi"/>
            <w:lang w:bidi="en-US"/>
          </w:rPr>
          <w:t>6.9.5 Uzrok</w:t>
        </w:r>
        <w:r>
          <w:rPr>
            <w:webHidden/>
          </w:rPr>
          <w:fldChar w:fldCharType="begin"/>
        </w:r>
        <w:r>
          <w:rPr>
            <w:webHidden/>
          </w:rPr>
          <w:instrText>PAGEREF _Toc136522896 \h</w:instrText>
        </w:r>
        <w:r>
          <w:rPr>
            <w:webHidden/>
          </w:rPr>
        </w:r>
        <w:r>
          <w:rPr>
            <w:webHidden/>
          </w:rPr>
          <w:fldChar w:fldCharType="separate"/>
        </w:r>
        <w:r>
          <w:rPr>
            <w:rStyle w:val="Indeksirajvezu"/>
          </w:rPr>
          <w:tab/>
          <w:t>163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97">
        <w:r>
          <w:rPr>
            <w:rStyle w:val="Indeksirajvezu"/>
            <w:rFonts w:cstheme="majorBidi"/>
            <w:iCs/>
            <w:lang w:bidi="en-US"/>
          </w:rPr>
          <w:t>6.9.6 Događaj s najgorim mogućim posljedicama</w:t>
        </w:r>
        <w:r>
          <w:rPr>
            <w:webHidden/>
          </w:rPr>
          <w:fldChar w:fldCharType="begin"/>
        </w:r>
        <w:r>
          <w:rPr>
            <w:webHidden/>
          </w:rPr>
          <w:instrText>PAGEREF _Toc136522897 \h</w:instrText>
        </w:r>
        <w:r>
          <w:rPr>
            <w:webHidden/>
          </w:rPr>
        </w:r>
        <w:r>
          <w:rPr>
            <w:webHidden/>
          </w:rPr>
          <w:fldChar w:fldCharType="separate"/>
        </w:r>
        <w:r>
          <w:rPr>
            <w:rStyle w:val="Indeksirajvezu"/>
          </w:rPr>
          <w:tab/>
          <w:t>164</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98">
        <w:r>
          <w:rPr>
            <w:rStyle w:val="Indeksirajvezu"/>
            <w:rFonts w:cstheme="majorBidi"/>
            <w:iCs/>
            <w:lang w:bidi="en-US"/>
          </w:rPr>
          <w:t xml:space="preserve">6.9.7 Podaci, izvori i </w:t>
        </w:r>
        <w:r>
          <w:rPr>
            <w:rStyle w:val="Indeksirajvezu"/>
            <w:rFonts w:cstheme="majorBidi"/>
            <w:iCs/>
            <w:lang w:bidi="en-US"/>
          </w:rPr>
          <w:t>metode proračuna</w:t>
        </w:r>
        <w:r>
          <w:rPr>
            <w:webHidden/>
          </w:rPr>
          <w:fldChar w:fldCharType="begin"/>
        </w:r>
        <w:r>
          <w:rPr>
            <w:webHidden/>
          </w:rPr>
          <w:instrText>PAGEREF _Toc136522898 \h</w:instrText>
        </w:r>
        <w:r>
          <w:rPr>
            <w:webHidden/>
          </w:rPr>
        </w:r>
        <w:r>
          <w:rPr>
            <w:webHidden/>
          </w:rPr>
          <w:fldChar w:fldCharType="separate"/>
        </w:r>
        <w:r>
          <w:rPr>
            <w:rStyle w:val="Indeksirajvezu"/>
          </w:rPr>
          <w:tab/>
          <w:t>168</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899">
        <w:r>
          <w:rPr>
            <w:rStyle w:val="Indeksirajvezu"/>
            <w:rFonts w:cstheme="majorBidi"/>
            <w:lang w:bidi="en-US"/>
          </w:rPr>
          <w:t>6.9.8 Matrice rizika</w:t>
        </w:r>
        <w:r>
          <w:rPr>
            <w:webHidden/>
          </w:rPr>
          <w:fldChar w:fldCharType="begin"/>
        </w:r>
        <w:r>
          <w:rPr>
            <w:webHidden/>
          </w:rPr>
          <w:instrText>PAGEREF _Toc136522899 \h</w:instrText>
        </w:r>
        <w:r>
          <w:rPr>
            <w:webHidden/>
          </w:rPr>
        </w:r>
        <w:r>
          <w:rPr>
            <w:webHidden/>
          </w:rPr>
          <w:fldChar w:fldCharType="separate"/>
        </w:r>
        <w:r>
          <w:rPr>
            <w:rStyle w:val="Indeksirajvezu"/>
          </w:rPr>
          <w:tab/>
          <w:t>169</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900">
        <w:r>
          <w:rPr>
            <w:rStyle w:val="Indeksirajvezu"/>
            <w:rFonts w:cstheme="majorBidi"/>
            <w:lang w:bidi="en-US"/>
          </w:rPr>
          <w:t>6.5.9 Karte</w:t>
        </w:r>
        <w:r>
          <w:rPr>
            <w:webHidden/>
          </w:rPr>
          <w:fldChar w:fldCharType="begin"/>
        </w:r>
        <w:r>
          <w:rPr>
            <w:webHidden/>
          </w:rPr>
          <w:instrText>PAGEREF _Toc136522900 \h</w:instrText>
        </w:r>
        <w:r>
          <w:rPr>
            <w:webHidden/>
          </w:rPr>
        </w:r>
        <w:r>
          <w:rPr>
            <w:webHidden/>
          </w:rPr>
          <w:fldChar w:fldCharType="separate"/>
        </w:r>
        <w:r>
          <w:rPr>
            <w:rStyle w:val="Indeksirajvezu"/>
          </w:rPr>
          <w:tab/>
          <w:t>170</w:t>
        </w:r>
        <w:r>
          <w:rPr>
            <w:webHidden/>
          </w:rPr>
          <w:fldChar w:fldCharType="end"/>
        </w:r>
      </w:hyperlink>
    </w:p>
    <w:p w:rsidR="00A07D92" w:rsidRDefault="00495E63">
      <w:pPr>
        <w:pStyle w:val="Sadraj1"/>
        <w:tabs>
          <w:tab w:val="left" w:pos="342"/>
          <w:tab w:val="right" w:leader="dot" w:pos="9060"/>
        </w:tabs>
        <w:rPr>
          <w:rFonts w:asciiTheme="minorHAnsi" w:eastAsiaTheme="minorEastAsia" w:hAnsiTheme="minorHAnsi" w:cstheme="minorBidi"/>
          <w:b w:val="0"/>
          <w:bCs w:val="0"/>
          <w:caps w:val="0"/>
          <w:color w:val="auto"/>
          <w:kern w:val="2"/>
          <w:szCs w:val="22"/>
          <w:u w:val="none"/>
          <w:lang w:eastAsia="hr-HR"/>
          <w14:ligatures w14:val="standardContextual"/>
        </w:rPr>
      </w:pPr>
      <w:hyperlink w:anchor="_Toc136522901">
        <w:r>
          <w:rPr>
            <w:rStyle w:val="Indeksirajvezu"/>
          </w:rPr>
          <w:t>7</w:t>
        </w:r>
        <w:r>
          <w:rPr>
            <w:rStyle w:val="Indeksirajvezu"/>
            <w:rFonts w:asciiTheme="minorHAnsi" w:eastAsiaTheme="minorEastAsia" w:hAnsiTheme="minorHAnsi" w:cstheme="minorBidi"/>
            <w:b w:val="0"/>
            <w:bCs w:val="0"/>
            <w:caps w:val="0"/>
            <w:color w:val="auto"/>
            <w:kern w:val="2"/>
            <w:szCs w:val="22"/>
            <w:u w:val="none"/>
            <w:lang w:eastAsia="hr-HR"/>
            <w14:ligatures w14:val="standardContextual"/>
          </w:rPr>
          <w:tab/>
        </w:r>
        <w:r>
          <w:rPr>
            <w:rStyle w:val="Indeksirajvezu"/>
          </w:rPr>
          <w:t>USPOREDBA</w:t>
        </w:r>
        <w:r>
          <w:rPr>
            <w:rStyle w:val="Indeksirajvezu"/>
          </w:rPr>
          <w:t xml:space="preserve"> RIZIKA</w:t>
        </w:r>
        <w:r>
          <w:rPr>
            <w:webHidden/>
          </w:rPr>
          <w:fldChar w:fldCharType="begin"/>
        </w:r>
        <w:r>
          <w:rPr>
            <w:webHidden/>
          </w:rPr>
          <w:instrText>PAGEREF _Toc136522901 \h</w:instrText>
        </w:r>
        <w:r>
          <w:rPr>
            <w:webHidden/>
          </w:rPr>
        </w:r>
        <w:r>
          <w:rPr>
            <w:webHidden/>
          </w:rPr>
          <w:fldChar w:fldCharType="separate"/>
        </w:r>
        <w:r>
          <w:rPr>
            <w:rStyle w:val="Indeksirajvezu"/>
          </w:rPr>
          <w:tab/>
          <w:t>172</w:t>
        </w:r>
        <w:r>
          <w:rPr>
            <w:webHidden/>
          </w:rPr>
          <w:fldChar w:fldCharType="end"/>
        </w:r>
      </w:hyperlink>
    </w:p>
    <w:p w:rsidR="00A07D92" w:rsidRDefault="00495E63">
      <w:pPr>
        <w:pStyle w:val="Sadraj1"/>
        <w:tabs>
          <w:tab w:val="left" w:pos="342"/>
          <w:tab w:val="right" w:leader="dot" w:pos="9060"/>
        </w:tabs>
        <w:rPr>
          <w:rFonts w:asciiTheme="minorHAnsi" w:eastAsiaTheme="minorEastAsia" w:hAnsiTheme="minorHAnsi" w:cstheme="minorBidi"/>
          <w:b w:val="0"/>
          <w:bCs w:val="0"/>
          <w:caps w:val="0"/>
          <w:color w:val="auto"/>
          <w:kern w:val="2"/>
          <w:szCs w:val="22"/>
          <w:u w:val="none"/>
          <w:lang w:eastAsia="hr-HR"/>
          <w14:ligatures w14:val="standardContextual"/>
        </w:rPr>
      </w:pPr>
      <w:hyperlink w:anchor="_Toc136522902">
        <w:r>
          <w:rPr>
            <w:rStyle w:val="Indeksirajvezu"/>
          </w:rPr>
          <w:t>8</w:t>
        </w:r>
        <w:r>
          <w:rPr>
            <w:rStyle w:val="Indeksirajvezu"/>
            <w:rFonts w:asciiTheme="minorHAnsi" w:eastAsiaTheme="minorEastAsia" w:hAnsiTheme="minorHAnsi" w:cstheme="minorBidi"/>
            <w:b w:val="0"/>
            <w:bCs w:val="0"/>
            <w:caps w:val="0"/>
            <w:color w:val="auto"/>
            <w:kern w:val="2"/>
            <w:szCs w:val="22"/>
            <w:u w:val="none"/>
            <w:lang w:eastAsia="hr-HR"/>
            <w14:ligatures w14:val="standardContextual"/>
          </w:rPr>
          <w:tab/>
        </w:r>
        <w:r>
          <w:rPr>
            <w:rStyle w:val="Indeksirajvezu"/>
          </w:rPr>
          <w:t>ANALIZA SUSTAVA CIVILNE ZAŠTITE</w:t>
        </w:r>
        <w:r>
          <w:rPr>
            <w:webHidden/>
          </w:rPr>
          <w:fldChar w:fldCharType="begin"/>
        </w:r>
        <w:r>
          <w:rPr>
            <w:webHidden/>
          </w:rPr>
          <w:instrText>PAGEREF _Toc136522902 \h</w:instrText>
        </w:r>
        <w:r>
          <w:rPr>
            <w:webHidden/>
          </w:rPr>
        </w:r>
        <w:r>
          <w:rPr>
            <w:webHidden/>
          </w:rPr>
          <w:fldChar w:fldCharType="separate"/>
        </w:r>
        <w:r>
          <w:rPr>
            <w:rStyle w:val="Indeksirajvezu"/>
          </w:rPr>
          <w:tab/>
          <w:t>173</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903">
        <w:r>
          <w:rPr>
            <w:rStyle w:val="Indeksirajvezu"/>
          </w:rPr>
          <w:t>8.1 Područje preventive</w:t>
        </w:r>
        <w:r>
          <w:rPr>
            <w:webHidden/>
          </w:rPr>
          <w:fldChar w:fldCharType="begin"/>
        </w:r>
        <w:r>
          <w:rPr>
            <w:webHidden/>
          </w:rPr>
          <w:instrText>PAGEREF _Toc136522903 \h</w:instrText>
        </w:r>
        <w:r>
          <w:rPr>
            <w:webHidden/>
          </w:rPr>
        </w:r>
        <w:r>
          <w:rPr>
            <w:webHidden/>
          </w:rPr>
          <w:fldChar w:fldCharType="separate"/>
        </w:r>
        <w:r>
          <w:rPr>
            <w:rStyle w:val="Indeksirajvezu"/>
          </w:rPr>
          <w:tab/>
          <w:t>173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904">
        <w:r>
          <w:rPr>
            <w:rStyle w:val="Indeksirajvezu"/>
            <w:rFonts w:cstheme="majorBidi"/>
            <w:lang w:eastAsia="hr-HR" w:bidi="en-US"/>
          </w:rPr>
          <w:t xml:space="preserve">8.1.1 </w:t>
        </w:r>
        <w:r>
          <w:rPr>
            <w:rStyle w:val="Indeksirajvezu"/>
            <w:rFonts w:cstheme="majorBidi"/>
            <w:lang w:bidi="en-US"/>
          </w:rPr>
          <w:t>Usvojenost strategija, normativne uređenosti te izrađenost procjena i planova od značaja za sustav civilne zaštite</w:t>
        </w:r>
        <w:r>
          <w:rPr>
            <w:webHidden/>
          </w:rPr>
          <w:fldChar w:fldCharType="begin"/>
        </w:r>
        <w:r>
          <w:rPr>
            <w:webHidden/>
          </w:rPr>
          <w:instrText>PAGEREF _Toc136522904 \h</w:instrText>
        </w:r>
        <w:r>
          <w:rPr>
            <w:webHidden/>
          </w:rPr>
        </w:r>
        <w:r>
          <w:rPr>
            <w:webHidden/>
          </w:rPr>
          <w:fldChar w:fldCharType="separate"/>
        </w:r>
        <w:r>
          <w:rPr>
            <w:rStyle w:val="Indeksirajvezu"/>
          </w:rPr>
          <w:tab/>
          <w:t>173</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905">
        <w:r>
          <w:rPr>
            <w:rStyle w:val="Indeksirajvezu"/>
            <w:rFonts w:cstheme="majorBidi"/>
            <w:lang w:eastAsia="hr-HR" w:bidi="en-US"/>
          </w:rPr>
          <w:t>8.1</w:t>
        </w:r>
        <w:r>
          <w:rPr>
            <w:rStyle w:val="Indeksirajvezu"/>
            <w:rFonts w:cstheme="majorBidi"/>
            <w:lang w:eastAsia="hr-HR" w:bidi="en-US"/>
          </w:rPr>
          <w:t>.2 Sustavi ranog upozoravanja i suradnja sa susjednim jedinicama lokalne i područne (regionalne) samouprave</w:t>
        </w:r>
        <w:r>
          <w:rPr>
            <w:webHidden/>
          </w:rPr>
          <w:fldChar w:fldCharType="begin"/>
        </w:r>
        <w:r>
          <w:rPr>
            <w:webHidden/>
          </w:rPr>
          <w:instrText>PAGEREF _Toc136522905 \h</w:instrText>
        </w:r>
        <w:r>
          <w:rPr>
            <w:webHidden/>
          </w:rPr>
        </w:r>
        <w:r>
          <w:rPr>
            <w:webHidden/>
          </w:rPr>
          <w:fldChar w:fldCharType="separate"/>
        </w:r>
        <w:r>
          <w:rPr>
            <w:rStyle w:val="Indeksirajvezu"/>
          </w:rPr>
          <w:tab/>
          <w:t>174</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906">
        <w:r>
          <w:rPr>
            <w:rStyle w:val="Indeksirajvezu"/>
            <w:rFonts w:cstheme="majorBidi"/>
            <w:lang w:eastAsia="hr-HR" w:bidi="en-US"/>
          </w:rPr>
          <w:t>8.1.3 Stanje svij</w:t>
        </w:r>
        <w:r>
          <w:rPr>
            <w:rStyle w:val="Indeksirajvezu"/>
            <w:rFonts w:cstheme="majorBidi"/>
            <w:lang w:eastAsia="hr-HR" w:bidi="en-US"/>
          </w:rPr>
          <w:t>esti pojedinaca, pripadnika ranjivih skupina, upravljačkih i odgovornih tijela</w:t>
        </w:r>
        <w:r>
          <w:rPr>
            <w:webHidden/>
          </w:rPr>
          <w:fldChar w:fldCharType="begin"/>
        </w:r>
        <w:r>
          <w:rPr>
            <w:webHidden/>
          </w:rPr>
          <w:instrText>PAGEREF _Toc136522906 \h</w:instrText>
        </w:r>
        <w:r>
          <w:rPr>
            <w:webHidden/>
          </w:rPr>
        </w:r>
        <w:r>
          <w:rPr>
            <w:webHidden/>
          </w:rPr>
          <w:fldChar w:fldCharType="separate"/>
        </w:r>
        <w:r>
          <w:rPr>
            <w:rStyle w:val="Indeksirajvezu"/>
          </w:rPr>
          <w:tab/>
          <w:t>175</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907">
        <w:r>
          <w:rPr>
            <w:rStyle w:val="Indeksirajvezu"/>
            <w:rFonts w:cstheme="majorBidi"/>
            <w:lang w:eastAsia="hr-HR" w:bidi="en-US"/>
          </w:rPr>
          <w:t xml:space="preserve">8.1.4 Ocjena stanja prostornog planiranja, </w:t>
        </w:r>
        <w:r>
          <w:rPr>
            <w:rStyle w:val="Indeksirajvezu"/>
            <w:rFonts w:cstheme="majorBidi"/>
            <w:lang w:eastAsia="hr-HR" w:bidi="en-US"/>
          </w:rPr>
          <w:t>izrade prostornih i urbanističkih planova razvoja, planskog korištenja zemljišta</w:t>
        </w:r>
        <w:r>
          <w:rPr>
            <w:webHidden/>
          </w:rPr>
          <w:fldChar w:fldCharType="begin"/>
        </w:r>
        <w:r>
          <w:rPr>
            <w:webHidden/>
          </w:rPr>
          <w:instrText>PAGEREF _Toc136522907 \h</w:instrText>
        </w:r>
        <w:r>
          <w:rPr>
            <w:webHidden/>
          </w:rPr>
        </w:r>
        <w:r>
          <w:rPr>
            <w:webHidden/>
          </w:rPr>
          <w:fldChar w:fldCharType="separate"/>
        </w:r>
        <w:r>
          <w:rPr>
            <w:rStyle w:val="Indeksirajvezu"/>
          </w:rPr>
          <w:tab/>
          <w:t>176</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908">
        <w:r>
          <w:rPr>
            <w:rStyle w:val="Indeksirajvezu"/>
            <w:rFonts w:cstheme="majorBidi"/>
            <w:lang w:eastAsia="hr-HR" w:bidi="en-US"/>
          </w:rPr>
          <w:t>8.1.5 Ocjena fiskalne situacije i njezine p</w:t>
        </w:r>
        <w:r>
          <w:rPr>
            <w:rStyle w:val="Indeksirajvezu"/>
            <w:rFonts w:cstheme="majorBidi"/>
            <w:lang w:eastAsia="hr-HR" w:bidi="en-US"/>
          </w:rPr>
          <w:t>erspektive</w:t>
        </w:r>
        <w:r>
          <w:rPr>
            <w:webHidden/>
          </w:rPr>
          <w:fldChar w:fldCharType="begin"/>
        </w:r>
        <w:r>
          <w:rPr>
            <w:webHidden/>
          </w:rPr>
          <w:instrText>PAGEREF _Toc136522908 \h</w:instrText>
        </w:r>
        <w:r>
          <w:rPr>
            <w:webHidden/>
          </w:rPr>
        </w:r>
        <w:r>
          <w:rPr>
            <w:webHidden/>
          </w:rPr>
          <w:fldChar w:fldCharType="separate"/>
        </w:r>
        <w:r>
          <w:rPr>
            <w:rStyle w:val="Indeksirajvezu"/>
          </w:rPr>
          <w:tab/>
          <w:t>177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909">
        <w:r>
          <w:rPr>
            <w:rStyle w:val="Indeksirajvezu"/>
            <w:rFonts w:cstheme="majorBidi"/>
            <w:lang w:eastAsia="hr-HR" w:bidi="en-US"/>
          </w:rPr>
          <w:t>8.1.6 Baza podataka</w:t>
        </w:r>
        <w:r>
          <w:rPr>
            <w:webHidden/>
          </w:rPr>
          <w:fldChar w:fldCharType="begin"/>
        </w:r>
        <w:r>
          <w:rPr>
            <w:webHidden/>
          </w:rPr>
          <w:instrText>PAGEREF _Toc136522909 \h</w:instrText>
        </w:r>
        <w:r>
          <w:rPr>
            <w:webHidden/>
          </w:rPr>
        </w:r>
        <w:r>
          <w:rPr>
            <w:webHidden/>
          </w:rPr>
          <w:fldChar w:fldCharType="separate"/>
        </w:r>
        <w:r>
          <w:rPr>
            <w:rStyle w:val="Indeksirajvezu"/>
          </w:rPr>
          <w:tab/>
          <w:t>178</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910">
        <w:r>
          <w:rPr>
            <w:rStyle w:val="Indeksirajvezu"/>
          </w:rPr>
          <w:t>8.2 Područje reagiranja</w:t>
        </w:r>
        <w:r>
          <w:rPr>
            <w:webHidden/>
          </w:rPr>
          <w:fldChar w:fldCharType="begin"/>
        </w:r>
        <w:r>
          <w:rPr>
            <w:webHidden/>
          </w:rPr>
          <w:instrText>PAGEREF _Toc136522910 \h</w:instrText>
        </w:r>
        <w:r>
          <w:rPr>
            <w:webHidden/>
          </w:rPr>
        </w:r>
        <w:r>
          <w:rPr>
            <w:webHidden/>
          </w:rPr>
          <w:fldChar w:fldCharType="separate"/>
        </w:r>
        <w:r>
          <w:rPr>
            <w:rStyle w:val="Indeksirajvezu"/>
          </w:rPr>
          <w:tab/>
          <w:t>180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911">
        <w:r>
          <w:rPr>
            <w:rStyle w:val="Indeksirajvezu"/>
            <w:rFonts w:cstheme="majorBidi"/>
            <w:lang w:eastAsia="hr-HR" w:bidi="en-US"/>
          </w:rPr>
          <w:t>8.2.1 Spremnost odgovornih i upravljačkih kapaciteta</w:t>
        </w:r>
        <w:r>
          <w:rPr>
            <w:webHidden/>
          </w:rPr>
          <w:fldChar w:fldCharType="begin"/>
        </w:r>
        <w:r>
          <w:rPr>
            <w:webHidden/>
          </w:rPr>
          <w:instrText>PAGEREF _</w:instrText>
        </w:r>
        <w:r>
          <w:rPr>
            <w:webHidden/>
          </w:rPr>
          <w:instrText>Toc136522911 \h</w:instrText>
        </w:r>
        <w:r>
          <w:rPr>
            <w:webHidden/>
          </w:rPr>
        </w:r>
        <w:r>
          <w:rPr>
            <w:webHidden/>
          </w:rPr>
          <w:fldChar w:fldCharType="separate"/>
        </w:r>
        <w:r>
          <w:rPr>
            <w:rStyle w:val="Indeksirajvezu"/>
          </w:rPr>
          <w:tab/>
          <w:t>180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912">
        <w:r>
          <w:rPr>
            <w:rStyle w:val="Indeksirajvezu"/>
            <w:rFonts w:cstheme="majorBidi"/>
            <w:lang w:eastAsia="hr-HR" w:bidi="en-US"/>
          </w:rPr>
          <w:t>8.2.2 Spremnost operativnih kapaciteta</w:t>
        </w:r>
        <w:r>
          <w:rPr>
            <w:webHidden/>
          </w:rPr>
          <w:fldChar w:fldCharType="begin"/>
        </w:r>
        <w:r>
          <w:rPr>
            <w:webHidden/>
          </w:rPr>
          <w:instrText>PAGEREF _Toc136522912 \h</w:instrText>
        </w:r>
        <w:r>
          <w:rPr>
            <w:webHidden/>
          </w:rPr>
        </w:r>
        <w:r>
          <w:rPr>
            <w:webHidden/>
          </w:rPr>
          <w:fldChar w:fldCharType="separate"/>
        </w:r>
        <w:r>
          <w:rPr>
            <w:rStyle w:val="Indeksirajvezu"/>
          </w:rPr>
          <w:tab/>
          <w:t>180</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913">
        <w:r>
          <w:rPr>
            <w:rStyle w:val="Indeksirajvezu"/>
            <w:rFonts w:cstheme="majorBidi"/>
            <w:lang w:eastAsia="hr-HR" w:bidi="en-US"/>
          </w:rPr>
          <w:t>8.2.3 Stanje mobilnosti operativnih kapaciteta sustava civilne zaštite i stanja komunikacijskih kapaciteta</w:t>
        </w:r>
        <w:r>
          <w:rPr>
            <w:webHidden/>
          </w:rPr>
          <w:fldChar w:fldCharType="begin"/>
        </w:r>
        <w:r>
          <w:rPr>
            <w:webHidden/>
          </w:rPr>
          <w:instrText>PAGEREF _Toc136522913 \h</w:instrText>
        </w:r>
        <w:r>
          <w:rPr>
            <w:webHidden/>
          </w:rPr>
        </w:r>
        <w:r>
          <w:rPr>
            <w:webHidden/>
          </w:rPr>
          <w:fldChar w:fldCharType="separate"/>
        </w:r>
        <w:r>
          <w:rPr>
            <w:rStyle w:val="Indeksirajvezu"/>
          </w:rPr>
          <w:tab/>
          <w:t>187</w:t>
        </w:r>
        <w:r>
          <w:rPr>
            <w:webHidden/>
          </w:rPr>
          <w:fldChar w:fldCharType="end"/>
        </w:r>
      </w:hyperlink>
    </w:p>
    <w:p w:rsidR="00A07D92" w:rsidRDefault="00495E63">
      <w:pPr>
        <w:pStyle w:val="Sadraj3"/>
        <w:tabs>
          <w:tab w:val="right" w:leader="dot" w:pos="9060"/>
        </w:tabs>
        <w:rPr>
          <w:rFonts w:asciiTheme="minorHAnsi" w:eastAsiaTheme="minorEastAsia" w:hAnsiTheme="minorHAnsi" w:cstheme="minorBidi"/>
          <w:smallCaps w:val="0"/>
          <w:color w:val="auto"/>
          <w:kern w:val="2"/>
          <w:szCs w:val="22"/>
          <w:lang w:eastAsia="hr-HR"/>
          <w14:ligatures w14:val="standardContextual"/>
        </w:rPr>
      </w:pPr>
      <w:hyperlink w:anchor="_Toc136522914">
        <w:r>
          <w:rPr>
            <w:rStyle w:val="Indeksirajvezu"/>
            <w:rFonts w:cstheme="majorBidi"/>
            <w:lang w:eastAsia="hr-HR" w:bidi="en-US"/>
          </w:rPr>
          <w:t>8.2.4 Analiza spremnosti prema rizicima obrađenim u Procjeni rizika</w:t>
        </w:r>
        <w:r>
          <w:rPr>
            <w:webHidden/>
          </w:rPr>
          <w:fldChar w:fldCharType="begin"/>
        </w:r>
        <w:r>
          <w:rPr>
            <w:webHidden/>
          </w:rPr>
          <w:instrText>PAGEREF _Toc136522914 \h</w:instrText>
        </w:r>
        <w:r>
          <w:rPr>
            <w:webHidden/>
          </w:rPr>
        </w:r>
        <w:r>
          <w:rPr>
            <w:webHidden/>
          </w:rPr>
          <w:fldChar w:fldCharType="separate"/>
        </w:r>
        <w:r>
          <w:rPr>
            <w:rStyle w:val="Indeksirajvezu"/>
          </w:rPr>
          <w:tab/>
          <w:t>189</w:t>
        </w:r>
        <w:r>
          <w:rPr>
            <w:webHidden/>
          </w:rPr>
          <w:fldChar w:fldCharType="end"/>
        </w:r>
      </w:hyperlink>
    </w:p>
    <w:p w:rsidR="00A07D92" w:rsidRDefault="00495E63">
      <w:pPr>
        <w:pStyle w:val="Sadraj1"/>
        <w:tabs>
          <w:tab w:val="left" w:pos="342"/>
          <w:tab w:val="right" w:leader="dot" w:pos="9060"/>
        </w:tabs>
        <w:rPr>
          <w:rFonts w:asciiTheme="minorHAnsi" w:eastAsiaTheme="minorEastAsia" w:hAnsiTheme="minorHAnsi" w:cstheme="minorBidi"/>
          <w:b w:val="0"/>
          <w:bCs w:val="0"/>
          <w:caps w:val="0"/>
          <w:color w:val="auto"/>
          <w:kern w:val="2"/>
          <w:szCs w:val="22"/>
          <w:u w:val="none"/>
          <w:lang w:eastAsia="hr-HR"/>
          <w14:ligatures w14:val="standardContextual"/>
        </w:rPr>
      </w:pPr>
      <w:hyperlink w:anchor="_Toc136522915">
        <w:r>
          <w:rPr>
            <w:rStyle w:val="Indeksirajvezu"/>
          </w:rPr>
          <w:t>9</w:t>
        </w:r>
        <w:r>
          <w:rPr>
            <w:rStyle w:val="Indeksirajvezu"/>
            <w:rFonts w:asciiTheme="minorHAnsi" w:eastAsiaTheme="minorEastAsia" w:hAnsiTheme="minorHAnsi" w:cstheme="minorBidi"/>
            <w:b w:val="0"/>
            <w:bCs w:val="0"/>
            <w:caps w:val="0"/>
            <w:color w:val="auto"/>
            <w:kern w:val="2"/>
            <w:szCs w:val="22"/>
            <w:u w:val="none"/>
            <w:lang w:eastAsia="hr-HR"/>
            <w14:ligatures w14:val="standardContextual"/>
          </w:rPr>
          <w:tab/>
        </w:r>
        <w:r>
          <w:rPr>
            <w:rStyle w:val="Indeksirajvezu"/>
          </w:rPr>
          <w:t>VREDNOVNJE RIZIKA</w:t>
        </w:r>
        <w:r>
          <w:rPr>
            <w:webHidden/>
          </w:rPr>
          <w:fldChar w:fldCharType="begin"/>
        </w:r>
        <w:r>
          <w:rPr>
            <w:webHidden/>
          </w:rPr>
          <w:instrText>PAGEREF _Toc136522915 \h</w:instrText>
        </w:r>
        <w:r>
          <w:rPr>
            <w:webHidden/>
          </w:rPr>
        </w:r>
        <w:r>
          <w:rPr>
            <w:webHidden/>
          </w:rPr>
          <w:fldChar w:fldCharType="separate"/>
        </w:r>
        <w:r>
          <w:rPr>
            <w:rStyle w:val="Indeksirajvezu"/>
          </w:rPr>
          <w:tab/>
          <w:t>194</w:t>
        </w:r>
        <w:r>
          <w:rPr>
            <w:webHidden/>
          </w:rPr>
          <w:fldChar w:fldCharType="end"/>
        </w:r>
      </w:hyperlink>
    </w:p>
    <w:p w:rsidR="00A07D92" w:rsidRDefault="00495E63">
      <w:pPr>
        <w:pStyle w:val="Sadraj1"/>
        <w:tabs>
          <w:tab w:val="left" w:pos="465"/>
          <w:tab w:val="right" w:leader="dot" w:pos="9060"/>
        </w:tabs>
        <w:rPr>
          <w:rFonts w:asciiTheme="minorHAnsi" w:eastAsiaTheme="minorEastAsia" w:hAnsiTheme="minorHAnsi" w:cstheme="minorBidi"/>
          <w:b w:val="0"/>
          <w:bCs w:val="0"/>
          <w:caps w:val="0"/>
          <w:color w:val="auto"/>
          <w:kern w:val="2"/>
          <w:szCs w:val="22"/>
          <w:u w:val="none"/>
          <w:lang w:eastAsia="hr-HR"/>
          <w14:ligatures w14:val="standardContextual"/>
        </w:rPr>
      </w:pPr>
      <w:hyperlink w:anchor="_Toc136522916">
        <w:r>
          <w:rPr>
            <w:rStyle w:val="Indeksirajvezu"/>
          </w:rPr>
          <w:t>10</w:t>
        </w:r>
        <w:r>
          <w:rPr>
            <w:rStyle w:val="Indeksirajvezu"/>
            <w:rFonts w:asciiTheme="minorHAnsi" w:eastAsiaTheme="minorEastAsia" w:hAnsiTheme="minorHAnsi" w:cstheme="minorBidi"/>
            <w:b w:val="0"/>
            <w:bCs w:val="0"/>
            <w:caps w:val="0"/>
            <w:color w:val="auto"/>
            <w:kern w:val="2"/>
            <w:szCs w:val="22"/>
            <w:u w:val="none"/>
            <w:lang w:eastAsia="hr-HR"/>
            <w14:ligatures w14:val="standardContextual"/>
          </w:rPr>
          <w:tab/>
        </w:r>
        <w:r>
          <w:rPr>
            <w:rStyle w:val="Indeksirajvezu"/>
          </w:rPr>
          <w:t>POPIS SUDIONIKA U IZRADI PROCJENE RIZIKA</w:t>
        </w:r>
        <w:r>
          <w:rPr>
            <w:webHidden/>
          </w:rPr>
          <w:fldChar w:fldCharType="begin"/>
        </w:r>
        <w:r>
          <w:rPr>
            <w:webHidden/>
          </w:rPr>
          <w:instrText>PAGEREF _Toc136522916 \h</w:instrText>
        </w:r>
        <w:r>
          <w:rPr>
            <w:webHidden/>
          </w:rPr>
        </w:r>
        <w:r>
          <w:rPr>
            <w:webHidden/>
          </w:rPr>
          <w:fldChar w:fldCharType="separate"/>
        </w:r>
        <w:r>
          <w:rPr>
            <w:rStyle w:val="Indeksirajvezu"/>
          </w:rPr>
          <w:tab/>
          <w:t>197</w:t>
        </w:r>
        <w:r>
          <w:rPr>
            <w:webHidden/>
          </w:rPr>
          <w:fldChar w:fldCharType="end"/>
        </w:r>
      </w:hyperlink>
    </w:p>
    <w:p w:rsidR="00A07D92" w:rsidRDefault="00495E63">
      <w:pPr>
        <w:pStyle w:val="Sadraj1"/>
        <w:tabs>
          <w:tab w:val="left" w:pos="465"/>
          <w:tab w:val="right" w:leader="dot" w:pos="9060"/>
        </w:tabs>
        <w:rPr>
          <w:rFonts w:asciiTheme="minorHAnsi" w:eastAsiaTheme="minorEastAsia" w:hAnsiTheme="minorHAnsi" w:cstheme="minorBidi"/>
          <w:b w:val="0"/>
          <w:bCs w:val="0"/>
          <w:caps w:val="0"/>
          <w:color w:val="auto"/>
          <w:kern w:val="2"/>
          <w:szCs w:val="22"/>
          <w:u w:val="none"/>
          <w:lang w:eastAsia="hr-HR"/>
          <w14:ligatures w14:val="standardContextual"/>
        </w:rPr>
      </w:pPr>
      <w:hyperlink w:anchor="_Toc136522917">
        <w:r>
          <w:rPr>
            <w:rStyle w:val="Indeksirajvezu"/>
          </w:rPr>
          <w:t>11</w:t>
        </w:r>
        <w:r>
          <w:rPr>
            <w:rStyle w:val="Indeksirajvezu"/>
            <w:rFonts w:asciiTheme="minorHAnsi" w:eastAsiaTheme="minorEastAsia" w:hAnsiTheme="minorHAnsi" w:cstheme="minorBidi"/>
            <w:b w:val="0"/>
            <w:bCs w:val="0"/>
            <w:caps w:val="0"/>
            <w:color w:val="auto"/>
            <w:kern w:val="2"/>
            <w:szCs w:val="22"/>
            <w:u w:val="none"/>
            <w:lang w:eastAsia="hr-HR"/>
            <w14:ligatures w14:val="standardContextual"/>
          </w:rPr>
          <w:tab/>
        </w:r>
        <w:r>
          <w:rPr>
            <w:rStyle w:val="Indeksirajvezu"/>
          </w:rPr>
          <w:t>PRILOZI</w:t>
        </w:r>
        <w:r>
          <w:rPr>
            <w:webHidden/>
          </w:rPr>
          <w:fldChar w:fldCharType="begin"/>
        </w:r>
        <w:r>
          <w:rPr>
            <w:webHidden/>
          </w:rPr>
          <w:instrText>PAGEREF _Toc136522917 \h</w:instrText>
        </w:r>
        <w:r>
          <w:rPr>
            <w:webHidden/>
          </w:rPr>
        </w:r>
        <w:r>
          <w:rPr>
            <w:webHidden/>
          </w:rPr>
          <w:fldChar w:fldCharType="separate"/>
        </w:r>
        <w:r>
          <w:rPr>
            <w:rStyle w:val="Indeksirajvezu"/>
          </w:rPr>
          <w:tab/>
          <w:t>199</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918">
        <w:r>
          <w:rPr>
            <w:rStyle w:val="Indeksirajvezu"/>
            <w:lang w:bidi="en-US"/>
          </w:rPr>
          <w:t>11.1 PRILOG 1</w:t>
        </w:r>
        <w:r>
          <w:rPr>
            <w:rStyle w:val="Indeksirajvezu"/>
            <w:lang w:bidi="en-US"/>
          </w:rPr>
          <w:t>. Odluka o izradi Procjene rizika od velikih nesreća za Grad Mali Lošinj</w:t>
        </w:r>
        <w:r>
          <w:rPr>
            <w:webHidden/>
          </w:rPr>
          <w:fldChar w:fldCharType="begin"/>
        </w:r>
        <w:r>
          <w:rPr>
            <w:webHidden/>
          </w:rPr>
          <w:instrText>PAGEREF _Toc136522918 \h</w:instrText>
        </w:r>
        <w:r>
          <w:rPr>
            <w:webHidden/>
          </w:rPr>
        </w:r>
        <w:r>
          <w:rPr>
            <w:webHidden/>
          </w:rPr>
          <w:fldChar w:fldCharType="separate"/>
        </w:r>
        <w:r>
          <w:rPr>
            <w:rStyle w:val="Indeksirajvezu"/>
          </w:rPr>
          <w:tab/>
          <w:t>199</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919">
        <w:r>
          <w:rPr>
            <w:rStyle w:val="Indeksirajvezu"/>
            <w:lang w:bidi="en-US"/>
          </w:rPr>
          <w:t>11.2 PRILOG 2. Ovlaštenje</w:t>
        </w:r>
        <w:r>
          <w:rPr>
            <w:webHidden/>
          </w:rPr>
          <w:fldChar w:fldCharType="begin"/>
        </w:r>
        <w:r>
          <w:rPr>
            <w:webHidden/>
          </w:rPr>
          <w:instrText>PAGEREF _Toc136522919 \h</w:instrText>
        </w:r>
        <w:r>
          <w:rPr>
            <w:webHidden/>
          </w:rPr>
        </w:r>
        <w:r>
          <w:rPr>
            <w:webHidden/>
          </w:rPr>
          <w:fldChar w:fldCharType="separate"/>
        </w:r>
        <w:r>
          <w:rPr>
            <w:rStyle w:val="Indeksirajvezu"/>
          </w:rPr>
          <w:tab/>
          <w:t>2</w:t>
        </w:r>
        <w:r>
          <w:rPr>
            <w:rStyle w:val="Indeksirajvezu"/>
          </w:rPr>
          <w:t>01</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920">
        <w:r>
          <w:rPr>
            <w:rStyle w:val="Indeksirajvezu"/>
            <w:lang w:bidi="en-US"/>
          </w:rPr>
          <w:t>11.3 PRILOG 3. Karta prijetnji - pregledna karta opasnosti od poplava po vjerojatnosti pojavljivanja (Plan upravljanja vodnim područjima 2022.-2027.,</w:t>
        </w:r>
        <w:r>
          <w:rPr>
            <w:rStyle w:val="Indeksirajvezu"/>
            <w:lang w:bidi="en-US"/>
          </w:rPr>
          <w:t xml:space="preserve"> Hrvatske vode, prosinac, 2019.)</w:t>
        </w:r>
        <w:r>
          <w:rPr>
            <w:webHidden/>
          </w:rPr>
          <w:fldChar w:fldCharType="begin"/>
        </w:r>
        <w:r>
          <w:rPr>
            <w:webHidden/>
          </w:rPr>
          <w:instrText>PAGEREF _Toc136522920 \h</w:instrText>
        </w:r>
        <w:r>
          <w:rPr>
            <w:webHidden/>
          </w:rPr>
        </w:r>
        <w:r>
          <w:rPr>
            <w:webHidden/>
          </w:rPr>
          <w:fldChar w:fldCharType="separate"/>
        </w:r>
        <w:r>
          <w:rPr>
            <w:rStyle w:val="Indeksirajvezu"/>
          </w:rPr>
          <w:tab/>
          <w:t>203</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921">
        <w:r>
          <w:rPr>
            <w:rStyle w:val="Indeksirajvezu"/>
            <w:lang w:bidi="en-US"/>
          </w:rPr>
          <w:t>11.4 PRILOG 4. Karta prijetnji - pregledna karta rizika od poplava za malu vjerojatnosti po</w:t>
        </w:r>
        <w:r>
          <w:rPr>
            <w:rStyle w:val="Indeksirajvezu"/>
            <w:lang w:bidi="en-US"/>
          </w:rPr>
          <w:t>javljivanja (Plan upravljanja vodnim područjima 2022.-2027., Hrvatske vode, prosinac, 2019.)</w:t>
        </w:r>
        <w:r>
          <w:rPr>
            <w:webHidden/>
          </w:rPr>
          <w:fldChar w:fldCharType="begin"/>
        </w:r>
        <w:r>
          <w:rPr>
            <w:webHidden/>
          </w:rPr>
          <w:instrText>PAGEREF _Toc136522921 \h</w:instrText>
        </w:r>
        <w:r>
          <w:rPr>
            <w:webHidden/>
          </w:rPr>
        </w:r>
        <w:r>
          <w:rPr>
            <w:webHidden/>
          </w:rPr>
          <w:fldChar w:fldCharType="separate"/>
        </w:r>
        <w:r>
          <w:rPr>
            <w:rStyle w:val="Indeksirajvezu"/>
          </w:rPr>
          <w:tab/>
          <w:t>205</w:t>
        </w:r>
        <w:r>
          <w:rPr>
            <w:webHidden/>
          </w:rPr>
          <w:fldChar w:fldCharType="end"/>
        </w:r>
      </w:hyperlink>
    </w:p>
    <w:p w:rsidR="00A07D92" w:rsidRDefault="00495E63">
      <w:pPr>
        <w:pStyle w:val="Sadraj2"/>
        <w:tabs>
          <w:tab w:val="right" w:leader="dot" w:pos="9060"/>
        </w:tabs>
        <w:rPr>
          <w:rFonts w:asciiTheme="minorHAnsi" w:eastAsiaTheme="minorEastAsia" w:hAnsiTheme="minorHAnsi" w:cstheme="minorBidi"/>
          <w:b w:val="0"/>
          <w:bCs w:val="0"/>
          <w:smallCaps w:val="0"/>
          <w:color w:val="auto"/>
          <w:kern w:val="2"/>
          <w:szCs w:val="22"/>
          <w:lang w:eastAsia="hr-HR"/>
          <w14:ligatures w14:val="standardContextual"/>
        </w:rPr>
      </w:pPr>
      <w:hyperlink w:anchor="_Toc136522922">
        <w:r>
          <w:rPr>
            <w:rStyle w:val="Indeksirajvezu"/>
            <w:lang w:bidi="en-US"/>
          </w:rPr>
          <w:t xml:space="preserve">11.5 PRILOG 5. </w:t>
        </w:r>
        <w:r>
          <w:rPr>
            <w:rStyle w:val="Indeksirajvezu"/>
            <w:iCs/>
            <w:lang w:bidi="en-US"/>
          </w:rPr>
          <w:t xml:space="preserve">Karta prijetnji </w:t>
        </w:r>
        <w:r>
          <w:rPr>
            <w:rStyle w:val="Indeksirajvezu"/>
            <w:iCs/>
            <w:lang w:bidi="en-US"/>
          </w:rPr>
          <w:t>– Karta prijetnji – tehničko – tehnološke nesreće na području Grada Malog Lošinja</w:t>
        </w:r>
        <w:r>
          <w:rPr>
            <w:webHidden/>
          </w:rPr>
          <w:fldChar w:fldCharType="begin"/>
        </w:r>
        <w:r>
          <w:rPr>
            <w:webHidden/>
          </w:rPr>
          <w:instrText>PAGEREF _Toc136522922 \h</w:instrText>
        </w:r>
        <w:r>
          <w:rPr>
            <w:webHidden/>
          </w:rPr>
        </w:r>
        <w:r>
          <w:rPr>
            <w:webHidden/>
          </w:rPr>
          <w:fldChar w:fldCharType="separate"/>
        </w:r>
        <w:r>
          <w:rPr>
            <w:rStyle w:val="Indeksirajvezu"/>
          </w:rPr>
          <w:tab/>
          <w:t>206</w:t>
        </w:r>
        <w:r>
          <w:rPr>
            <w:webHidden/>
          </w:rPr>
          <w:fldChar w:fldCharType="end"/>
        </w:r>
      </w:hyperlink>
    </w:p>
    <w:p w:rsidR="00A07D92" w:rsidRDefault="00A07D92"/>
    <w:p w:rsidR="00A07D92" w:rsidRDefault="00A07D92">
      <w:pPr>
        <w:rPr>
          <w:szCs w:val="22"/>
        </w:rPr>
      </w:pPr>
    </w:p>
    <w:p w:rsidR="00A07D92" w:rsidRDefault="00A07D92">
      <w:pPr>
        <w:rPr>
          <w:szCs w:val="22"/>
        </w:rPr>
      </w:pPr>
    </w:p>
    <w:p w:rsidR="00A07D92" w:rsidRDefault="00A07D92">
      <w:pPr>
        <w:rPr>
          <w:szCs w:val="22"/>
        </w:rPr>
      </w:pPr>
    </w:p>
    <w:p w:rsidR="00A07D92" w:rsidRDefault="00A07D92">
      <w:pPr>
        <w:rPr>
          <w:szCs w:val="22"/>
        </w:rPr>
      </w:pPr>
    </w:p>
    <w:p w:rsidR="00A07D92" w:rsidRDefault="00A07D92">
      <w:pPr>
        <w:rPr>
          <w:szCs w:val="22"/>
        </w:rPr>
      </w:pPr>
    </w:p>
    <w:p w:rsidR="00A07D92" w:rsidRDefault="00A07D92">
      <w:pPr>
        <w:rPr>
          <w:szCs w:val="22"/>
        </w:rPr>
      </w:pPr>
    </w:p>
    <w:p w:rsidR="00A07D92" w:rsidRDefault="00A07D92">
      <w:pPr>
        <w:rPr>
          <w:szCs w:val="22"/>
        </w:rPr>
      </w:pPr>
    </w:p>
    <w:p w:rsidR="00A07D92" w:rsidRDefault="00A07D92">
      <w:pPr>
        <w:rPr>
          <w:szCs w:val="22"/>
        </w:rPr>
      </w:pPr>
    </w:p>
    <w:p w:rsidR="00A07D92" w:rsidRDefault="00A07D92">
      <w:pPr>
        <w:rPr>
          <w:szCs w:val="22"/>
        </w:rPr>
      </w:pPr>
    </w:p>
    <w:p w:rsidR="00A07D92" w:rsidRDefault="00495E63">
      <w:pPr>
        <w:pStyle w:val="Naslov1"/>
        <w:numPr>
          <w:ilvl w:val="0"/>
          <w:numId w:val="2"/>
        </w:numPr>
      </w:pPr>
      <w:bookmarkStart w:id="3" w:name="_Toc9596570"/>
      <w:bookmarkStart w:id="4" w:name="_Toc485633160"/>
      <w:bookmarkStart w:id="5" w:name="_Toc136522772"/>
      <w:r>
        <w:lastRenderedPageBreak/>
        <w:t>Uvod</w:t>
      </w:r>
      <w:bookmarkEnd w:id="3"/>
      <w:bookmarkEnd w:id="4"/>
      <w:bookmarkEnd w:id="5"/>
    </w:p>
    <w:p w:rsidR="00A07D92" w:rsidRDefault="00495E63">
      <w:pPr>
        <w:pStyle w:val="Naslov2"/>
        <w:rPr>
          <w:rFonts w:eastAsiaTheme="majorEastAsia"/>
        </w:rPr>
      </w:pPr>
      <w:bookmarkStart w:id="6" w:name="_Toc136522773"/>
      <w:bookmarkStart w:id="7" w:name="_Toc9596571"/>
      <w:bookmarkStart w:id="8" w:name="_Toc485633161"/>
      <w:r>
        <w:t>1.1 Temelj za izradu Procjene rizika</w:t>
      </w:r>
      <w:bookmarkEnd w:id="6"/>
      <w:bookmarkEnd w:id="7"/>
      <w:bookmarkEnd w:id="8"/>
    </w:p>
    <w:p w:rsidR="00A07D92" w:rsidRDefault="00495E63">
      <w:pPr>
        <w:rPr>
          <w:rFonts w:eastAsia="Calibri"/>
          <w:szCs w:val="22"/>
        </w:rPr>
      </w:pPr>
      <w:r>
        <w:rPr>
          <w:rFonts w:eastAsia="Calibri"/>
          <w:szCs w:val="22"/>
        </w:rPr>
        <w:t xml:space="preserve">Temeljem članka 17. stavka </w:t>
      </w:r>
      <w:r>
        <w:rPr>
          <w:rFonts w:eastAsia="Calibri"/>
          <w:szCs w:val="22"/>
        </w:rPr>
        <w:t>1. Zakona o sustavu civilne zaštite („Narodne novine“ broj 82/15, 118/18, 31/20, 20/21, 114/22) predstavničko tijelo, na prijedlog izvršnog tijela jedinice lokalne i područne (regionalne) samouprave donosi procjenu rizika od velikih nesreća.</w:t>
      </w:r>
    </w:p>
    <w:p w:rsidR="00A07D92" w:rsidRDefault="00495E63">
      <w:pPr>
        <w:rPr>
          <w:color w:val="auto"/>
        </w:rPr>
      </w:pPr>
      <w:r>
        <w:rPr>
          <w:color w:val="auto"/>
        </w:rPr>
        <w:t>Procjena rizik</w:t>
      </w:r>
      <w:r>
        <w:rPr>
          <w:color w:val="auto"/>
        </w:rPr>
        <w:t>a od velikih nesreća (u daljnjem tekstu Procjena rizika) izrađuje se u svrhu smanjenja rizika i posljedica velikih nesreća, odnosno prepoznavanja i učinkovitijeg upravljanja rizicima.</w:t>
      </w:r>
    </w:p>
    <w:p w:rsidR="00A07D92" w:rsidRDefault="00495E63">
      <w:pPr>
        <w:spacing w:after="120"/>
        <w:rPr>
          <w:rFonts w:eastAsia="Calibri"/>
          <w:szCs w:val="22"/>
        </w:rPr>
      </w:pPr>
      <w:r>
        <w:rPr>
          <w:rFonts w:eastAsia="Calibri"/>
          <w:szCs w:val="22"/>
        </w:rPr>
        <w:t xml:space="preserve">Potreba izrade Procjene rizika od velikih nesreća za Grad Mali Lošinj  </w:t>
      </w:r>
      <w:r>
        <w:rPr>
          <w:rFonts w:eastAsia="Calibri"/>
          <w:szCs w:val="22"/>
        </w:rPr>
        <w:t>temelji se na sljedećim društvenim, ekonomskim te praktičnim razlozima:</w:t>
      </w:r>
    </w:p>
    <w:p w:rsidR="00A07D92" w:rsidRDefault="00495E63">
      <w:pPr>
        <w:numPr>
          <w:ilvl w:val="0"/>
          <w:numId w:val="19"/>
        </w:numPr>
        <w:spacing w:before="0" w:after="120"/>
        <w:contextualSpacing/>
        <w:jc w:val="left"/>
        <w:rPr>
          <w:rFonts w:eastAsiaTheme="minorHAnsi"/>
          <w:bCs/>
          <w:color w:val="auto"/>
          <w:szCs w:val="22"/>
        </w:rPr>
      </w:pPr>
      <w:r>
        <w:rPr>
          <w:rFonts w:eastAsiaTheme="minorHAnsi"/>
          <w:bCs/>
          <w:color w:val="auto"/>
          <w:szCs w:val="22"/>
        </w:rPr>
        <w:t>standardiziranje procjenjivanja rizika na svim razinama i od strane svih sektora,</w:t>
      </w:r>
    </w:p>
    <w:p w:rsidR="00A07D92" w:rsidRDefault="00495E63">
      <w:pPr>
        <w:numPr>
          <w:ilvl w:val="0"/>
          <w:numId w:val="19"/>
        </w:numPr>
        <w:spacing w:before="0" w:after="120"/>
        <w:contextualSpacing/>
        <w:jc w:val="left"/>
        <w:rPr>
          <w:rFonts w:eastAsiaTheme="minorHAnsi"/>
          <w:bCs/>
          <w:color w:val="auto"/>
          <w:szCs w:val="22"/>
        </w:rPr>
      </w:pPr>
      <w:r>
        <w:rPr>
          <w:rFonts w:eastAsiaTheme="minorHAnsi"/>
          <w:bCs/>
          <w:color w:val="auto"/>
          <w:szCs w:val="22"/>
        </w:rPr>
        <w:t>prikupljanje svih bitnih podataka u jednom referentnom dokumentu,</w:t>
      </w:r>
    </w:p>
    <w:p w:rsidR="00A07D92" w:rsidRDefault="00495E63">
      <w:pPr>
        <w:numPr>
          <w:ilvl w:val="0"/>
          <w:numId w:val="19"/>
        </w:numPr>
        <w:spacing w:before="0" w:after="120"/>
        <w:contextualSpacing/>
        <w:jc w:val="left"/>
        <w:rPr>
          <w:rFonts w:eastAsiaTheme="minorHAnsi"/>
          <w:bCs/>
          <w:color w:val="auto"/>
          <w:szCs w:val="22"/>
        </w:rPr>
      </w:pPr>
      <w:r>
        <w:rPr>
          <w:rFonts w:eastAsiaTheme="minorHAnsi"/>
          <w:bCs/>
          <w:color w:val="auto"/>
          <w:szCs w:val="22"/>
        </w:rPr>
        <w:t xml:space="preserve">unaprjeđenje shvaćanja rizika za </w:t>
      </w:r>
      <w:r>
        <w:rPr>
          <w:rFonts w:eastAsiaTheme="minorHAnsi"/>
          <w:bCs/>
          <w:color w:val="auto"/>
          <w:szCs w:val="22"/>
        </w:rPr>
        <w:t>potrebe praktičnog korištenja u postupcima planiranja, osiguranja, investiranja te ostalim srodnim aktivnostima,</w:t>
      </w:r>
    </w:p>
    <w:p w:rsidR="00A07D92" w:rsidRDefault="00495E63">
      <w:pPr>
        <w:pStyle w:val="Odlomakpopisa"/>
        <w:numPr>
          <w:ilvl w:val="0"/>
          <w:numId w:val="20"/>
        </w:numPr>
        <w:rPr>
          <w:rFonts w:eastAsia="Calibri"/>
        </w:rPr>
      </w:pPr>
      <w:r>
        <w:rPr>
          <w:rFonts w:eastAsiaTheme="minorHAnsi"/>
          <w:sz w:val="22"/>
        </w:rPr>
        <w:t>pojednostavnjenje procesa u svrhu lakšeg nadzora i razumijevanja izlaznih rezultata</w:t>
      </w:r>
    </w:p>
    <w:p w:rsidR="00A07D92" w:rsidRDefault="00A07D92">
      <w:pPr>
        <w:rPr>
          <w:color w:val="auto"/>
        </w:rPr>
      </w:pPr>
    </w:p>
    <w:p w:rsidR="00A07D92" w:rsidRDefault="00495E63">
      <w:pPr>
        <w:rPr>
          <w:color w:val="auto"/>
        </w:rPr>
      </w:pPr>
      <w:r>
        <w:rPr>
          <w:color w:val="auto"/>
        </w:rPr>
        <w:t>Procesi i metodologije analiziranja i procjenjivanja rizik</w:t>
      </w:r>
      <w:r>
        <w:rPr>
          <w:color w:val="auto"/>
        </w:rPr>
        <w:t>a kontinuirano se razvijaju i modificiraju sukladno promjenama u okolišu te tehničko-tehnološkim procesima. Stoga izrađena Procjena rizika predstavlja stanje na području Grada Malog Lošinja s danom donošenja dokumenta.</w:t>
      </w:r>
    </w:p>
    <w:p w:rsidR="00A07D92" w:rsidRDefault="00495E63">
      <w:pPr>
        <w:rPr>
          <w:rStyle w:val="Internetskapoveznica"/>
          <w:color w:val="auto"/>
          <w:szCs w:val="22"/>
          <w:u w:val="none"/>
        </w:rPr>
      </w:pPr>
      <w:r>
        <w:rPr>
          <w:rStyle w:val="Internetskapoveznica"/>
          <w:color w:val="auto"/>
          <w:szCs w:val="22"/>
          <w:u w:val="none"/>
        </w:rPr>
        <w:t>Gradonačelnica Grada Malog Lošinja do</w:t>
      </w:r>
      <w:r>
        <w:rPr>
          <w:rStyle w:val="Internetskapoveznica"/>
          <w:color w:val="auto"/>
          <w:szCs w:val="22"/>
          <w:u w:val="none"/>
        </w:rPr>
        <w:t>nijela je 24</w:t>
      </w:r>
      <w:r>
        <w:rPr>
          <w:color w:val="auto"/>
          <w:szCs w:val="22"/>
        </w:rPr>
        <w:t xml:space="preserve">. ožujka 2023. godine </w:t>
      </w:r>
      <w:r>
        <w:rPr>
          <w:rStyle w:val="Internetskapoveznica"/>
          <w:color w:val="auto"/>
          <w:szCs w:val="22"/>
          <w:u w:val="none"/>
        </w:rPr>
        <w:t>Odluku o izradi Procjene rizika od velikih nesreća za područje Grada Malog Lošinja kojom su imenovani članovi radne skupine (</w:t>
      </w:r>
      <w:r>
        <w:rPr>
          <w:color w:val="auto"/>
          <w:szCs w:val="22"/>
        </w:rPr>
        <w:t>KLASA:810-02/22-01/</w:t>
      </w:r>
      <w:proofErr w:type="spellStart"/>
      <w:r>
        <w:rPr>
          <w:color w:val="auto"/>
          <w:szCs w:val="22"/>
        </w:rPr>
        <w:t>01</w:t>
      </w:r>
      <w:proofErr w:type="spellEnd"/>
      <w:r>
        <w:rPr>
          <w:color w:val="auto"/>
          <w:szCs w:val="22"/>
        </w:rPr>
        <w:t>, URBROJ:2170-10-01-23-18</w:t>
      </w:r>
      <w:r>
        <w:rPr>
          <w:rStyle w:val="Internetskapoveznica"/>
          <w:color w:val="auto"/>
          <w:szCs w:val="22"/>
          <w:u w:val="none"/>
        </w:rPr>
        <w:t>).</w:t>
      </w:r>
    </w:p>
    <w:p w:rsidR="00A07D92" w:rsidRDefault="00495E63">
      <w:pPr>
        <w:rPr>
          <w:color w:val="auto"/>
          <w:szCs w:val="22"/>
        </w:rPr>
      </w:pPr>
      <w:r>
        <w:rPr>
          <w:color w:val="auto"/>
          <w:szCs w:val="22"/>
        </w:rPr>
        <w:t>Prilikom odabira članova radne skupine vodilo se</w:t>
      </w:r>
      <w:r>
        <w:rPr>
          <w:color w:val="auto"/>
          <w:szCs w:val="22"/>
        </w:rPr>
        <w:t xml:space="preserve"> računa o zadovoljavanju kriterija stručnosti članova u svrhu kvalitetne obrade identificiranih rizika. </w:t>
      </w:r>
      <w:r>
        <w:rPr>
          <w:color w:val="auto"/>
          <w:szCs w:val="22"/>
          <w:u w:val="single"/>
        </w:rPr>
        <w:t>U Radnu skupinu imenovani su:</w:t>
      </w:r>
      <w:r>
        <w:rPr>
          <w:color w:val="auto"/>
          <w:szCs w:val="22"/>
        </w:rPr>
        <w:t xml:space="preserve"> </w:t>
      </w:r>
    </w:p>
    <w:p w:rsidR="00A07D92" w:rsidRDefault="00495E63">
      <w:pPr>
        <w:pStyle w:val="Odlomakpopisa"/>
        <w:numPr>
          <w:ilvl w:val="0"/>
          <w:numId w:val="22"/>
        </w:numPr>
        <w:spacing w:line="276" w:lineRule="auto"/>
        <w:rPr>
          <w:rStyle w:val="Internetskapoveznica"/>
          <w:color w:val="auto"/>
          <w:u w:val="none"/>
        </w:rPr>
      </w:pPr>
      <w:proofErr w:type="spellStart"/>
      <w:r>
        <w:rPr>
          <w:rStyle w:val="Internetskapoveznica"/>
          <w:color w:val="auto"/>
          <w:u w:val="none"/>
        </w:rPr>
        <w:t>Andrea</w:t>
      </w:r>
      <w:proofErr w:type="spellEnd"/>
      <w:r>
        <w:rPr>
          <w:rStyle w:val="Internetskapoveznica"/>
          <w:color w:val="auto"/>
          <w:u w:val="none"/>
        </w:rPr>
        <w:t xml:space="preserve"> </w:t>
      </w:r>
      <w:proofErr w:type="spellStart"/>
      <w:r>
        <w:rPr>
          <w:rStyle w:val="Internetskapoveznica"/>
          <w:color w:val="auto"/>
          <w:u w:val="none"/>
        </w:rPr>
        <w:t>Molnar</w:t>
      </w:r>
      <w:proofErr w:type="spellEnd"/>
      <w:r>
        <w:rPr>
          <w:rStyle w:val="Internetskapoveznica"/>
          <w:color w:val="auto"/>
          <w:u w:val="none"/>
        </w:rPr>
        <w:t xml:space="preserve"> Živković – voditelj Radne skupine – predsjednik Povjerenstva za procjenu šteta od prirodnih nepogoda Grada </w:t>
      </w:r>
      <w:r>
        <w:rPr>
          <w:rStyle w:val="Internetskapoveznica"/>
          <w:color w:val="auto"/>
          <w:u w:val="none"/>
        </w:rPr>
        <w:t>Mali Lošinj</w:t>
      </w:r>
    </w:p>
    <w:p w:rsidR="00A07D92" w:rsidRDefault="00495E63">
      <w:pPr>
        <w:pStyle w:val="Odlomakpopisa"/>
        <w:numPr>
          <w:ilvl w:val="0"/>
          <w:numId w:val="22"/>
        </w:numPr>
        <w:spacing w:line="276" w:lineRule="auto"/>
        <w:rPr>
          <w:rStyle w:val="Internetskapoveznica"/>
          <w:color w:val="auto"/>
          <w:u w:val="none"/>
        </w:rPr>
      </w:pPr>
      <w:r>
        <w:rPr>
          <w:rStyle w:val="Internetskapoveznica"/>
          <w:color w:val="auto"/>
          <w:u w:val="none"/>
        </w:rPr>
        <w:t xml:space="preserve">Mirko </w:t>
      </w:r>
      <w:proofErr w:type="spellStart"/>
      <w:r>
        <w:rPr>
          <w:rStyle w:val="Internetskapoveznica"/>
          <w:color w:val="auto"/>
          <w:u w:val="none"/>
        </w:rPr>
        <w:t>Kajkara</w:t>
      </w:r>
      <w:proofErr w:type="spellEnd"/>
      <w:r>
        <w:rPr>
          <w:rStyle w:val="Internetskapoveznica"/>
          <w:color w:val="auto"/>
          <w:u w:val="none"/>
        </w:rPr>
        <w:t xml:space="preserve"> – član Radne skupine – zapovjednik JVP Mali Lošinj</w:t>
      </w:r>
    </w:p>
    <w:p w:rsidR="00A07D92" w:rsidRDefault="00495E63">
      <w:pPr>
        <w:pStyle w:val="Odlomakpopisa"/>
        <w:numPr>
          <w:ilvl w:val="0"/>
          <w:numId w:val="22"/>
        </w:numPr>
        <w:spacing w:line="276" w:lineRule="auto"/>
        <w:rPr>
          <w:rStyle w:val="Internetskapoveznica"/>
          <w:color w:val="auto"/>
          <w:u w:val="none"/>
        </w:rPr>
      </w:pPr>
      <w:r>
        <w:rPr>
          <w:rStyle w:val="Internetskapoveznica"/>
          <w:color w:val="auto"/>
          <w:u w:val="none"/>
        </w:rPr>
        <w:t xml:space="preserve">Matija </w:t>
      </w:r>
      <w:proofErr w:type="spellStart"/>
      <w:r>
        <w:rPr>
          <w:rStyle w:val="Internetskapoveznica"/>
          <w:color w:val="auto"/>
          <w:u w:val="none"/>
        </w:rPr>
        <w:t>Basta</w:t>
      </w:r>
      <w:proofErr w:type="spellEnd"/>
      <w:r>
        <w:rPr>
          <w:rStyle w:val="Internetskapoveznica"/>
          <w:color w:val="auto"/>
          <w:u w:val="none"/>
        </w:rPr>
        <w:t xml:space="preserve"> – član Radne skupine – savjetnik za izgradnju i zaštitu okoliša</w:t>
      </w:r>
    </w:p>
    <w:p w:rsidR="00A07D92" w:rsidRDefault="00495E63">
      <w:pPr>
        <w:rPr>
          <w:rStyle w:val="Internetskapoveznica"/>
          <w:color w:val="auto"/>
          <w:szCs w:val="22"/>
          <w:u w:val="none"/>
        </w:rPr>
      </w:pPr>
      <w:r>
        <w:rPr>
          <w:rStyle w:val="Internetskapoveznica"/>
          <w:color w:val="auto"/>
          <w:szCs w:val="22"/>
          <w:u w:val="none"/>
        </w:rPr>
        <w:t xml:space="preserve">Kao temelj za izradu Procjene rizika od velikih nesreća za Grad Mali Lošinj korištene su Smjernice za </w:t>
      </w:r>
      <w:r>
        <w:rPr>
          <w:rStyle w:val="Internetskapoveznica"/>
          <w:color w:val="auto"/>
          <w:szCs w:val="22"/>
          <w:u w:val="none"/>
        </w:rPr>
        <w:t>izradu procjene rizika od velikih nesreća za područje Primorsko-goranske županije (KLASA:022-04/17-01/5, URBROJ:2170/1-01-</w:t>
      </w:r>
      <w:proofErr w:type="spellStart"/>
      <w:r>
        <w:rPr>
          <w:rStyle w:val="Internetskapoveznica"/>
          <w:color w:val="auto"/>
          <w:szCs w:val="22"/>
          <w:u w:val="none"/>
        </w:rPr>
        <w:t>01</w:t>
      </w:r>
      <w:proofErr w:type="spellEnd"/>
      <w:r>
        <w:rPr>
          <w:rStyle w:val="Internetskapoveznica"/>
          <w:color w:val="auto"/>
          <w:szCs w:val="22"/>
          <w:u w:val="none"/>
        </w:rPr>
        <w:t>/5-17-11). Svrha smjernica jest uređenje sveobuhvatnog, cjelovitog i objektivnog pristupa tijekom procesa procjenjivanja rizika kako</w:t>
      </w:r>
      <w:r>
        <w:rPr>
          <w:rStyle w:val="Internetskapoveznica"/>
          <w:color w:val="auto"/>
          <w:szCs w:val="22"/>
          <w:u w:val="none"/>
        </w:rPr>
        <w:t xml:space="preserve"> bi se ublažile njihove posljedice po zdravlje i živote ljudi, materijalna i kulturna dobra i okoliš.</w:t>
      </w:r>
    </w:p>
    <w:p w:rsidR="00A07D92" w:rsidRDefault="00495E63">
      <w:pPr>
        <w:rPr>
          <w:rStyle w:val="Internetskapoveznica"/>
          <w:color w:val="auto"/>
          <w:szCs w:val="22"/>
          <w:u w:val="none"/>
        </w:rPr>
      </w:pPr>
      <w:r>
        <w:rPr>
          <w:rStyle w:val="Internetskapoveznica"/>
          <w:color w:val="auto"/>
          <w:szCs w:val="22"/>
          <w:u w:val="none"/>
        </w:rPr>
        <w:t>Radna skupina izabrala je rizike koji su karakteristični za područje Grada Malog Lošinja i obrađuju se u Procjeni, a vodeći se Smjernicama za izradu procj</w:t>
      </w:r>
      <w:r>
        <w:rPr>
          <w:rStyle w:val="Internetskapoveznica"/>
          <w:color w:val="auto"/>
          <w:szCs w:val="22"/>
          <w:u w:val="none"/>
        </w:rPr>
        <w:t>ene rizika od velikih nesreća za područje Primorsko-goranske županije.</w:t>
      </w:r>
    </w:p>
    <w:p w:rsidR="00A07D92" w:rsidRDefault="00495E63">
      <w:pPr>
        <w:rPr>
          <w:rFonts w:eastAsia="Calibri"/>
          <w:color w:val="auto"/>
          <w:szCs w:val="22"/>
        </w:rPr>
      </w:pPr>
      <w:r>
        <w:rPr>
          <w:rFonts w:eastAsia="Calibri"/>
          <w:szCs w:val="22"/>
        </w:rPr>
        <w:lastRenderedPageBreak/>
        <w:t>Procjena rizika ne provodi se za antropogene prijetnje poput ratova i terorističkih djelovanja te ostalih zlonamjernih aktivnosti pojedinaca koje mogu ugroziti stanovništvo, materijalna</w:t>
      </w:r>
      <w:r>
        <w:rPr>
          <w:rFonts w:eastAsia="Calibri"/>
          <w:szCs w:val="22"/>
        </w:rPr>
        <w:t xml:space="preserve"> i kulturna dobra te okoliš na području Grada Malog Lošinja</w:t>
      </w:r>
      <w:r>
        <w:rPr>
          <w:rFonts w:eastAsia="Calibri"/>
          <w:color w:val="auto"/>
          <w:szCs w:val="22"/>
        </w:rPr>
        <w:t>.</w:t>
      </w:r>
    </w:p>
    <w:p w:rsidR="00A07D92" w:rsidRDefault="00495E63">
      <w:pPr>
        <w:rPr>
          <w:rFonts w:eastAsia="Calibri"/>
          <w:szCs w:val="22"/>
        </w:rPr>
      </w:pPr>
      <w:r>
        <w:rPr>
          <w:rFonts w:eastAsia="Calibri"/>
          <w:szCs w:val="22"/>
        </w:rPr>
        <w:t>Procjena rizika označava metodologiju kojom se utvrđuju priroda i stupanj rizika, prilikom čega se analiziraju potencijalne prijetnje i procjenjuje postojeće stanje ranjivosti koji zajedno mogu u</w:t>
      </w:r>
      <w:r>
        <w:rPr>
          <w:rFonts w:eastAsia="Calibri"/>
          <w:szCs w:val="22"/>
        </w:rPr>
        <w:t>groziti stanovništvo, materijalna i kulturna dobra, biljni i životinjski svijet. Rizik obuhvaća kombinaciju vjerojatnosti nekog događaja i njegovih negativnih posljedica. Postupak izrade Procjene usklađen je s normom HRN EN ISO 31000:2012 – Upravljanje riz</w:t>
      </w:r>
      <w:r>
        <w:rPr>
          <w:rFonts w:eastAsia="Calibri"/>
          <w:szCs w:val="22"/>
        </w:rPr>
        <w:t>icima – Načela i smjernice, koja služi za potrebe unaprjeđenja razumijevanja rizika na svim razinama, osobito u smislu povećanja efikasnosti dosad uspostavljenih mjera za smanjenje rizika od velikih nesreća kao i definiranje novih mjera.</w:t>
      </w:r>
    </w:p>
    <w:p w:rsidR="00A07D92" w:rsidRDefault="00495E63">
      <w:pPr>
        <w:spacing w:after="120"/>
        <w:rPr>
          <w:rFonts w:eastAsia="Calibri"/>
          <w:szCs w:val="22"/>
        </w:rPr>
      </w:pPr>
      <w:r>
        <w:rPr>
          <w:rFonts w:eastAsia="Calibri"/>
          <w:szCs w:val="22"/>
        </w:rPr>
        <w:t>Procjena rizika ob</w:t>
      </w:r>
      <w:r>
        <w:rPr>
          <w:rFonts w:eastAsia="Calibri"/>
          <w:szCs w:val="22"/>
        </w:rPr>
        <w:t>uhvaća:</w:t>
      </w:r>
    </w:p>
    <w:p w:rsidR="00A07D92" w:rsidRDefault="00495E63">
      <w:pPr>
        <w:numPr>
          <w:ilvl w:val="0"/>
          <w:numId w:val="3"/>
        </w:numPr>
        <w:spacing w:before="0" w:after="200"/>
        <w:ind w:left="709" w:hanging="283"/>
        <w:contextualSpacing/>
        <w:rPr>
          <w:rFonts w:eastAsia="Calibri"/>
          <w:szCs w:val="22"/>
        </w:rPr>
      </w:pPr>
      <w:r>
        <w:rPr>
          <w:rFonts w:eastAsia="Calibri"/>
          <w:szCs w:val="22"/>
        </w:rPr>
        <w:t>identifikaciju rizika - proces pronalaženja, prepoznavanja i opisivanja rizika,</w:t>
      </w:r>
    </w:p>
    <w:p w:rsidR="00A07D92" w:rsidRDefault="00495E63">
      <w:pPr>
        <w:numPr>
          <w:ilvl w:val="0"/>
          <w:numId w:val="3"/>
        </w:numPr>
        <w:spacing w:before="0" w:after="200"/>
        <w:ind w:left="709" w:hanging="283"/>
        <w:contextualSpacing/>
        <w:rPr>
          <w:rFonts w:eastAsia="Calibri"/>
          <w:szCs w:val="22"/>
        </w:rPr>
      </w:pPr>
      <w:r>
        <w:rPr>
          <w:rFonts w:eastAsia="Calibri"/>
          <w:szCs w:val="22"/>
        </w:rPr>
        <w:t>analizu rizika - obuhvaća pregled tehničkih karakteristika prijetnji kao što su lokacija, intenzitet, učestalost i vjerojatnost; analizu izloženosti i ranjivosti te pro</w:t>
      </w:r>
      <w:r>
        <w:rPr>
          <w:rFonts w:eastAsia="Calibri"/>
          <w:szCs w:val="22"/>
        </w:rPr>
        <w:t>cjenu učinkovitosti prevladavajućih i alternativnih kapaciteta za suočavanja u pogledu vjerojatnih rizičnih scenarija,</w:t>
      </w:r>
    </w:p>
    <w:p w:rsidR="00A07D92" w:rsidRDefault="00495E63">
      <w:pPr>
        <w:numPr>
          <w:ilvl w:val="0"/>
          <w:numId w:val="3"/>
        </w:numPr>
        <w:spacing w:before="0" w:after="200"/>
        <w:ind w:left="709" w:hanging="283"/>
        <w:contextualSpacing/>
        <w:rPr>
          <w:rFonts w:eastAsia="Calibri"/>
          <w:szCs w:val="22"/>
        </w:rPr>
      </w:pPr>
      <w:r>
        <w:rPr>
          <w:rFonts w:eastAsia="Calibri"/>
          <w:szCs w:val="22"/>
        </w:rPr>
        <w:t xml:space="preserve">vrednovanja (evaluacije) rizika - </w:t>
      </w:r>
      <w:r>
        <w:rPr>
          <w:rFonts w:eastAsia="Calibri"/>
          <w:szCs w:val="22"/>
          <w:lang w:eastAsia="hr-HR"/>
        </w:rPr>
        <w:t>postupak usporedbe rezultata analize rizika s kriterijima prihvatljivosti rizika.</w:t>
      </w:r>
    </w:p>
    <w:p w:rsidR="00A07D92" w:rsidRDefault="00495E63">
      <w:pPr>
        <w:pStyle w:val="Opisslike"/>
      </w:pPr>
      <w:r>
        <w:rPr>
          <w:noProof/>
          <w:lang w:eastAsia="hr-HR" w:bidi="ar-SA"/>
        </w:rPr>
        <w:drawing>
          <wp:inline distT="0" distB="0" distL="0" distR="0">
            <wp:extent cx="4123690" cy="3557270"/>
            <wp:effectExtent l="0" t="0" r="0"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6"/>
                    <pic:cNvPicPr>
                      <a:picLocks noChangeAspect="1" noChangeArrowheads="1"/>
                    </pic:cNvPicPr>
                  </pic:nvPicPr>
                  <pic:blipFill>
                    <a:blip r:embed="rId22"/>
                    <a:stretch>
                      <a:fillRect/>
                    </a:stretch>
                  </pic:blipFill>
                  <pic:spPr bwMode="auto">
                    <a:xfrm>
                      <a:off x="0" y="0"/>
                      <a:ext cx="4123690" cy="3557270"/>
                    </a:xfrm>
                    <a:prstGeom prst="rect">
                      <a:avLst/>
                    </a:prstGeom>
                  </pic:spPr>
                </pic:pic>
              </a:graphicData>
            </a:graphic>
          </wp:inline>
        </w:drawing>
      </w:r>
    </w:p>
    <w:p w:rsidR="00A07D92" w:rsidRDefault="00495E63">
      <w:pPr>
        <w:pStyle w:val="Opisslike"/>
        <w:spacing w:after="0"/>
      </w:pPr>
      <w:r>
        <w:t xml:space="preserve">Slika </w:t>
      </w:r>
      <w:r>
        <w:fldChar w:fldCharType="begin"/>
      </w:r>
      <w:r>
        <w:instrText xml:space="preserve">SEQ Slika \* </w:instrText>
      </w:r>
      <w:r>
        <w:instrText>ARABIC</w:instrText>
      </w:r>
      <w:r>
        <w:fldChar w:fldCharType="separate"/>
      </w:r>
      <w:r>
        <w:t>1</w:t>
      </w:r>
      <w:r>
        <w:fldChar w:fldCharType="end"/>
      </w:r>
      <w:r>
        <w:t>. Prikaz procesa upravljanja rizikom</w:t>
      </w:r>
    </w:p>
    <w:p w:rsidR="00A07D92" w:rsidRDefault="00495E63">
      <w:pPr>
        <w:spacing w:before="0" w:line="240" w:lineRule="auto"/>
        <w:contextualSpacing/>
        <w:jc w:val="center"/>
        <w:rPr>
          <w:bCs/>
          <w:i/>
          <w:color w:val="54883D"/>
          <w:sz w:val="20"/>
          <w:szCs w:val="18"/>
        </w:rPr>
      </w:pPr>
      <w:r>
        <w:rPr>
          <w:bCs/>
          <w:i/>
          <w:color w:val="54883D"/>
          <w:sz w:val="20"/>
          <w:szCs w:val="18"/>
        </w:rPr>
        <w:t>Izvor: HRN ISO 31000, Upravljanje rizikom – Načela i upute</w:t>
      </w:r>
    </w:p>
    <w:p w:rsidR="00A07D92" w:rsidRDefault="00A07D92">
      <w:pPr>
        <w:rPr>
          <w:color w:val="auto"/>
          <w:highlight w:val="yellow"/>
        </w:rPr>
      </w:pPr>
    </w:p>
    <w:p w:rsidR="00A07D92" w:rsidRDefault="00495E63">
      <w:pPr>
        <w:rPr>
          <w:color w:val="auto"/>
        </w:rPr>
      </w:pPr>
      <w:r>
        <w:rPr>
          <w:color w:val="auto"/>
        </w:rPr>
        <w:t xml:space="preserve">Tijekom izrade Procjene rizika ugovorom je angažirana tvrtka DLS d.o.o, ovlaštenik za prvu grupu stručnih poslova u području planiranja civilne </w:t>
      </w:r>
      <w:r>
        <w:rPr>
          <w:color w:val="auto"/>
        </w:rPr>
        <w:t>zaštite i to u svojstvu konzultanta.</w:t>
      </w:r>
    </w:p>
    <w:p w:rsidR="00A07D92" w:rsidRDefault="00A07D92">
      <w:pPr>
        <w:rPr>
          <w:color w:val="auto"/>
        </w:rPr>
      </w:pPr>
    </w:p>
    <w:p w:rsidR="00A07D92" w:rsidRDefault="00495E63">
      <w:pPr>
        <w:pStyle w:val="Naslov1"/>
        <w:numPr>
          <w:ilvl w:val="0"/>
          <w:numId w:val="2"/>
        </w:numPr>
      </w:pPr>
      <w:bookmarkStart w:id="9" w:name="_Toc9596572"/>
      <w:bookmarkStart w:id="10" w:name="_Toc136522774"/>
      <w:r>
        <w:lastRenderedPageBreak/>
        <w:t>Osnovne karakteristike područja</w:t>
      </w:r>
      <w:bookmarkEnd w:id="9"/>
      <w:r>
        <w:t xml:space="preserve"> Grada Malog Lošinja</w:t>
      </w:r>
      <w:bookmarkEnd w:id="10"/>
    </w:p>
    <w:p w:rsidR="00A07D92" w:rsidRDefault="00495E63">
      <w:pPr>
        <w:pStyle w:val="Naslov2"/>
      </w:pPr>
      <w:bookmarkStart w:id="11" w:name="_Toc136522775"/>
      <w:bookmarkStart w:id="12" w:name="_Toc9596573"/>
      <w:r>
        <w:t>2.1 Geografski pokazatelji</w:t>
      </w:r>
      <w:bookmarkEnd w:id="11"/>
      <w:bookmarkEnd w:id="12"/>
    </w:p>
    <w:p w:rsidR="00A07D92" w:rsidRDefault="00495E63">
      <w:pPr>
        <w:pStyle w:val="Naslov3"/>
      </w:pPr>
      <w:bookmarkStart w:id="13" w:name="_Toc136522776"/>
      <w:bookmarkStart w:id="14" w:name="_Toc9596574"/>
      <w:r>
        <w:t>2.1.1 Geografski položaj</w:t>
      </w:r>
      <w:bookmarkEnd w:id="13"/>
      <w:bookmarkEnd w:id="14"/>
    </w:p>
    <w:p w:rsidR="00A07D92" w:rsidRDefault="00495E63">
      <w:pPr>
        <w:spacing w:before="120" w:after="120"/>
      </w:pPr>
      <w:r>
        <w:t>Područje Grada Malog Lošinja prostire se na površini od 223 km</w:t>
      </w:r>
      <w:r>
        <w:rPr>
          <w:vertAlign w:val="superscript"/>
        </w:rPr>
        <w:t>2</w:t>
      </w:r>
      <w:r>
        <w:t>, zauzima 6,2% teritorija Primorsko-goranske župani</w:t>
      </w:r>
      <w:r>
        <w:t xml:space="preserve">je te 0,4% Republike Hrvatske. Obuhvaća južni dio otoka Cresa, od zaljeva </w:t>
      </w:r>
      <w:proofErr w:type="spellStart"/>
      <w:r>
        <w:t>Koromačno</w:t>
      </w:r>
      <w:proofErr w:type="spellEnd"/>
      <w:r>
        <w:t xml:space="preserve"> i </w:t>
      </w:r>
      <w:proofErr w:type="spellStart"/>
      <w:r>
        <w:t>Ustrine</w:t>
      </w:r>
      <w:proofErr w:type="spellEnd"/>
      <w:r>
        <w:t xml:space="preserve">, čitav otok Lošinj i lošinjski otočni arhipelag koji čini skupinu nastanjenih otoka: Unije, Ilovik, Susak, </w:t>
      </w:r>
      <w:proofErr w:type="spellStart"/>
      <w:r>
        <w:t>Srakane</w:t>
      </w:r>
      <w:proofErr w:type="spellEnd"/>
      <w:r>
        <w:t xml:space="preserve"> Male, </w:t>
      </w:r>
      <w:proofErr w:type="spellStart"/>
      <w:r>
        <w:t>Srakane</w:t>
      </w:r>
      <w:proofErr w:type="spellEnd"/>
      <w:r>
        <w:t xml:space="preserve"> Vele i Sv. Petar te niz nenaselje</w:t>
      </w:r>
      <w:r>
        <w:t>nih otočića, grebena i hridi u prostranom morskom području. Mali Lošinj najveće je naselje na otoku i na Jadranskim otocima, a smješten je u Uvali August. Za nautički turizam je vrlo važna luka jer je smještena na plovnom putu između Istre i Dalmacije.</w:t>
      </w:r>
    </w:p>
    <w:p w:rsidR="00A07D92" w:rsidRDefault="00495E63">
      <w:pPr>
        <w:spacing w:before="120" w:after="120"/>
      </w:pPr>
      <w:r>
        <w:t>Mal</w:t>
      </w:r>
      <w:r>
        <w:t>i Lošinj smješten je u uvali Augusti koja je najveća zatvorena uvala ovog arhipelaga. Sa svojih 7. 537 stanovnika, to je najveći grad na otocima Jadrana. Početak naseljavanja i razvoja Malog Lošinja navodi se 12. stoljeće kada je pred naletom Mongola iz Ug</w:t>
      </w:r>
      <w:r>
        <w:t>arske na otok došlo dvanaest hrvatskih porodica. Neke od tih porodica nastanile su se u uvali Sv. Martin i neki podaci kažu da je upravo ta uvala bila mjesto prvog dodira i iskrcavanja tih osnivača.</w:t>
      </w:r>
      <w:r>
        <w:rPr>
          <w:rStyle w:val="Sidrofusnote"/>
        </w:rPr>
        <w:footnoteReference w:id="1"/>
      </w:r>
    </w:p>
    <w:p w:rsidR="00A07D92" w:rsidRDefault="00495E63">
      <w:pPr>
        <w:spacing w:before="120" w:after="120"/>
      </w:pPr>
      <w:r>
        <w:t xml:space="preserve">Područje Grada obuhvaća ukupno 14 naselja, a to su: </w:t>
      </w:r>
      <w:proofErr w:type="spellStart"/>
      <w:r>
        <w:t>Bele</w:t>
      </w:r>
      <w:r>
        <w:t>j</w:t>
      </w:r>
      <w:proofErr w:type="spellEnd"/>
      <w:r>
        <w:t xml:space="preserve">, </w:t>
      </w:r>
      <w:proofErr w:type="spellStart"/>
      <w:r>
        <w:t>Ćunski</w:t>
      </w:r>
      <w:proofErr w:type="spellEnd"/>
      <w:r>
        <w:t xml:space="preserve"> s </w:t>
      </w:r>
      <w:proofErr w:type="spellStart"/>
      <w:r>
        <w:t>Artatorama</w:t>
      </w:r>
      <w:proofErr w:type="spellEnd"/>
      <w:r>
        <w:t xml:space="preserve"> i </w:t>
      </w:r>
      <w:proofErr w:type="spellStart"/>
      <w:r>
        <w:t>Kandijom</w:t>
      </w:r>
      <w:proofErr w:type="spellEnd"/>
      <w:r>
        <w:t xml:space="preserve"> , Ilovik, Male </w:t>
      </w:r>
      <w:proofErr w:type="spellStart"/>
      <w:r>
        <w:t>Srakane</w:t>
      </w:r>
      <w:proofErr w:type="spellEnd"/>
      <w:r>
        <w:t xml:space="preserve">, Mali Lošinj, </w:t>
      </w:r>
      <w:proofErr w:type="spellStart"/>
      <w:r>
        <w:t>Nerezine</w:t>
      </w:r>
      <w:proofErr w:type="spellEnd"/>
      <w:r>
        <w:t xml:space="preserve">, </w:t>
      </w:r>
      <w:proofErr w:type="spellStart"/>
      <w:r>
        <w:t>Osor</w:t>
      </w:r>
      <w:proofErr w:type="spellEnd"/>
      <w:r>
        <w:t xml:space="preserve">, Punta Križa, Susak, Sveti Jakov, Unije, </w:t>
      </w:r>
      <w:proofErr w:type="spellStart"/>
      <w:r>
        <w:t>Ustrine</w:t>
      </w:r>
      <w:proofErr w:type="spellEnd"/>
      <w:r>
        <w:t xml:space="preserve">, Vele </w:t>
      </w:r>
      <w:proofErr w:type="spellStart"/>
      <w:r>
        <w:t>Srakane</w:t>
      </w:r>
      <w:proofErr w:type="spellEnd"/>
      <w:r>
        <w:t xml:space="preserve"> i Veli Lošinj.</w:t>
      </w:r>
    </w:p>
    <w:p w:rsidR="00A07D92" w:rsidRDefault="00A07D92">
      <w:pPr>
        <w:spacing w:before="120" w:after="120"/>
      </w:pPr>
    </w:p>
    <w:p w:rsidR="00A07D92" w:rsidRDefault="00495E63">
      <w:pPr>
        <w:spacing w:after="0"/>
        <w:jc w:val="center"/>
      </w:pPr>
      <w:r>
        <w:rPr>
          <w:noProof/>
          <w:lang w:eastAsia="hr-HR"/>
        </w:rPr>
        <w:drawing>
          <wp:inline distT="0" distB="0" distL="0" distR="0">
            <wp:extent cx="3397885" cy="3505200"/>
            <wp:effectExtent l="0" t="0" r="0" b="0"/>
            <wp:docPr id="21"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448"/>
                    <pic:cNvPicPr>
                      <a:picLocks noChangeAspect="1" noChangeArrowheads="1"/>
                    </pic:cNvPicPr>
                  </pic:nvPicPr>
                  <pic:blipFill>
                    <a:blip r:embed="rId23"/>
                    <a:stretch>
                      <a:fillRect/>
                    </a:stretch>
                  </pic:blipFill>
                  <pic:spPr bwMode="auto">
                    <a:xfrm>
                      <a:off x="0" y="0"/>
                      <a:ext cx="3397885" cy="3505200"/>
                    </a:xfrm>
                    <a:prstGeom prst="rect">
                      <a:avLst/>
                    </a:prstGeom>
                  </pic:spPr>
                </pic:pic>
              </a:graphicData>
            </a:graphic>
          </wp:inline>
        </w:drawing>
      </w:r>
    </w:p>
    <w:p w:rsidR="00A07D92" w:rsidRDefault="00495E63">
      <w:pPr>
        <w:jc w:val="center"/>
        <w:rPr>
          <w:bCs/>
          <w:color w:val="54883D"/>
          <w:sz w:val="20"/>
          <w:szCs w:val="18"/>
        </w:rPr>
      </w:pPr>
      <w:r>
        <w:rPr>
          <w:bCs/>
          <w:color w:val="54883D"/>
          <w:sz w:val="20"/>
          <w:szCs w:val="18"/>
        </w:rPr>
        <w:t xml:space="preserve">Slika </w:t>
      </w:r>
      <w:r>
        <w:rPr>
          <w:bCs/>
          <w:color w:val="54883D"/>
          <w:sz w:val="20"/>
          <w:szCs w:val="18"/>
        </w:rPr>
        <w:fldChar w:fldCharType="begin"/>
      </w:r>
      <w:r>
        <w:rPr>
          <w:bCs/>
          <w:sz w:val="20"/>
          <w:szCs w:val="18"/>
        </w:rPr>
        <w:instrText>SEQ Slika \* ARABIC</w:instrText>
      </w:r>
      <w:r>
        <w:rPr>
          <w:bCs/>
          <w:sz w:val="20"/>
          <w:szCs w:val="18"/>
        </w:rPr>
        <w:fldChar w:fldCharType="separate"/>
      </w:r>
      <w:r>
        <w:rPr>
          <w:bCs/>
          <w:sz w:val="20"/>
          <w:szCs w:val="18"/>
        </w:rPr>
        <w:t>2</w:t>
      </w:r>
      <w:r>
        <w:rPr>
          <w:bCs/>
          <w:sz w:val="20"/>
          <w:szCs w:val="18"/>
        </w:rPr>
        <w:fldChar w:fldCharType="end"/>
      </w:r>
      <w:r>
        <w:rPr>
          <w:bCs/>
          <w:color w:val="54883D"/>
          <w:sz w:val="20"/>
          <w:szCs w:val="18"/>
        </w:rPr>
        <w:t xml:space="preserve">. Položaj Grada Malog Lošinja </w:t>
      </w:r>
      <w:bookmarkStart w:id="16" w:name="_Toc9596575"/>
    </w:p>
    <w:p w:rsidR="00A07D92" w:rsidRDefault="00495E63">
      <w:pPr>
        <w:spacing w:before="120" w:after="120"/>
        <w:rPr>
          <w:i/>
          <w:color w:val="auto"/>
          <w:u w:val="single"/>
          <w:lang w:bidi="en-US"/>
        </w:rPr>
      </w:pPr>
      <w:r>
        <w:rPr>
          <w:i/>
          <w:color w:val="auto"/>
          <w:u w:val="single"/>
          <w:lang w:bidi="en-US"/>
        </w:rPr>
        <w:lastRenderedPageBreak/>
        <w:t xml:space="preserve">Geografsko – klimatske </w:t>
      </w:r>
      <w:r>
        <w:rPr>
          <w:i/>
          <w:color w:val="auto"/>
          <w:u w:val="single"/>
          <w:lang w:bidi="en-US"/>
        </w:rPr>
        <w:t>karakteristike</w:t>
      </w:r>
    </w:p>
    <w:p w:rsidR="00A07D92" w:rsidRDefault="00495E63">
      <w:pPr>
        <w:spacing w:before="120" w:after="120"/>
        <w:rPr>
          <w:u w:val="single"/>
        </w:rPr>
      </w:pPr>
      <w:r>
        <w:rPr>
          <w:u w:val="single"/>
        </w:rPr>
        <w:t>Reljef</w:t>
      </w:r>
    </w:p>
    <w:p w:rsidR="00A07D92" w:rsidRDefault="00495E63">
      <w:pPr>
        <w:spacing w:before="120" w:after="120"/>
      </w:pPr>
      <w:r>
        <w:t>Reljef je dinamičan; sjeverni dio otoka je viši vapnenački greben (</w:t>
      </w:r>
      <w:proofErr w:type="spellStart"/>
      <w:r>
        <w:t>Osoršćica</w:t>
      </w:r>
      <w:proofErr w:type="spellEnd"/>
      <w:r>
        <w:t xml:space="preserve">), srednji je niži i razvedeniji, južni je, analogno sjevernom, viši, te se na koncu spušta do uvale </w:t>
      </w:r>
      <w:proofErr w:type="spellStart"/>
      <w:r>
        <w:t>Mrtvaška</w:t>
      </w:r>
      <w:proofErr w:type="spellEnd"/>
      <w:r>
        <w:t>. Obala otoka u dužini od 112,2 km ima indeks raz</w:t>
      </w:r>
      <w:r>
        <w:t>vedenosti 3,7 po čemu zauzima drugo/treće mjesto među hrvatskim otocima (Pag i Dugi otok dijele I. mjesto). Među brojnim uvalama nastalim potapanjem krških oblika najprostranija je i najznačajnija luka Mali Lošinj, jedna od najbolje zaštićenih prirodnih lu</w:t>
      </w:r>
      <w:r>
        <w:t>ka na Jadranu. Cijeli otok prepun je šetnica, biciklističkih i planinarskih staza. Duž sjevernog (</w:t>
      </w:r>
      <w:proofErr w:type="spellStart"/>
      <w:r>
        <w:t>Osorčice</w:t>
      </w:r>
      <w:proofErr w:type="spellEnd"/>
      <w:r>
        <w:t>) i južnog dijela uređene su brdske transverzale, dijelom biciklističke, a dijelom planinarske staze što je povoljno za produženu turističku sezonu. N</w:t>
      </w:r>
      <w:r>
        <w:t xml:space="preserve">ajviši vrh otoka je </w:t>
      </w:r>
      <w:proofErr w:type="spellStart"/>
      <w:r>
        <w:t>Televrina</w:t>
      </w:r>
      <w:proofErr w:type="spellEnd"/>
      <w:r>
        <w:t xml:space="preserve"> 588 m, na planini </w:t>
      </w:r>
      <w:proofErr w:type="spellStart"/>
      <w:r>
        <w:t>Osoršćica</w:t>
      </w:r>
      <w:proofErr w:type="spellEnd"/>
      <w:r>
        <w:t xml:space="preserve"> (iznad </w:t>
      </w:r>
      <w:proofErr w:type="spellStart"/>
      <w:r>
        <w:t>Nerezina</w:t>
      </w:r>
      <w:proofErr w:type="spellEnd"/>
      <w:r>
        <w:t xml:space="preserve"> i creskog mjesta </w:t>
      </w:r>
      <w:proofErr w:type="spellStart"/>
      <w:r>
        <w:t>Osora</w:t>
      </w:r>
      <w:proofErr w:type="spellEnd"/>
      <w:r>
        <w:t>).</w:t>
      </w:r>
    </w:p>
    <w:p w:rsidR="00A07D92" w:rsidRDefault="00A07D92">
      <w:pPr>
        <w:spacing w:before="0" w:after="0"/>
      </w:pPr>
    </w:p>
    <w:p w:rsidR="00A07D92" w:rsidRDefault="00495E63">
      <w:pPr>
        <w:spacing w:before="120" w:after="120"/>
        <w:rPr>
          <w:u w:val="single"/>
        </w:rPr>
      </w:pPr>
      <w:r>
        <w:rPr>
          <w:u w:val="single"/>
        </w:rPr>
        <w:t>Klima</w:t>
      </w:r>
    </w:p>
    <w:p w:rsidR="00A07D92" w:rsidRDefault="00495E63">
      <w:pPr>
        <w:spacing w:before="120" w:after="120"/>
      </w:pPr>
      <w:r>
        <w:t xml:space="preserve">Klima otoka Lošinja ima karakteristike suptropsko-mediteranskog područja s naglašenim </w:t>
      </w:r>
      <w:proofErr w:type="spellStart"/>
      <w:r>
        <w:t>maritimnim</w:t>
      </w:r>
      <w:proofErr w:type="spellEnd"/>
      <w:r>
        <w:t xml:space="preserve"> osobinama, pogodna je za boravak u vanjskom prostoru </w:t>
      </w:r>
      <w:r>
        <w:t xml:space="preserve">tijekom cijele godine. Svojim karakteristikama ova klima djeluje pogodno na sluznicu dišnih putova. Godišnji prosjek temperature zraka iznosi 16,3°C, maksimum je u srpnju (24°C-30°C), a minimum u veljači (6,5°C-7,5°C). S godišnjom prosječnom </w:t>
      </w:r>
      <w:proofErr w:type="spellStart"/>
      <w:r>
        <w:t>insolacijom</w:t>
      </w:r>
      <w:proofErr w:type="spellEnd"/>
      <w:r>
        <w:t xml:space="preserve"> od</w:t>
      </w:r>
      <w:r>
        <w:t xml:space="preserve"> oko 2.580 sati i izrazito niskom naoblakom Lošinj se ubraja među najsunčanije predjele Europe. Tradicionalno visoka osunčanost pokazuje povoljan učinak kod nekih bolesti kože. Vlažnost zraka je optimalna, a njen godišnji prosjek iznosi 72%. Čistoća zraka </w:t>
      </w:r>
      <w:r>
        <w:t>je izvanredna, ima nizak stupanj aerozagađenja i nedostatak agresivnijih alergena. U zraku se nalazi kombinacija peludi i spora (</w:t>
      </w:r>
      <w:proofErr w:type="spellStart"/>
      <w:r>
        <w:t>aeroplankton</w:t>
      </w:r>
      <w:proofErr w:type="spellEnd"/>
      <w:r>
        <w:t>) biljnog pokrivača otoka što je veoma bitno za alergičare, uz to povoljno djeluje i prirodni morski aerosol (osnov</w:t>
      </w:r>
      <w:r>
        <w:t>ni sastav mu je kuhinjska sol) kojeg također nalazimo u zraku. Koncentracija morskog aerosola ovisi o količini koja se nalazi u moru, primjerice prosjek koncentracije u Jadranu iznosi oko 3,7%. Razlika između prosječnih godišnjih maksimalnih i minimalnih t</w:t>
      </w:r>
      <w:r>
        <w:t>emperatura zraka vrlo malo se mijenja od mjeseca do mjeseca, pa je i to jedan od dokaza djelotvornosti lošinjske klime. Odnos između vlažnosti i temperature zraka, kao i brzine vjetra, važna je bio-klimatološka karakteristika, koja pokazuje da je klima Loš</w:t>
      </w:r>
      <w:r>
        <w:t>inja korisna za zdravlje organizma tokom cijele godine.</w:t>
      </w:r>
    </w:p>
    <w:p w:rsidR="00A07D92" w:rsidRDefault="00495E63">
      <w:pPr>
        <w:spacing w:before="120" w:after="120"/>
      </w:pPr>
      <w:r>
        <w:t>Zbog povoljnog položaja i tople morske struje južnog Mediterana koja struji njegovim obalama Lošinj spada u mediteranski pojas za koji su karakteristična topla i suha ljeta te blage i kišovite zime. N</w:t>
      </w:r>
      <w:r>
        <w:t>ajviše padalina je u rujnu, studenom i u prosincu, a najmanje od travnja do kolovoza. S obzirom na bogatstvo biljnih vrsta, povoljan utjecaj morskog aerosola i prosječnu vlažnost zraka od 70%, malu razliku između prosječnih godišnjih maksimalnih i minimaln</w:t>
      </w:r>
      <w:r>
        <w:t>ih temperatura. Najviše oborina bilježi se tijekom mjeseca studenog, a najmanje u svibnju. Pregled količine oborina tijekom godine po mjesecima vidljiv je u slijedećem grafikonu. Snijeg je vrlo rijetka pojava na otoku Lošinju.</w:t>
      </w:r>
    </w:p>
    <w:p w:rsidR="00A07D92" w:rsidRDefault="00A07D92">
      <w:pPr>
        <w:spacing w:before="0" w:after="0"/>
      </w:pPr>
    </w:p>
    <w:p w:rsidR="00A07D92" w:rsidRDefault="00495E63">
      <w:pPr>
        <w:pStyle w:val="Naslov3"/>
      </w:pPr>
      <w:bookmarkStart w:id="17" w:name="_Toc136522777"/>
      <w:r>
        <w:t>2.1.2 Broj stanovnika</w:t>
      </w:r>
      <w:bookmarkEnd w:id="16"/>
      <w:bookmarkEnd w:id="17"/>
    </w:p>
    <w:p w:rsidR="00A07D92" w:rsidRDefault="00495E63">
      <w:pPr>
        <w:spacing w:before="120" w:after="120"/>
      </w:pPr>
      <w:r>
        <w:t xml:space="preserve">Prema </w:t>
      </w:r>
      <w:r>
        <w:t>Popisu stanovnika iz 2021. godine na području grada Malog Lošinja živi 7.537 stanovnika, što čini 0,20% stanovnika RH, odnosno 3,52% stanovnika Primorsko-goranske županije.</w:t>
      </w:r>
    </w:p>
    <w:p w:rsidR="00A07D92" w:rsidRDefault="00495E63">
      <w:pPr>
        <w:spacing w:before="120" w:after="120"/>
      </w:pPr>
      <w:r>
        <w:lastRenderedPageBreak/>
        <w:t>U sljedećoj tablici prikazan je broj stanovnika po naseljima Grada.</w:t>
      </w:r>
    </w:p>
    <w:p w:rsidR="00A07D92" w:rsidRDefault="00495E63">
      <w:pPr>
        <w:pStyle w:val="Opisslike"/>
        <w:spacing w:after="0"/>
      </w:pPr>
      <w:r>
        <w:t xml:space="preserve">Tablica </w:t>
      </w:r>
      <w:r>
        <w:fldChar w:fldCharType="begin"/>
      </w:r>
      <w:r>
        <w:instrText xml:space="preserve">SEQ </w:instrText>
      </w:r>
      <w:r>
        <w:instrText>Tabela \* ARABIC</w:instrText>
      </w:r>
      <w:r>
        <w:fldChar w:fldCharType="separate"/>
      </w:r>
      <w:r>
        <w:t>1</w:t>
      </w:r>
      <w:r>
        <w:fldChar w:fldCharType="end"/>
      </w:r>
      <w:r>
        <w:t>. Broj stanovnika Grada Malog Lošinja po naseljima</w:t>
      </w:r>
    </w:p>
    <w:tbl>
      <w:tblPr>
        <w:tblW w:w="6439" w:type="dxa"/>
        <w:jc w:val="center"/>
        <w:tblLook w:val="04A0" w:firstRow="1" w:lastRow="0" w:firstColumn="1" w:lastColumn="0" w:noHBand="0" w:noVBand="1"/>
      </w:tblPr>
      <w:tblGrid>
        <w:gridCol w:w="982"/>
        <w:gridCol w:w="2794"/>
        <w:gridCol w:w="2663"/>
      </w:tblGrid>
      <w:tr w:rsidR="00A07D92">
        <w:trPr>
          <w:cantSplit/>
          <w:trHeight w:val="340"/>
          <w:tblHeader/>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b/>
                <w:color w:val="000000"/>
                <w:sz w:val="20"/>
                <w:lang w:eastAsia="hr-HR"/>
              </w:rPr>
            </w:pPr>
            <w:r>
              <w:rPr>
                <w:b/>
                <w:color w:val="000000"/>
                <w:sz w:val="20"/>
                <w:lang w:eastAsia="hr-HR"/>
              </w:rPr>
              <w:t>R.BR.</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b/>
                <w:color w:val="000000"/>
                <w:sz w:val="20"/>
                <w:lang w:eastAsia="hr-HR"/>
              </w:rPr>
            </w:pPr>
            <w:r>
              <w:rPr>
                <w:b/>
                <w:color w:val="000000"/>
                <w:sz w:val="20"/>
                <w:lang w:eastAsia="hr-HR"/>
              </w:rPr>
              <w:t>NASELJE</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b/>
                <w:color w:val="000000"/>
                <w:sz w:val="20"/>
                <w:lang w:eastAsia="hr-HR"/>
              </w:rPr>
            </w:pPr>
            <w:r>
              <w:rPr>
                <w:b/>
                <w:color w:val="000000"/>
                <w:sz w:val="20"/>
                <w:lang w:eastAsia="hr-HR"/>
              </w:rPr>
              <w:t>BROJ STANOVNIKA</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proofErr w:type="spellStart"/>
            <w:r>
              <w:rPr>
                <w:color w:val="000000"/>
                <w:sz w:val="20"/>
                <w:lang w:eastAsia="hr-HR"/>
              </w:rPr>
              <w:t>Belej</w:t>
            </w:r>
            <w:proofErr w:type="spellEnd"/>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40</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2.</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proofErr w:type="spellStart"/>
            <w:r>
              <w:rPr>
                <w:color w:val="000000"/>
                <w:sz w:val="20"/>
                <w:lang w:eastAsia="hr-HR"/>
              </w:rPr>
              <w:t>Ćunski</w:t>
            </w:r>
            <w:proofErr w:type="spellEnd"/>
            <w:r>
              <w:rPr>
                <w:color w:val="000000"/>
                <w:sz w:val="20"/>
                <w:lang w:eastAsia="hr-HR"/>
              </w:rPr>
              <w:t xml:space="preserve"> s </w:t>
            </w:r>
            <w:proofErr w:type="spellStart"/>
            <w:r>
              <w:rPr>
                <w:color w:val="000000"/>
                <w:sz w:val="20"/>
                <w:lang w:eastAsia="hr-HR"/>
              </w:rPr>
              <w:t>Artatorem</w:t>
            </w:r>
            <w:proofErr w:type="spellEnd"/>
            <w:r>
              <w:rPr>
                <w:color w:val="000000"/>
                <w:sz w:val="20"/>
                <w:lang w:eastAsia="hr-HR"/>
              </w:rPr>
              <w:t xml:space="preserve"> i </w:t>
            </w:r>
            <w:proofErr w:type="spellStart"/>
            <w:r>
              <w:rPr>
                <w:color w:val="000000"/>
                <w:sz w:val="20"/>
                <w:lang w:eastAsia="hr-HR"/>
              </w:rPr>
              <w:t>Kandijom</w:t>
            </w:r>
            <w:proofErr w:type="spellEnd"/>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198</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3.</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Ilovik</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106</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4.</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 xml:space="preserve">Male </w:t>
            </w:r>
            <w:proofErr w:type="spellStart"/>
            <w:r>
              <w:rPr>
                <w:color w:val="000000"/>
                <w:sz w:val="20"/>
                <w:lang w:eastAsia="hr-HR"/>
              </w:rPr>
              <w:t>Srakane</w:t>
            </w:r>
            <w:proofErr w:type="spellEnd"/>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2</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5.</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Mali Lošinj</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5.561</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6.</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proofErr w:type="spellStart"/>
            <w:r>
              <w:rPr>
                <w:color w:val="000000"/>
                <w:sz w:val="20"/>
                <w:lang w:eastAsia="hr-HR"/>
              </w:rPr>
              <w:t>Nerezine</w:t>
            </w:r>
            <w:proofErr w:type="spellEnd"/>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397</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7.</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proofErr w:type="spellStart"/>
            <w:r>
              <w:rPr>
                <w:color w:val="000000"/>
                <w:sz w:val="20"/>
                <w:lang w:eastAsia="hr-HR"/>
              </w:rPr>
              <w:t>Osor</w:t>
            </w:r>
            <w:proofErr w:type="spellEnd"/>
            <w:r>
              <w:rPr>
                <w:color w:val="000000"/>
                <w:sz w:val="20"/>
                <w:lang w:eastAsia="hr-HR"/>
              </w:rPr>
              <w:t xml:space="preserve"> </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26</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8.</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Punta Križa</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46</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9.</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 xml:space="preserve">Susak </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139</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10.</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Sveti Jakov</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74</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11.</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 xml:space="preserve">Unije </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66</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12.</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proofErr w:type="spellStart"/>
            <w:r>
              <w:rPr>
                <w:color w:val="000000"/>
                <w:sz w:val="20"/>
                <w:lang w:eastAsia="hr-HR"/>
              </w:rPr>
              <w:t>Ustrine</w:t>
            </w:r>
            <w:proofErr w:type="spellEnd"/>
            <w:r>
              <w:rPr>
                <w:color w:val="000000"/>
                <w:sz w:val="20"/>
                <w:lang w:eastAsia="hr-HR"/>
              </w:rPr>
              <w:t xml:space="preserve"> </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21</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13.</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 xml:space="preserve">Vele </w:t>
            </w:r>
            <w:proofErr w:type="spellStart"/>
            <w:r>
              <w:rPr>
                <w:color w:val="000000"/>
                <w:sz w:val="20"/>
                <w:lang w:eastAsia="hr-HR"/>
              </w:rPr>
              <w:t>Srakane</w:t>
            </w:r>
            <w:proofErr w:type="spellEnd"/>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4</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14.</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Veli Lošinj</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857</w:t>
            </w:r>
          </w:p>
        </w:tc>
      </w:tr>
      <w:tr w:rsidR="00A07D92">
        <w:trPr>
          <w:cantSplit/>
          <w:trHeight w:val="340"/>
          <w:jc w:val="center"/>
        </w:trPr>
        <w:tc>
          <w:tcPr>
            <w:tcW w:w="3776"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pStyle w:val="Tijeloteksta2"/>
              <w:spacing w:before="0" w:after="0" w:line="276" w:lineRule="auto"/>
              <w:jc w:val="center"/>
              <w:rPr>
                <w:color w:val="000000"/>
                <w:sz w:val="20"/>
                <w:lang w:eastAsia="hr-HR"/>
              </w:rPr>
            </w:pP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b/>
                <w:color w:val="000000"/>
                <w:sz w:val="20"/>
                <w:lang w:eastAsia="hr-HR"/>
              </w:rPr>
              <w:t>UKUPNO: 7.537</w:t>
            </w:r>
          </w:p>
        </w:tc>
      </w:tr>
    </w:tbl>
    <w:p w:rsidR="00A07D92" w:rsidRDefault="00495E63">
      <w:pPr>
        <w:spacing w:before="120" w:after="120"/>
        <w:jc w:val="center"/>
        <w:rPr>
          <w:i/>
          <w:color w:val="54883D"/>
          <w:sz w:val="20"/>
          <w:szCs w:val="18"/>
        </w:rPr>
      </w:pPr>
      <w:r>
        <w:rPr>
          <w:i/>
          <w:color w:val="54883D"/>
          <w:sz w:val="20"/>
          <w:szCs w:val="18"/>
        </w:rPr>
        <w:t>Izvor: DZS, Popis stanovništva 2021.</w:t>
      </w:r>
    </w:p>
    <w:p w:rsidR="00A07D92" w:rsidRDefault="00A07D92">
      <w:pPr>
        <w:spacing w:before="0" w:after="0"/>
      </w:pPr>
    </w:p>
    <w:p w:rsidR="00A07D92" w:rsidRDefault="00A07D92">
      <w:pPr>
        <w:spacing w:before="0" w:after="0"/>
      </w:pPr>
    </w:p>
    <w:p w:rsidR="00A07D92" w:rsidRDefault="00495E63">
      <w:pPr>
        <w:pStyle w:val="Naslov3"/>
      </w:pPr>
      <w:bookmarkStart w:id="18" w:name="_Toc136522778"/>
      <w:bookmarkStart w:id="19" w:name="_Toc9596576"/>
      <w:r>
        <w:t>2.1.3 Gustoća naseljenosti</w:t>
      </w:r>
      <w:bookmarkEnd w:id="18"/>
      <w:bookmarkEnd w:id="19"/>
    </w:p>
    <w:p w:rsidR="00A07D92" w:rsidRDefault="00495E63">
      <w:r>
        <w:t xml:space="preserve">Prosječna gustoća naseljenosti na području Grada Malog Lošinja </w:t>
      </w:r>
      <w:r>
        <w:t>iznosi 33,80 stanovnika/km², što je ispod županijskog prosjeka koji iznosi 73,97 stanovnika/km² te ispod prosječne gustoće naseljenosti u Republici Hrvatskoj koja iznosi 68,41 stanovnika/km².</w:t>
      </w:r>
    </w:p>
    <w:p w:rsidR="00A07D92" w:rsidRDefault="00A07D92">
      <w:pPr>
        <w:spacing w:before="0" w:after="0"/>
      </w:pPr>
    </w:p>
    <w:p w:rsidR="00A07D92" w:rsidRDefault="00A07D92">
      <w:pPr>
        <w:spacing w:before="0" w:after="0"/>
      </w:pPr>
    </w:p>
    <w:p w:rsidR="00A07D92" w:rsidRDefault="00495E63">
      <w:pPr>
        <w:pStyle w:val="Naslov3"/>
      </w:pPr>
      <w:bookmarkStart w:id="20" w:name="_Toc9596577"/>
      <w:bookmarkStart w:id="21" w:name="_Toc136522779"/>
      <w:r>
        <w:t>2.1.4 Razmještaj stanovništva</w:t>
      </w:r>
      <w:bookmarkEnd w:id="20"/>
      <w:bookmarkEnd w:id="21"/>
    </w:p>
    <w:p w:rsidR="00A07D92" w:rsidRDefault="00495E63">
      <w:pPr>
        <w:pStyle w:val="Opisslike"/>
        <w:spacing w:line="276" w:lineRule="auto"/>
        <w:jc w:val="both"/>
        <w:rPr>
          <w:rFonts w:eastAsia="Times New Roman"/>
          <w:bCs w:val="0"/>
          <w:color w:val="000000" w:themeColor="text1"/>
          <w:sz w:val="22"/>
          <w:szCs w:val="24"/>
          <w:lang w:eastAsia="hr-HR" w:bidi="ar-SA"/>
        </w:rPr>
      </w:pPr>
      <w:r>
        <w:rPr>
          <w:rFonts w:eastAsia="Times New Roman"/>
          <w:bCs w:val="0"/>
          <w:color w:val="000000" w:themeColor="text1"/>
          <w:sz w:val="22"/>
          <w:szCs w:val="24"/>
          <w:lang w:eastAsia="hr-HR" w:bidi="ar-SA"/>
        </w:rPr>
        <w:t xml:space="preserve">Područje Grada Malog Lošinja </w:t>
      </w:r>
      <w:r>
        <w:rPr>
          <w:rFonts w:eastAsia="Times New Roman"/>
          <w:bCs w:val="0"/>
          <w:color w:val="000000" w:themeColor="text1"/>
          <w:sz w:val="22"/>
          <w:szCs w:val="24"/>
          <w:lang w:eastAsia="hr-HR" w:bidi="ar-SA"/>
        </w:rPr>
        <w:t>sastoji se od 14 naselja. Naselje Mali Lošinj ima najveći broj stanovnika i to 5.561 stanovnika, dok broj stanovnika u ostalim naseljima imaju raznolik broj stanovnika.</w:t>
      </w:r>
      <w:bookmarkStart w:id="22" w:name="_Hlk135218736"/>
      <w:bookmarkEnd w:id="22"/>
    </w:p>
    <w:p w:rsidR="00A07D92" w:rsidRDefault="00A07D92">
      <w:pPr>
        <w:spacing w:before="120" w:after="0"/>
        <w:jc w:val="center"/>
        <w:rPr>
          <w:bCs/>
          <w:color w:val="54883D"/>
          <w:sz w:val="20"/>
          <w:szCs w:val="18"/>
        </w:rPr>
      </w:pPr>
    </w:p>
    <w:p w:rsidR="00A07D92" w:rsidRDefault="00A07D92">
      <w:pPr>
        <w:spacing w:before="120" w:after="0"/>
        <w:jc w:val="center"/>
        <w:rPr>
          <w:bCs/>
          <w:color w:val="54883D"/>
          <w:sz w:val="20"/>
          <w:szCs w:val="18"/>
        </w:rPr>
      </w:pPr>
    </w:p>
    <w:p w:rsidR="00A07D92" w:rsidRDefault="00A07D92">
      <w:pPr>
        <w:spacing w:before="120" w:after="0"/>
        <w:jc w:val="center"/>
        <w:rPr>
          <w:bCs/>
          <w:color w:val="54883D"/>
          <w:sz w:val="20"/>
          <w:szCs w:val="18"/>
        </w:rPr>
      </w:pPr>
    </w:p>
    <w:p w:rsidR="00A07D92" w:rsidRDefault="00A07D92">
      <w:pPr>
        <w:spacing w:before="120" w:after="0"/>
        <w:jc w:val="center"/>
        <w:rPr>
          <w:bCs/>
          <w:color w:val="54883D"/>
          <w:sz w:val="20"/>
          <w:szCs w:val="18"/>
        </w:rPr>
      </w:pPr>
    </w:p>
    <w:p w:rsidR="00A07D92" w:rsidRDefault="00A07D92">
      <w:pPr>
        <w:spacing w:before="120" w:after="0"/>
        <w:jc w:val="center"/>
        <w:rPr>
          <w:bCs/>
          <w:color w:val="54883D"/>
          <w:sz w:val="20"/>
          <w:szCs w:val="18"/>
        </w:rPr>
      </w:pPr>
    </w:p>
    <w:p w:rsidR="00A07D92" w:rsidRDefault="00A07D92">
      <w:pPr>
        <w:spacing w:before="120" w:after="0"/>
        <w:jc w:val="center"/>
        <w:rPr>
          <w:bCs/>
          <w:color w:val="54883D"/>
          <w:sz w:val="20"/>
          <w:szCs w:val="18"/>
        </w:rPr>
      </w:pPr>
    </w:p>
    <w:p w:rsidR="00A07D92" w:rsidRDefault="00A07D92">
      <w:pPr>
        <w:spacing w:before="120" w:after="0"/>
        <w:jc w:val="center"/>
        <w:rPr>
          <w:bCs/>
          <w:color w:val="54883D"/>
          <w:sz w:val="20"/>
          <w:szCs w:val="18"/>
        </w:rPr>
      </w:pPr>
    </w:p>
    <w:p w:rsidR="00A07D92" w:rsidRDefault="00495E63">
      <w:pPr>
        <w:spacing w:before="120" w:after="0"/>
        <w:jc w:val="center"/>
        <w:rPr>
          <w:rFonts w:eastAsiaTheme="minorHAnsi"/>
          <w:b/>
          <w:bCs/>
          <w:i/>
          <w:color w:val="54883D"/>
          <w:sz w:val="20"/>
          <w:szCs w:val="20"/>
          <w:lang w:bidi="en-US"/>
        </w:rPr>
      </w:pPr>
      <w:r>
        <w:rPr>
          <w:bCs/>
          <w:color w:val="54883D"/>
          <w:sz w:val="20"/>
          <w:szCs w:val="18"/>
        </w:rPr>
        <w:lastRenderedPageBreak/>
        <w:t xml:space="preserve">Slika </w:t>
      </w:r>
      <w:r>
        <w:rPr>
          <w:bCs/>
          <w:color w:val="54883D"/>
          <w:sz w:val="20"/>
          <w:szCs w:val="18"/>
        </w:rPr>
        <w:fldChar w:fldCharType="begin"/>
      </w:r>
      <w:r>
        <w:rPr>
          <w:bCs/>
          <w:sz w:val="20"/>
          <w:szCs w:val="18"/>
        </w:rPr>
        <w:instrText>SEQ Slika \* ARABIC</w:instrText>
      </w:r>
      <w:r>
        <w:rPr>
          <w:bCs/>
          <w:sz w:val="20"/>
          <w:szCs w:val="18"/>
        </w:rPr>
        <w:fldChar w:fldCharType="separate"/>
      </w:r>
      <w:r>
        <w:rPr>
          <w:bCs/>
          <w:sz w:val="20"/>
          <w:szCs w:val="18"/>
        </w:rPr>
        <w:t>3</w:t>
      </w:r>
      <w:r>
        <w:rPr>
          <w:bCs/>
          <w:sz w:val="20"/>
          <w:szCs w:val="18"/>
        </w:rPr>
        <w:fldChar w:fldCharType="end"/>
      </w:r>
      <w:r>
        <w:rPr>
          <w:bCs/>
          <w:color w:val="54883D"/>
          <w:sz w:val="20"/>
          <w:szCs w:val="18"/>
        </w:rPr>
        <w:t xml:space="preserve">. </w:t>
      </w:r>
      <w:r>
        <w:rPr>
          <w:rFonts w:eastAsiaTheme="minorHAnsi"/>
          <w:bCs/>
          <w:color w:val="54883D"/>
          <w:sz w:val="20"/>
          <w:szCs w:val="20"/>
          <w:lang w:bidi="en-US"/>
        </w:rPr>
        <w:t xml:space="preserve">Razmještaj stanovništva prema naseljima Grada </w:t>
      </w:r>
      <w:r>
        <w:rPr>
          <w:rFonts w:eastAsiaTheme="minorHAnsi"/>
          <w:bCs/>
          <w:color w:val="54883D"/>
          <w:sz w:val="20"/>
          <w:szCs w:val="20"/>
          <w:lang w:bidi="en-US"/>
        </w:rPr>
        <w:t>Malog Lošinja</w:t>
      </w:r>
    </w:p>
    <w:p w:rsidR="00A07D92" w:rsidRDefault="00495E63">
      <w:pPr>
        <w:rPr>
          <w:color w:val="54883D"/>
        </w:rPr>
      </w:pPr>
      <w:r>
        <w:rPr>
          <w:noProof/>
          <w:lang w:eastAsia="hr-HR"/>
        </w:rPr>
        <w:drawing>
          <wp:inline distT="0" distB="0" distL="0" distR="0">
            <wp:extent cx="5486400" cy="3200400"/>
            <wp:effectExtent l="0" t="0" r="0" b="0"/>
            <wp:docPr id="22" name="Grafikon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07D92" w:rsidRDefault="00A07D92">
      <w:pPr>
        <w:rPr>
          <w:highlight w:val="yellow"/>
        </w:rPr>
      </w:pPr>
    </w:p>
    <w:p w:rsidR="00A07D92" w:rsidRDefault="00495E63">
      <w:pPr>
        <w:pStyle w:val="Naslov3"/>
      </w:pPr>
      <w:bookmarkStart w:id="23" w:name="_Toc136522780"/>
      <w:bookmarkStart w:id="24" w:name="_Toc9596578"/>
      <w:r>
        <w:t>2.1.5 Spolno-dobna raspodjela stanovništva</w:t>
      </w:r>
      <w:bookmarkEnd w:id="23"/>
      <w:bookmarkEnd w:id="24"/>
    </w:p>
    <w:p w:rsidR="00A07D92" w:rsidRDefault="00495E63">
      <w:r>
        <w:t>U ukupnom stanovništvu Grada Malog Lošinja veći udio imaju žene 50,36%, odnosno 3.795 žena, dok je udio muškaraca 49,64% (3.742). Na području grada Malog Lošinja ima 16,30% djece i mladih (1 228 o</w:t>
      </w:r>
      <w:r>
        <w:t>soba do 19 godina starosti), dok stanovnika starijih od 65 godina ima 23,90% (1.801 osobe). Dobna struktura stanovnika ukazuje da na prostoru grada Malog Lošinja ima više starijih osoba nego djece i mladeži. Dobna i spolna struktura stanovnika prikazana je</w:t>
      </w:r>
      <w:r>
        <w:t xml:space="preserve"> u sljedećoj tablici.</w:t>
      </w:r>
    </w:p>
    <w:p w:rsidR="00A07D92" w:rsidRDefault="00A07D92"/>
    <w:p w:rsidR="00A07D92" w:rsidRDefault="00495E63">
      <w:pPr>
        <w:spacing w:before="0" w:line="240" w:lineRule="auto"/>
        <w:jc w:val="center"/>
        <w:rPr>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2</w:t>
      </w:r>
      <w:r>
        <w:rPr>
          <w:rFonts w:eastAsia="Calibri"/>
          <w:bCs/>
          <w:sz w:val="20"/>
          <w:szCs w:val="20"/>
        </w:rPr>
        <w:fldChar w:fldCharType="end"/>
      </w:r>
      <w:r>
        <w:rPr>
          <w:rFonts w:eastAsia="Calibri"/>
          <w:bCs/>
          <w:color w:val="54883D"/>
          <w:sz w:val="20"/>
          <w:szCs w:val="20"/>
        </w:rPr>
        <w:t xml:space="preserve">. </w:t>
      </w:r>
      <w:r>
        <w:rPr>
          <w:color w:val="54883D"/>
          <w:sz w:val="20"/>
          <w:szCs w:val="20"/>
        </w:rPr>
        <w:t>Dobna i spolna struktura stanovništva na području Grada Malog Lošinja</w:t>
      </w:r>
    </w:p>
    <w:tbl>
      <w:tblPr>
        <w:tblW w:w="5000" w:type="pct"/>
        <w:jc w:val="center"/>
        <w:tblCellMar>
          <w:left w:w="30" w:type="dxa"/>
          <w:right w:w="30" w:type="dxa"/>
        </w:tblCellMar>
        <w:tblLook w:val="04A0" w:firstRow="1" w:lastRow="0" w:firstColumn="1" w:lastColumn="0" w:noHBand="0" w:noVBand="1"/>
      </w:tblPr>
      <w:tblGrid>
        <w:gridCol w:w="605"/>
        <w:gridCol w:w="564"/>
        <w:gridCol w:w="394"/>
        <w:gridCol w:w="394"/>
        <w:gridCol w:w="394"/>
        <w:gridCol w:w="394"/>
        <w:gridCol w:w="404"/>
        <w:gridCol w:w="394"/>
        <w:gridCol w:w="404"/>
        <w:gridCol w:w="394"/>
        <w:gridCol w:w="403"/>
        <w:gridCol w:w="394"/>
        <w:gridCol w:w="394"/>
        <w:gridCol w:w="394"/>
        <w:gridCol w:w="404"/>
        <w:gridCol w:w="394"/>
        <w:gridCol w:w="394"/>
        <w:gridCol w:w="394"/>
        <w:gridCol w:w="394"/>
        <w:gridCol w:w="404"/>
        <w:gridCol w:w="366"/>
        <w:gridCol w:w="454"/>
      </w:tblGrid>
      <w:tr w:rsidR="00A07D92">
        <w:trPr>
          <w:cantSplit/>
          <w:trHeight w:val="508"/>
          <w:jc w:val="center"/>
        </w:trPr>
        <w:tc>
          <w:tcPr>
            <w:tcW w:w="59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SPOL</w:t>
            </w:r>
          </w:p>
        </w:tc>
        <w:tc>
          <w:tcPr>
            <w:tcW w:w="5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UK.</w:t>
            </w:r>
          </w:p>
        </w:tc>
        <w:tc>
          <w:tcPr>
            <w:tcW w:w="7896" w:type="dxa"/>
            <w:gridSpan w:val="20"/>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STAROST</w:t>
            </w:r>
          </w:p>
        </w:tc>
      </w:tr>
      <w:tr w:rsidR="00A07D92">
        <w:trPr>
          <w:cantSplit/>
          <w:trHeight w:val="507"/>
          <w:jc w:val="center"/>
        </w:trPr>
        <w:tc>
          <w:tcPr>
            <w:tcW w:w="5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A07D92">
            <w:pPr>
              <w:pStyle w:val="Tijeloteksta2"/>
              <w:spacing w:before="0" w:after="0" w:line="276" w:lineRule="auto"/>
              <w:jc w:val="center"/>
              <w:rPr>
                <w:b/>
                <w:color w:val="000000"/>
                <w:sz w:val="20"/>
                <w:szCs w:val="20"/>
                <w:lang w:eastAsia="hr-HR"/>
              </w:rPr>
            </w:pPr>
          </w:p>
        </w:tc>
        <w:tc>
          <w:tcPr>
            <w:tcW w:w="5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A07D92">
            <w:pPr>
              <w:pStyle w:val="Tijeloteksta2"/>
              <w:spacing w:before="0" w:after="0" w:line="276" w:lineRule="auto"/>
              <w:jc w:val="center"/>
              <w:rPr>
                <w:b/>
                <w:color w:val="000000"/>
                <w:sz w:val="20"/>
                <w:szCs w:val="20"/>
                <w:lang w:eastAsia="hr-HR"/>
              </w:rPr>
            </w:pP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0-4</w:t>
            </w:r>
          </w:p>
        </w:tc>
        <w:tc>
          <w:tcPr>
            <w:tcW w:w="3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5-9</w:t>
            </w:r>
          </w:p>
        </w:tc>
        <w:tc>
          <w:tcPr>
            <w:tcW w:w="3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10-14</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15-19</w:t>
            </w:r>
          </w:p>
        </w:tc>
        <w:tc>
          <w:tcPr>
            <w:tcW w:w="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20-24</w:t>
            </w:r>
          </w:p>
        </w:tc>
        <w:tc>
          <w:tcPr>
            <w:tcW w:w="3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25-29</w:t>
            </w:r>
          </w:p>
        </w:tc>
        <w:tc>
          <w:tcPr>
            <w:tcW w:w="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30-34</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35-39</w:t>
            </w:r>
          </w:p>
        </w:tc>
        <w:tc>
          <w:tcPr>
            <w:tcW w:w="4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40-44</w:t>
            </w:r>
          </w:p>
        </w:tc>
        <w:tc>
          <w:tcPr>
            <w:tcW w:w="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45-49</w:t>
            </w:r>
          </w:p>
        </w:tc>
        <w:tc>
          <w:tcPr>
            <w:tcW w:w="3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50-54</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55-59</w:t>
            </w:r>
          </w:p>
        </w:tc>
        <w:tc>
          <w:tcPr>
            <w:tcW w:w="4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60-64</w:t>
            </w:r>
          </w:p>
        </w:tc>
        <w:tc>
          <w:tcPr>
            <w:tcW w:w="3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65-69</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70-74</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75-79</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80-84</w:t>
            </w:r>
          </w:p>
        </w:tc>
        <w:tc>
          <w:tcPr>
            <w:tcW w:w="4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85-89</w:t>
            </w:r>
          </w:p>
        </w:tc>
        <w:tc>
          <w:tcPr>
            <w:tcW w:w="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90-94</w:t>
            </w:r>
          </w:p>
        </w:tc>
        <w:tc>
          <w:tcPr>
            <w:tcW w:w="4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b/>
                <w:color w:val="000000"/>
                <w:sz w:val="20"/>
                <w:szCs w:val="20"/>
                <w:lang w:eastAsia="hr-HR"/>
              </w:rPr>
            </w:pPr>
            <w:r>
              <w:rPr>
                <w:b/>
                <w:color w:val="000000"/>
                <w:sz w:val="20"/>
                <w:szCs w:val="20"/>
                <w:lang w:eastAsia="hr-HR"/>
              </w:rPr>
              <w:t>95 i više</w:t>
            </w:r>
          </w:p>
        </w:tc>
      </w:tr>
      <w:tr w:rsidR="00A07D92">
        <w:trPr>
          <w:cantSplit/>
          <w:trHeight w:hRule="exact" w:val="323"/>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color w:val="000000"/>
                <w:sz w:val="20"/>
                <w:szCs w:val="20"/>
                <w:lang w:eastAsia="hr-HR"/>
              </w:rPr>
            </w:pPr>
            <w:r>
              <w:rPr>
                <w:color w:val="000000"/>
                <w:sz w:val="20"/>
                <w:szCs w:val="20"/>
                <w:lang w:eastAsia="hr-HR"/>
              </w:rPr>
              <w:t>SV</w:t>
            </w:r>
          </w:p>
        </w:tc>
        <w:tc>
          <w:tcPr>
            <w:tcW w:w="580" w:type="dxa"/>
            <w:tcBorders>
              <w:top w:val="single" w:sz="4" w:space="0" w:color="000000"/>
              <w:left w:val="single" w:sz="4" w:space="0" w:color="BFBFBF"/>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7.537</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262</w:t>
            </w:r>
          </w:p>
        </w:tc>
        <w:tc>
          <w:tcPr>
            <w:tcW w:w="3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318</w:t>
            </w:r>
          </w:p>
        </w:tc>
        <w:tc>
          <w:tcPr>
            <w:tcW w:w="3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344</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304</w:t>
            </w:r>
          </w:p>
        </w:tc>
        <w:tc>
          <w:tcPr>
            <w:tcW w:w="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331</w:t>
            </w:r>
          </w:p>
        </w:tc>
        <w:tc>
          <w:tcPr>
            <w:tcW w:w="3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412</w:t>
            </w:r>
          </w:p>
        </w:tc>
        <w:tc>
          <w:tcPr>
            <w:tcW w:w="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477</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519</w:t>
            </w:r>
          </w:p>
        </w:tc>
        <w:tc>
          <w:tcPr>
            <w:tcW w:w="4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501</w:t>
            </w:r>
          </w:p>
        </w:tc>
        <w:tc>
          <w:tcPr>
            <w:tcW w:w="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421</w:t>
            </w:r>
          </w:p>
        </w:tc>
        <w:tc>
          <w:tcPr>
            <w:tcW w:w="3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485</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623</w:t>
            </w:r>
          </w:p>
        </w:tc>
        <w:tc>
          <w:tcPr>
            <w:tcW w:w="4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739</w:t>
            </w:r>
          </w:p>
        </w:tc>
        <w:tc>
          <w:tcPr>
            <w:tcW w:w="3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629</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475</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283</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215</w:t>
            </w:r>
          </w:p>
        </w:tc>
        <w:tc>
          <w:tcPr>
            <w:tcW w:w="4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149</w:t>
            </w:r>
          </w:p>
        </w:tc>
        <w:tc>
          <w:tcPr>
            <w:tcW w:w="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43</w:t>
            </w:r>
          </w:p>
        </w:tc>
        <w:tc>
          <w:tcPr>
            <w:tcW w:w="4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7</w:t>
            </w:r>
          </w:p>
        </w:tc>
      </w:tr>
      <w:tr w:rsidR="00A07D92">
        <w:trPr>
          <w:cantSplit/>
          <w:trHeight w:hRule="exact" w:val="323"/>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color w:val="000000"/>
                <w:sz w:val="20"/>
                <w:szCs w:val="20"/>
                <w:lang w:eastAsia="hr-HR"/>
              </w:rPr>
            </w:pPr>
            <w:r>
              <w:rPr>
                <w:color w:val="000000"/>
                <w:sz w:val="20"/>
                <w:szCs w:val="20"/>
                <w:lang w:eastAsia="hr-HR"/>
              </w:rPr>
              <w:t>M</w:t>
            </w:r>
          </w:p>
        </w:tc>
        <w:tc>
          <w:tcPr>
            <w:tcW w:w="580" w:type="dxa"/>
            <w:tcBorders>
              <w:top w:val="single" w:sz="4" w:space="0" w:color="000000"/>
              <w:left w:val="single" w:sz="4" w:space="0" w:color="BFBFBF"/>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3.742</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140</w:t>
            </w:r>
          </w:p>
        </w:tc>
        <w:tc>
          <w:tcPr>
            <w:tcW w:w="3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169</w:t>
            </w:r>
          </w:p>
        </w:tc>
        <w:tc>
          <w:tcPr>
            <w:tcW w:w="3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179</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171</w:t>
            </w:r>
          </w:p>
        </w:tc>
        <w:tc>
          <w:tcPr>
            <w:tcW w:w="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179</w:t>
            </w:r>
          </w:p>
        </w:tc>
        <w:tc>
          <w:tcPr>
            <w:tcW w:w="3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202</w:t>
            </w:r>
          </w:p>
        </w:tc>
        <w:tc>
          <w:tcPr>
            <w:tcW w:w="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251</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268</w:t>
            </w:r>
          </w:p>
        </w:tc>
        <w:tc>
          <w:tcPr>
            <w:tcW w:w="4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272</w:t>
            </w:r>
          </w:p>
        </w:tc>
        <w:tc>
          <w:tcPr>
            <w:tcW w:w="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218</w:t>
            </w:r>
          </w:p>
        </w:tc>
        <w:tc>
          <w:tcPr>
            <w:tcW w:w="3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217</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279</w:t>
            </w:r>
          </w:p>
        </w:tc>
        <w:tc>
          <w:tcPr>
            <w:tcW w:w="4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348</w:t>
            </w:r>
          </w:p>
        </w:tc>
        <w:tc>
          <w:tcPr>
            <w:tcW w:w="3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331</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224</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139</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87</w:t>
            </w:r>
          </w:p>
        </w:tc>
        <w:tc>
          <w:tcPr>
            <w:tcW w:w="4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56</w:t>
            </w:r>
          </w:p>
        </w:tc>
        <w:tc>
          <w:tcPr>
            <w:tcW w:w="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12</w:t>
            </w:r>
          </w:p>
        </w:tc>
        <w:tc>
          <w:tcPr>
            <w:tcW w:w="4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w:t>
            </w:r>
          </w:p>
        </w:tc>
      </w:tr>
      <w:tr w:rsidR="00A07D92">
        <w:trPr>
          <w:cantSplit/>
          <w:trHeight w:hRule="exact" w:val="4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pStyle w:val="Tijeloteksta2"/>
              <w:spacing w:before="0" w:after="0" w:line="276" w:lineRule="auto"/>
              <w:jc w:val="center"/>
              <w:rPr>
                <w:color w:val="000000"/>
                <w:sz w:val="20"/>
                <w:szCs w:val="20"/>
                <w:lang w:eastAsia="hr-HR"/>
              </w:rPr>
            </w:pPr>
            <w:r>
              <w:rPr>
                <w:color w:val="000000"/>
                <w:sz w:val="20"/>
                <w:szCs w:val="20"/>
                <w:lang w:eastAsia="hr-HR"/>
              </w:rPr>
              <w:t>Ž</w:t>
            </w:r>
          </w:p>
        </w:tc>
        <w:tc>
          <w:tcPr>
            <w:tcW w:w="580" w:type="dxa"/>
            <w:tcBorders>
              <w:top w:val="single" w:sz="4" w:space="0" w:color="000000"/>
              <w:left w:val="single" w:sz="4" w:space="0" w:color="BFBFBF"/>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3.795</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122</w:t>
            </w:r>
          </w:p>
        </w:tc>
        <w:tc>
          <w:tcPr>
            <w:tcW w:w="3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149</w:t>
            </w:r>
          </w:p>
        </w:tc>
        <w:tc>
          <w:tcPr>
            <w:tcW w:w="3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165</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133</w:t>
            </w:r>
          </w:p>
        </w:tc>
        <w:tc>
          <w:tcPr>
            <w:tcW w:w="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152</w:t>
            </w:r>
          </w:p>
        </w:tc>
        <w:tc>
          <w:tcPr>
            <w:tcW w:w="3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210</w:t>
            </w:r>
          </w:p>
        </w:tc>
        <w:tc>
          <w:tcPr>
            <w:tcW w:w="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226</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251</w:t>
            </w:r>
          </w:p>
        </w:tc>
        <w:tc>
          <w:tcPr>
            <w:tcW w:w="4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229</w:t>
            </w:r>
          </w:p>
        </w:tc>
        <w:tc>
          <w:tcPr>
            <w:tcW w:w="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203</w:t>
            </w:r>
          </w:p>
        </w:tc>
        <w:tc>
          <w:tcPr>
            <w:tcW w:w="3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268</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344</w:t>
            </w:r>
          </w:p>
        </w:tc>
        <w:tc>
          <w:tcPr>
            <w:tcW w:w="4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391</w:t>
            </w:r>
          </w:p>
        </w:tc>
        <w:tc>
          <w:tcPr>
            <w:tcW w:w="3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298</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251</w:t>
            </w:r>
          </w:p>
        </w:tc>
        <w:tc>
          <w:tcPr>
            <w:tcW w:w="3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144</w:t>
            </w:r>
          </w:p>
        </w:tc>
        <w:tc>
          <w:tcPr>
            <w:tcW w:w="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128</w:t>
            </w:r>
          </w:p>
        </w:tc>
        <w:tc>
          <w:tcPr>
            <w:tcW w:w="47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93</w:t>
            </w:r>
          </w:p>
        </w:tc>
        <w:tc>
          <w:tcPr>
            <w:tcW w:w="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31</w:t>
            </w:r>
          </w:p>
        </w:tc>
        <w:tc>
          <w:tcPr>
            <w:tcW w:w="4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7D92" w:rsidRDefault="00495E63">
            <w:pPr>
              <w:spacing w:before="0" w:after="0"/>
              <w:jc w:val="center"/>
              <w:rPr>
                <w:sz w:val="20"/>
                <w:szCs w:val="20"/>
              </w:rPr>
            </w:pPr>
            <w:r>
              <w:rPr>
                <w:color w:val="000000"/>
                <w:sz w:val="20"/>
                <w:szCs w:val="20"/>
              </w:rPr>
              <w:t>7</w:t>
            </w:r>
          </w:p>
        </w:tc>
      </w:tr>
    </w:tbl>
    <w:p w:rsidR="00A07D92" w:rsidRDefault="00495E63">
      <w:pPr>
        <w:spacing w:before="120" w:after="120"/>
        <w:jc w:val="center"/>
        <w:rPr>
          <w:i/>
          <w:color w:val="54883D"/>
          <w:sz w:val="20"/>
          <w:szCs w:val="18"/>
        </w:rPr>
      </w:pPr>
      <w:r>
        <w:rPr>
          <w:i/>
          <w:color w:val="54883D"/>
          <w:sz w:val="20"/>
          <w:szCs w:val="18"/>
        </w:rPr>
        <w:t>Izvor: DZS, Popis stanovništva 2021.</w:t>
      </w:r>
    </w:p>
    <w:p w:rsidR="00A07D92" w:rsidRDefault="00495E63">
      <w:pPr>
        <w:spacing w:before="120" w:after="120"/>
        <w:jc w:val="center"/>
        <w:rPr>
          <w:i/>
          <w:color w:val="54883D"/>
          <w:sz w:val="20"/>
          <w:szCs w:val="18"/>
        </w:rPr>
      </w:pPr>
      <w:r>
        <w:rPr>
          <w:noProof/>
          <w:lang w:eastAsia="hr-HR"/>
        </w:rPr>
        <w:lastRenderedPageBreak/>
        <w:drawing>
          <wp:inline distT="0" distB="0" distL="0" distR="0">
            <wp:extent cx="4347845" cy="2173605"/>
            <wp:effectExtent l="0" t="0" r="0" b="0"/>
            <wp:docPr id="23" name="Grafikon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07D92" w:rsidRDefault="00495E63">
      <w:pPr>
        <w:pStyle w:val="Opisslike"/>
        <w:spacing w:after="0"/>
        <w:rPr>
          <w:szCs w:val="20"/>
        </w:rPr>
      </w:pPr>
      <w:bookmarkStart w:id="25" w:name="_Toc54780653"/>
      <w:r>
        <w:t xml:space="preserve">Grafikon </w:t>
      </w:r>
      <w:r>
        <w:fldChar w:fldCharType="begin"/>
      </w:r>
      <w:r>
        <w:instrText>SEQ Grafikon \* ARABIC</w:instrText>
      </w:r>
      <w:r>
        <w:fldChar w:fldCharType="separate"/>
      </w:r>
      <w:r>
        <w:t>1</w:t>
      </w:r>
      <w:r>
        <w:fldChar w:fldCharType="end"/>
      </w:r>
      <w:r>
        <w:t xml:space="preserve">. </w:t>
      </w:r>
      <w:r>
        <w:rPr>
          <w:szCs w:val="20"/>
        </w:rPr>
        <w:t xml:space="preserve">Odnos muškaraca i žena na području grada </w:t>
      </w:r>
      <w:bookmarkEnd w:id="25"/>
      <w:r>
        <w:rPr>
          <w:szCs w:val="20"/>
        </w:rPr>
        <w:t>Malog Lošinja</w:t>
      </w:r>
    </w:p>
    <w:p w:rsidR="00A07D92" w:rsidRDefault="00495E63">
      <w:pPr>
        <w:spacing w:before="120" w:after="120"/>
        <w:jc w:val="center"/>
        <w:rPr>
          <w:i/>
          <w:color w:val="54883D"/>
          <w:sz w:val="20"/>
          <w:szCs w:val="18"/>
        </w:rPr>
        <w:sectPr w:rsidR="00A07D92">
          <w:headerReference w:type="default" r:id="rId26"/>
          <w:footerReference w:type="default" r:id="rId27"/>
          <w:pgSz w:w="11906" w:h="16838"/>
          <w:pgMar w:top="1418" w:right="1418" w:bottom="1418" w:left="1418" w:header="567" w:footer="0" w:gutter="0"/>
          <w:cols w:space="720"/>
          <w:formProt w:val="0"/>
          <w:titlePg/>
          <w:docGrid w:linePitch="360" w:charSpace="4096"/>
        </w:sectPr>
      </w:pPr>
      <w:r>
        <w:rPr>
          <w:i/>
          <w:color w:val="54883D"/>
          <w:sz w:val="20"/>
          <w:szCs w:val="18"/>
        </w:rPr>
        <w:t>Izvor: DZS, Popis stanovništva 2021.</w:t>
      </w:r>
    </w:p>
    <w:p w:rsidR="00A07D92" w:rsidRDefault="00495E63">
      <w:pPr>
        <w:pStyle w:val="Naslov3"/>
      </w:pPr>
      <w:bookmarkStart w:id="26" w:name="_Toc9596579"/>
      <w:r>
        <w:lastRenderedPageBreak/>
        <w:t xml:space="preserve">2.1.6 Prometna </w:t>
      </w:r>
      <w:r>
        <w:t>povezanost</w:t>
      </w:r>
      <w:bookmarkStart w:id="27" w:name="_Toc136522781"/>
      <w:bookmarkEnd w:id="26"/>
      <w:bookmarkEnd w:id="27"/>
      <w:r>
        <w:rPr>
          <w:rStyle w:val="Sidrofusnote"/>
        </w:rPr>
        <w:footnoteReference w:id="2"/>
      </w:r>
    </w:p>
    <w:p w:rsidR="00A07D92" w:rsidRDefault="00495E63">
      <w:pPr>
        <w:rPr>
          <w:i/>
          <w:szCs w:val="22"/>
          <w:u w:val="single"/>
        </w:rPr>
      </w:pPr>
      <w:r>
        <w:rPr>
          <w:i/>
          <w:szCs w:val="22"/>
          <w:u w:val="single"/>
        </w:rPr>
        <w:t>Cestovni promet</w:t>
      </w:r>
    </w:p>
    <w:p w:rsidR="00A07D92" w:rsidRDefault="00495E63">
      <w:r>
        <w:t xml:space="preserve">Povezanost otoka Lošinja s kopnom ostvaruje se preko otoka Cresa i to redovitim trajektnim linijama Brestova – </w:t>
      </w:r>
      <w:proofErr w:type="spellStart"/>
      <w:r>
        <w:t>Porozina</w:t>
      </w:r>
      <w:proofErr w:type="spellEnd"/>
      <w:r>
        <w:t xml:space="preserve"> prema istočnoj obali Istre i </w:t>
      </w:r>
      <w:proofErr w:type="spellStart"/>
      <w:r>
        <w:t>Valbiska</w:t>
      </w:r>
      <w:proofErr w:type="spellEnd"/>
      <w:r>
        <w:t xml:space="preserve"> – </w:t>
      </w:r>
      <w:proofErr w:type="spellStart"/>
      <w:r>
        <w:t>Merag</w:t>
      </w:r>
      <w:proofErr w:type="spellEnd"/>
      <w:r>
        <w:t xml:space="preserve"> prema otoku Krku. Spomenute trajektne luke </w:t>
      </w:r>
      <w:proofErr w:type="spellStart"/>
      <w:r>
        <w:t>Porozina</w:t>
      </w:r>
      <w:proofErr w:type="spellEnd"/>
      <w:r>
        <w:t xml:space="preserve"> i </w:t>
      </w:r>
      <w:proofErr w:type="spellStart"/>
      <w:r>
        <w:t>Merag</w:t>
      </w:r>
      <w:proofErr w:type="spellEnd"/>
      <w:r>
        <w:t xml:space="preserve"> na</w:t>
      </w:r>
      <w:r>
        <w:t xml:space="preserve">laze se na Cresu, a zbog povoljnijeg – bližeg položaja, za otok Lošinj veću važnost ima trajektna linija </w:t>
      </w:r>
      <w:proofErr w:type="spellStart"/>
      <w:r>
        <w:t>Merag</w:t>
      </w:r>
      <w:proofErr w:type="spellEnd"/>
      <w:r>
        <w:t xml:space="preserve"> – </w:t>
      </w:r>
      <w:proofErr w:type="spellStart"/>
      <w:r>
        <w:t>Valbiska</w:t>
      </w:r>
      <w:proofErr w:type="spellEnd"/>
      <w:r>
        <w:t xml:space="preserve">. </w:t>
      </w:r>
    </w:p>
    <w:p w:rsidR="00A07D92" w:rsidRDefault="00495E63">
      <w:r>
        <w:t xml:space="preserve">Glavna cestovna magistrala na Lošinju i Cresu je državna cesta D100, koja počinje od trajektne luke </w:t>
      </w:r>
      <w:proofErr w:type="spellStart"/>
      <w:r>
        <w:t>Porozina</w:t>
      </w:r>
      <w:proofErr w:type="spellEnd"/>
      <w:r>
        <w:t xml:space="preserve">, prolazi uzdužno </w:t>
      </w:r>
      <w:proofErr w:type="spellStart"/>
      <w:r>
        <w:t>Cresom</w:t>
      </w:r>
      <w:proofErr w:type="spellEnd"/>
      <w:r>
        <w:t xml:space="preserve"> i Lošinjem te završava u Malom Lošinju. Važan je spoj trajektne luke </w:t>
      </w:r>
      <w:proofErr w:type="spellStart"/>
      <w:r>
        <w:t>Merag</w:t>
      </w:r>
      <w:proofErr w:type="spellEnd"/>
      <w:r>
        <w:t xml:space="preserve"> s državnom cestom D100, tako je i ta cesta svrstana u državne ceste i nosi oznaku D101. Na otocima koje obuhvaća Mali Lošinj (Ilovik, Susak, Unije, Male i Vele </w:t>
      </w:r>
      <w:proofErr w:type="spellStart"/>
      <w:r>
        <w:t>Srakane</w:t>
      </w:r>
      <w:proofErr w:type="spellEnd"/>
      <w:r>
        <w:t>) nema cestov</w:t>
      </w:r>
      <w:r>
        <w:t>nog prometa i ne postoje javne ceste. Na otocima postoje putovi koji se koriste kao pješački kao i za kretanje manjih poljoprivrednih vozila (moto kultivatori, manji traktori i sl.), kojima su ti putove uglavnom prilagođeni.</w:t>
      </w:r>
    </w:p>
    <w:p w:rsidR="00A07D92" w:rsidRDefault="00495E63">
      <w:r>
        <w:t>Povezanost područja Grada Malog</w:t>
      </w:r>
      <w:r>
        <w:t xml:space="preserve"> Lošinja s međunarodnim aerodromom na otoku Krku može se smatrati zadovoljavajućom. Cijeli je prostor trajektnom linijom </w:t>
      </w:r>
      <w:proofErr w:type="spellStart"/>
      <w:r>
        <w:t>Valbiska</w:t>
      </w:r>
      <w:proofErr w:type="spellEnd"/>
      <w:r>
        <w:t xml:space="preserve"> - </w:t>
      </w:r>
      <w:proofErr w:type="spellStart"/>
      <w:r>
        <w:t>Merag</w:t>
      </w:r>
      <w:proofErr w:type="spellEnd"/>
      <w:r>
        <w:t xml:space="preserve"> povezan s otokom Krkom i kopnom, a time i s aerodromom na Krku. Aerodrom na Lošinju ima status međunarodnog aerodroma </w:t>
      </w:r>
      <w:r>
        <w:t xml:space="preserve">u tom je pogledu situacija također zadovoljavajuća. Tehničke karakteristike aerodroma ne omogućavaju prihvat većih zrakoplova. </w:t>
      </w:r>
    </w:p>
    <w:p w:rsidR="00A07D92" w:rsidRDefault="00495E63">
      <w:r>
        <w:t xml:space="preserve">Okosnicu prometne povezanosti na Cresu predstavlja jedna magistralna prometnica koja se u smjeru sjever – jug, pruža od </w:t>
      </w:r>
      <w:proofErr w:type="spellStart"/>
      <w:r>
        <w:t>Porozina</w:t>
      </w:r>
      <w:proofErr w:type="spellEnd"/>
      <w:r>
        <w:t xml:space="preserve"> do </w:t>
      </w:r>
      <w:proofErr w:type="spellStart"/>
      <w:r>
        <w:t>Osora</w:t>
      </w:r>
      <w:proofErr w:type="spellEnd"/>
      <w:r>
        <w:t xml:space="preserve"> (i dalje do Maloga Lošinja), dotičući sva najznačajnija naselja, dok su ostala mjesta vezana priključnim cestama. Spomenuta magistralna cesta ima na pojedinim dionicama značajke brdske ceste. Razvitku turizma i otoka pogodovala bi brza, moderna i</w:t>
      </w:r>
      <w:r>
        <w:t xml:space="preserve"> pregledna prometnica po kojoj bi se skratila vožnja do sjedišta Županije. Prema postojećim planovima preporučljivi su samo rekonstrukcijski zahvati na postojećoj prometnici, kako se ne bi narušila ekološka ravnoteža jedinstvenih životinjskih i biljnih zaj</w:t>
      </w:r>
      <w:r>
        <w:t>ednica otoka Cresa.</w:t>
      </w:r>
    </w:p>
    <w:p w:rsidR="00A07D92" w:rsidRDefault="00495E63">
      <w:r>
        <w:t xml:space="preserve">Javne prometne površine na području Grada Malog Lošinja razvrstane su u slijedeće kategorije: </w:t>
      </w:r>
    </w:p>
    <w:p w:rsidR="00A07D92" w:rsidRDefault="00A07D92">
      <w:pPr>
        <w:spacing w:before="120" w:after="0"/>
        <w:jc w:val="center"/>
        <w:rPr>
          <w:rFonts w:eastAsia="Calibri"/>
          <w:bCs/>
          <w:color w:val="54883D"/>
          <w:sz w:val="20"/>
          <w:szCs w:val="20"/>
        </w:rPr>
      </w:pPr>
    </w:p>
    <w:p w:rsidR="00A07D92" w:rsidRDefault="00A07D92">
      <w:pPr>
        <w:spacing w:before="120" w:after="0"/>
        <w:jc w:val="center"/>
        <w:rPr>
          <w:rFonts w:eastAsia="Calibri"/>
          <w:bCs/>
          <w:color w:val="54883D"/>
          <w:sz w:val="20"/>
          <w:szCs w:val="20"/>
        </w:rPr>
      </w:pPr>
    </w:p>
    <w:p w:rsidR="00A07D92" w:rsidRDefault="00A07D92">
      <w:pPr>
        <w:spacing w:before="120" w:after="0"/>
        <w:jc w:val="center"/>
        <w:rPr>
          <w:rFonts w:eastAsia="Calibri"/>
          <w:bCs/>
          <w:color w:val="54883D"/>
          <w:sz w:val="20"/>
          <w:szCs w:val="20"/>
        </w:rPr>
      </w:pPr>
    </w:p>
    <w:p w:rsidR="00A07D92" w:rsidRDefault="00A07D92">
      <w:pPr>
        <w:spacing w:before="120" w:after="0"/>
        <w:jc w:val="center"/>
        <w:rPr>
          <w:rFonts w:eastAsia="Calibri"/>
          <w:bCs/>
          <w:color w:val="54883D"/>
          <w:sz w:val="20"/>
          <w:szCs w:val="20"/>
        </w:rPr>
      </w:pPr>
    </w:p>
    <w:p w:rsidR="00A07D92" w:rsidRDefault="00A07D92">
      <w:pPr>
        <w:spacing w:before="120" w:after="0"/>
        <w:jc w:val="center"/>
        <w:rPr>
          <w:rFonts w:eastAsia="Calibri"/>
          <w:bCs/>
          <w:color w:val="54883D"/>
          <w:sz w:val="20"/>
          <w:szCs w:val="20"/>
        </w:rPr>
      </w:pPr>
    </w:p>
    <w:p w:rsidR="00A07D92" w:rsidRDefault="00A07D92">
      <w:pPr>
        <w:spacing w:before="120" w:after="0"/>
        <w:jc w:val="center"/>
        <w:rPr>
          <w:rFonts w:eastAsia="Calibri"/>
          <w:bCs/>
          <w:color w:val="54883D"/>
          <w:sz w:val="20"/>
          <w:szCs w:val="20"/>
        </w:rPr>
      </w:pPr>
    </w:p>
    <w:p w:rsidR="00A07D92" w:rsidRDefault="00A07D92">
      <w:pPr>
        <w:spacing w:before="120" w:after="0"/>
        <w:jc w:val="center"/>
        <w:rPr>
          <w:rFonts w:eastAsia="Calibri"/>
          <w:bCs/>
          <w:color w:val="54883D"/>
          <w:sz w:val="20"/>
          <w:szCs w:val="20"/>
        </w:rPr>
      </w:pPr>
    </w:p>
    <w:p w:rsidR="00A07D92" w:rsidRDefault="00A07D92">
      <w:pPr>
        <w:spacing w:before="120" w:after="0"/>
        <w:jc w:val="center"/>
        <w:rPr>
          <w:rFonts w:eastAsia="Calibri"/>
          <w:bCs/>
          <w:color w:val="54883D"/>
          <w:sz w:val="20"/>
          <w:szCs w:val="20"/>
        </w:rPr>
      </w:pPr>
    </w:p>
    <w:p w:rsidR="00A07D92" w:rsidRDefault="00A07D92">
      <w:pPr>
        <w:spacing w:before="120" w:after="0"/>
        <w:jc w:val="center"/>
        <w:rPr>
          <w:rFonts w:eastAsia="Calibri"/>
          <w:bCs/>
          <w:color w:val="54883D"/>
          <w:sz w:val="20"/>
          <w:szCs w:val="20"/>
        </w:rPr>
      </w:pPr>
    </w:p>
    <w:p w:rsidR="00A07D92" w:rsidRDefault="00A07D92">
      <w:pPr>
        <w:spacing w:before="120" w:after="0"/>
        <w:jc w:val="center"/>
        <w:rPr>
          <w:rFonts w:eastAsia="Calibri"/>
          <w:bCs/>
          <w:color w:val="54883D"/>
          <w:sz w:val="20"/>
          <w:szCs w:val="20"/>
        </w:rPr>
      </w:pPr>
    </w:p>
    <w:p w:rsidR="00A07D92" w:rsidRDefault="00495E63">
      <w:pPr>
        <w:spacing w:before="120" w:after="0"/>
        <w:jc w:val="center"/>
        <w:rPr>
          <w:rFonts w:eastAsiaTheme="minorHAnsi"/>
          <w:b/>
          <w:bCs/>
          <w:i/>
          <w:color w:val="54883D"/>
          <w:sz w:val="20"/>
          <w:szCs w:val="20"/>
          <w:highlight w:val="yellow"/>
          <w:lang w:bidi="en-US"/>
        </w:rPr>
      </w:pPr>
      <w:r>
        <w:rPr>
          <w:rFonts w:eastAsia="Calibri"/>
          <w:bCs/>
          <w:color w:val="54883D"/>
          <w:sz w:val="20"/>
          <w:szCs w:val="20"/>
        </w:rPr>
        <w:lastRenderedPageBreak/>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3</w:t>
      </w:r>
      <w:r>
        <w:rPr>
          <w:rFonts w:eastAsia="Calibri"/>
          <w:bCs/>
          <w:sz w:val="20"/>
          <w:szCs w:val="20"/>
        </w:rPr>
        <w:fldChar w:fldCharType="end"/>
      </w:r>
      <w:r>
        <w:rPr>
          <w:rFonts w:eastAsia="Calibri"/>
          <w:bCs/>
          <w:color w:val="54883D"/>
          <w:sz w:val="20"/>
          <w:szCs w:val="20"/>
        </w:rPr>
        <w:t xml:space="preserve">. </w:t>
      </w:r>
      <w:r>
        <w:rPr>
          <w:rFonts w:eastAsiaTheme="minorHAnsi"/>
          <w:bCs/>
          <w:color w:val="54883D"/>
          <w:sz w:val="20"/>
          <w:szCs w:val="20"/>
          <w:lang w:bidi="en-US"/>
        </w:rPr>
        <w:t>Popis županijskih i lokalnih cesta na području Grada Malog Lošinja</w:t>
      </w:r>
    </w:p>
    <w:tbl>
      <w:tblPr>
        <w:tblW w:w="8784" w:type="dxa"/>
        <w:jc w:val="center"/>
        <w:tblLook w:val="04A0" w:firstRow="1" w:lastRow="0" w:firstColumn="1" w:lastColumn="0" w:noHBand="0" w:noVBand="1"/>
      </w:tblPr>
      <w:tblGrid>
        <w:gridCol w:w="1128"/>
        <w:gridCol w:w="4962"/>
        <w:gridCol w:w="2694"/>
      </w:tblGrid>
      <w:tr w:rsidR="00A07D92">
        <w:trPr>
          <w:cantSplit/>
          <w:trHeight w:val="349"/>
          <w:jc w:val="center"/>
        </w:trPr>
        <w:tc>
          <w:tcPr>
            <w:tcW w:w="11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lang w:eastAsia="hr-HR"/>
              </w:rPr>
            </w:pPr>
            <w:r>
              <w:rPr>
                <w:b/>
                <w:color w:val="000000"/>
                <w:sz w:val="20"/>
                <w:szCs w:val="20"/>
                <w:lang w:eastAsia="hr-HR"/>
              </w:rPr>
              <w:t>OZNAKA CESTE</w:t>
            </w:r>
          </w:p>
        </w:tc>
        <w:tc>
          <w:tcPr>
            <w:tcW w:w="4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lang w:eastAsia="hr-HR"/>
              </w:rPr>
            </w:pPr>
            <w:r>
              <w:rPr>
                <w:b/>
                <w:color w:val="000000"/>
                <w:sz w:val="20"/>
                <w:szCs w:val="20"/>
                <w:lang w:eastAsia="hr-HR"/>
              </w:rPr>
              <w:t>OPIS CESTE</w:t>
            </w:r>
          </w:p>
        </w:tc>
        <w:tc>
          <w:tcPr>
            <w:tcW w:w="2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lang w:eastAsia="hr-HR"/>
              </w:rPr>
            </w:pPr>
            <w:r>
              <w:rPr>
                <w:b/>
                <w:color w:val="000000"/>
                <w:sz w:val="20"/>
                <w:szCs w:val="20"/>
                <w:lang w:eastAsia="hr-HR"/>
              </w:rPr>
              <w:t>DULJINA (km)</w:t>
            </w:r>
          </w:p>
        </w:tc>
      </w:tr>
      <w:tr w:rsidR="00A07D92">
        <w:trPr>
          <w:cantSplit/>
          <w:trHeight w:val="349"/>
          <w:jc w:val="center"/>
        </w:trPr>
        <w:tc>
          <w:tcPr>
            <w:tcW w:w="8784" w:type="dxa"/>
            <w:gridSpan w:val="3"/>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lang w:eastAsia="hr-HR"/>
              </w:rPr>
            </w:pPr>
            <w:r>
              <w:rPr>
                <w:b/>
                <w:color w:val="000000"/>
                <w:sz w:val="20"/>
                <w:szCs w:val="20"/>
                <w:lang w:eastAsia="hr-HR"/>
              </w:rPr>
              <w:t>Državne ceste</w:t>
            </w:r>
          </w:p>
        </w:tc>
      </w:tr>
      <w:tr w:rsidR="00A07D92">
        <w:trPr>
          <w:cantSplit/>
          <w:trHeight w:val="349"/>
          <w:jc w:val="center"/>
        </w:trPr>
        <w:tc>
          <w:tcPr>
            <w:tcW w:w="11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D100</w:t>
            </w:r>
          </w:p>
        </w:tc>
        <w:tc>
          <w:tcPr>
            <w:tcW w:w="4962" w:type="dxa"/>
            <w:tcBorders>
              <w:top w:val="single" w:sz="4" w:space="0" w:color="54883D"/>
              <w:left w:val="single" w:sz="4" w:space="0" w:color="54883D"/>
              <w:bottom w:val="single" w:sz="4" w:space="0" w:color="54883D"/>
              <w:right w:val="single" w:sz="4" w:space="0" w:color="54883D"/>
            </w:tcBorders>
            <w:shd w:val="clear" w:color="auto" w:fill="auto"/>
            <w:tcMar>
              <w:left w:w="10" w:type="dxa"/>
              <w:right w:w="10" w:type="dxa"/>
            </w:tcMar>
            <w:vAlign w:val="center"/>
          </w:tcPr>
          <w:p w:rsidR="00A07D92" w:rsidRDefault="00495E63">
            <w:pPr>
              <w:spacing w:before="0" w:after="0"/>
              <w:jc w:val="center"/>
              <w:rPr>
                <w:color w:val="auto"/>
                <w:sz w:val="20"/>
                <w:szCs w:val="20"/>
                <w:lang w:eastAsia="hr-HR"/>
              </w:rPr>
            </w:pPr>
            <w:proofErr w:type="spellStart"/>
            <w:r>
              <w:rPr>
                <w:color w:val="auto"/>
                <w:sz w:val="20"/>
                <w:szCs w:val="20"/>
                <w:lang w:eastAsia="hr-HR"/>
              </w:rPr>
              <w:t>Porozina</w:t>
            </w:r>
            <w:proofErr w:type="spellEnd"/>
            <w:r>
              <w:rPr>
                <w:color w:val="auto"/>
                <w:sz w:val="20"/>
                <w:szCs w:val="20"/>
                <w:lang w:eastAsia="hr-HR"/>
              </w:rPr>
              <w:t xml:space="preserve">-Cres-Mali </w:t>
            </w:r>
            <w:proofErr w:type="spellStart"/>
            <w:r>
              <w:rPr>
                <w:color w:val="auto"/>
                <w:sz w:val="20"/>
                <w:szCs w:val="20"/>
                <w:lang w:eastAsia="hr-HR"/>
              </w:rPr>
              <w:t>lošinj</w:t>
            </w:r>
            <w:proofErr w:type="spellEnd"/>
          </w:p>
        </w:tc>
        <w:tc>
          <w:tcPr>
            <w:tcW w:w="2694" w:type="dxa"/>
            <w:tcBorders>
              <w:top w:val="single" w:sz="4" w:space="0" w:color="54883D"/>
              <w:left w:val="single" w:sz="4" w:space="0" w:color="54883D"/>
              <w:bottom w:val="single" w:sz="4" w:space="0" w:color="54883D"/>
              <w:right w:val="single" w:sz="4" w:space="0" w:color="54883D"/>
            </w:tcBorders>
            <w:shd w:val="clear" w:color="auto" w:fill="auto"/>
            <w:tcMar>
              <w:left w:w="10" w:type="dxa"/>
              <w:right w:w="10" w:type="dxa"/>
            </w:tcMar>
            <w:vAlign w:val="center"/>
          </w:tcPr>
          <w:p w:rsidR="00A07D92" w:rsidRDefault="00495E63">
            <w:pPr>
              <w:spacing w:before="0" w:after="0"/>
              <w:jc w:val="center"/>
              <w:rPr>
                <w:color w:val="000000"/>
                <w:sz w:val="20"/>
                <w:szCs w:val="20"/>
                <w:lang w:eastAsia="hr-HR"/>
              </w:rPr>
            </w:pPr>
            <w:r>
              <w:rPr>
                <w:color w:val="000000"/>
                <w:sz w:val="20"/>
                <w:szCs w:val="20"/>
                <w:lang w:eastAsia="hr-HR"/>
              </w:rPr>
              <w:t>80,4</w:t>
            </w:r>
          </w:p>
          <w:p w:rsidR="00A07D92" w:rsidRDefault="00495E63">
            <w:pPr>
              <w:spacing w:before="0" w:after="0"/>
              <w:jc w:val="center"/>
              <w:rPr>
                <w:color w:val="000000"/>
                <w:sz w:val="20"/>
                <w:szCs w:val="20"/>
                <w:highlight w:val="yellow"/>
                <w:lang w:eastAsia="hr-HR"/>
              </w:rPr>
            </w:pPr>
            <w:r>
              <w:rPr>
                <w:color w:val="000000"/>
                <w:sz w:val="20"/>
                <w:szCs w:val="20"/>
                <w:lang w:eastAsia="hr-HR"/>
              </w:rPr>
              <w:t xml:space="preserve">Mali Lošinj </w:t>
            </w:r>
            <w:proofErr w:type="spellStart"/>
            <w:r>
              <w:rPr>
                <w:color w:val="000000"/>
                <w:sz w:val="20"/>
                <w:szCs w:val="20"/>
                <w:lang w:eastAsia="hr-HR"/>
              </w:rPr>
              <w:t>cca</w:t>
            </w:r>
            <w:proofErr w:type="spellEnd"/>
            <w:r>
              <w:rPr>
                <w:color w:val="000000"/>
                <w:sz w:val="20"/>
                <w:szCs w:val="20"/>
                <w:lang w:eastAsia="hr-HR"/>
              </w:rPr>
              <w:t xml:space="preserve"> 35</w:t>
            </w:r>
          </w:p>
        </w:tc>
      </w:tr>
      <w:tr w:rsidR="00A07D92">
        <w:trPr>
          <w:cantSplit/>
          <w:trHeight w:val="349"/>
          <w:jc w:val="center"/>
        </w:trPr>
        <w:tc>
          <w:tcPr>
            <w:tcW w:w="8784" w:type="dxa"/>
            <w:gridSpan w:val="3"/>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lang w:eastAsia="hr-HR"/>
              </w:rPr>
            </w:pPr>
            <w:r>
              <w:rPr>
                <w:b/>
                <w:color w:val="000000"/>
                <w:sz w:val="20"/>
                <w:szCs w:val="20"/>
                <w:lang w:eastAsia="hr-HR"/>
              </w:rPr>
              <w:t>Županijske ceste</w:t>
            </w:r>
          </w:p>
        </w:tc>
      </w:tr>
      <w:tr w:rsidR="00A07D92">
        <w:trPr>
          <w:cantSplit/>
          <w:trHeight w:val="349"/>
          <w:jc w:val="center"/>
        </w:trPr>
        <w:tc>
          <w:tcPr>
            <w:tcW w:w="11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sz w:val="20"/>
                <w:szCs w:val="20"/>
              </w:rPr>
              <w:t>ŽC 5157</w:t>
            </w:r>
          </w:p>
        </w:tc>
        <w:tc>
          <w:tcPr>
            <w:tcW w:w="4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color w:val="000000"/>
                <w:sz w:val="20"/>
                <w:szCs w:val="20"/>
                <w:lang w:eastAsia="hr-HR"/>
              </w:rPr>
              <w:t>Aerodrom Lošinj-</w:t>
            </w:r>
            <w:proofErr w:type="spellStart"/>
            <w:r>
              <w:rPr>
                <w:color w:val="000000"/>
                <w:sz w:val="20"/>
                <w:szCs w:val="20"/>
                <w:lang w:eastAsia="hr-HR"/>
              </w:rPr>
              <w:t>Ćunski</w:t>
            </w:r>
            <w:proofErr w:type="spellEnd"/>
            <w:r>
              <w:rPr>
                <w:color w:val="000000"/>
                <w:sz w:val="20"/>
                <w:szCs w:val="20"/>
                <w:lang w:eastAsia="hr-HR"/>
              </w:rPr>
              <w:t xml:space="preserve"> (D100)</w:t>
            </w:r>
          </w:p>
        </w:tc>
        <w:tc>
          <w:tcPr>
            <w:tcW w:w="2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color w:val="000000"/>
                <w:sz w:val="20"/>
                <w:szCs w:val="20"/>
                <w:lang w:eastAsia="hr-HR"/>
              </w:rPr>
              <w:t>2,8</w:t>
            </w:r>
          </w:p>
        </w:tc>
      </w:tr>
      <w:tr w:rsidR="00A07D92">
        <w:trPr>
          <w:cantSplit/>
          <w:trHeight w:val="349"/>
          <w:jc w:val="center"/>
        </w:trPr>
        <w:tc>
          <w:tcPr>
            <w:tcW w:w="11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color w:val="000000"/>
                <w:sz w:val="20"/>
                <w:szCs w:val="20"/>
                <w:lang w:eastAsia="hr-HR"/>
              </w:rPr>
              <w:t>ŽC 5158</w:t>
            </w:r>
          </w:p>
        </w:tc>
        <w:tc>
          <w:tcPr>
            <w:tcW w:w="4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rPr>
            </w:pPr>
            <w:r>
              <w:rPr>
                <w:color w:val="000000"/>
                <w:sz w:val="20"/>
                <w:szCs w:val="20"/>
              </w:rPr>
              <w:t>D100 – Mali Lošinj</w:t>
            </w:r>
          </w:p>
        </w:tc>
        <w:tc>
          <w:tcPr>
            <w:tcW w:w="2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color w:val="000000"/>
                <w:sz w:val="20"/>
                <w:szCs w:val="20"/>
                <w:lang w:eastAsia="hr-HR"/>
              </w:rPr>
              <w:t>0,4</w:t>
            </w:r>
          </w:p>
        </w:tc>
      </w:tr>
      <w:tr w:rsidR="00A07D92">
        <w:trPr>
          <w:cantSplit/>
          <w:trHeight w:val="349"/>
          <w:jc w:val="center"/>
        </w:trPr>
        <w:tc>
          <w:tcPr>
            <w:tcW w:w="11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color w:val="000000"/>
                <w:sz w:val="20"/>
                <w:szCs w:val="20"/>
                <w:lang w:eastAsia="hr-HR"/>
              </w:rPr>
              <w:t>ŽC 5159</w:t>
            </w:r>
          </w:p>
        </w:tc>
        <w:tc>
          <w:tcPr>
            <w:tcW w:w="4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proofErr w:type="spellStart"/>
            <w:r>
              <w:rPr>
                <w:color w:val="000000"/>
                <w:sz w:val="20"/>
                <w:szCs w:val="20"/>
                <w:lang w:eastAsia="hr-HR"/>
              </w:rPr>
              <w:t>T.L</w:t>
            </w:r>
            <w:proofErr w:type="spellEnd"/>
            <w:r>
              <w:rPr>
                <w:color w:val="000000"/>
                <w:sz w:val="20"/>
                <w:szCs w:val="20"/>
                <w:lang w:eastAsia="hr-HR"/>
              </w:rPr>
              <w:t xml:space="preserve">. </w:t>
            </w:r>
            <w:proofErr w:type="spellStart"/>
            <w:r>
              <w:rPr>
                <w:color w:val="000000"/>
                <w:sz w:val="20"/>
                <w:szCs w:val="20"/>
                <w:lang w:eastAsia="hr-HR"/>
              </w:rPr>
              <w:t>Čikat</w:t>
            </w:r>
            <w:proofErr w:type="spellEnd"/>
            <w:r>
              <w:rPr>
                <w:color w:val="000000"/>
                <w:sz w:val="20"/>
                <w:szCs w:val="20"/>
                <w:lang w:eastAsia="hr-HR"/>
              </w:rPr>
              <w:t xml:space="preserve"> – Mali Lošinj (D100)</w:t>
            </w:r>
          </w:p>
        </w:tc>
        <w:tc>
          <w:tcPr>
            <w:tcW w:w="2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color w:val="000000"/>
                <w:sz w:val="20"/>
                <w:szCs w:val="20"/>
                <w:lang w:eastAsia="hr-HR"/>
              </w:rPr>
              <w:t>2,1</w:t>
            </w:r>
          </w:p>
        </w:tc>
      </w:tr>
      <w:tr w:rsidR="00A07D92">
        <w:trPr>
          <w:cantSplit/>
          <w:trHeight w:val="349"/>
          <w:jc w:val="center"/>
        </w:trPr>
        <w:tc>
          <w:tcPr>
            <w:tcW w:w="11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r>
              <w:rPr>
                <w:sz w:val="20"/>
                <w:szCs w:val="20"/>
              </w:rPr>
              <w:t>ŽC 5160</w:t>
            </w:r>
          </w:p>
        </w:tc>
        <w:tc>
          <w:tcPr>
            <w:tcW w:w="4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r>
              <w:rPr>
                <w:sz w:val="20"/>
                <w:szCs w:val="20"/>
              </w:rPr>
              <w:t xml:space="preserve">Ž 5159 – </w:t>
            </w:r>
            <w:proofErr w:type="spellStart"/>
            <w:r>
              <w:rPr>
                <w:sz w:val="20"/>
                <w:szCs w:val="20"/>
              </w:rPr>
              <w:t>T.L</w:t>
            </w:r>
            <w:proofErr w:type="spellEnd"/>
            <w:r>
              <w:rPr>
                <w:sz w:val="20"/>
                <w:szCs w:val="20"/>
              </w:rPr>
              <w:t xml:space="preserve">. Sunčana </w:t>
            </w:r>
            <w:r>
              <w:rPr>
                <w:sz w:val="20"/>
                <w:szCs w:val="20"/>
              </w:rPr>
              <w:t>uvala</w:t>
            </w:r>
          </w:p>
        </w:tc>
        <w:tc>
          <w:tcPr>
            <w:tcW w:w="2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color w:val="000000"/>
                <w:sz w:val="20"/>
                <w:szCs w:val="20"/>
                <w:lang w:eastAsia="hr-HR"/>
              </w:rPr>
              <w:t>1,4</w:t>
            </w:r>
          </w:p>
        </w:tc>
      </w:tr>
      <w:tr w:rsidR="00A07D92">
        <w:trPr>
          <w:cantSplit/>
          <w:trHeight w:val="349"/>
          <w:jc w:val="center"/>
        </w:trPr>
        <w:tc>
          <w:tcPr>
            <w:tcW w:w="11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r>
              <w:rPr>
                <w:sz w:val="20"/>
                <w:szCs w:val="20"/>
              </w:rPr>
              <w:t>ŽC 5161</w:t>
            </w:r>
          </w:p>
        </w:tc>
        <w:tc>
          <w:tcPr>
            <w:tcW w:w="4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r>
              <w:rPr>
                <w:sz w:val="20"/>
                <w:szCs w:val="20"/>
              </w:rPr>
              <w:t>Mali Lošinj (D100) – Veli Lošinj</w:t>
            </w:r>
          </w:p>
        </w:tc>
        <w:tc>
          <w:tcPr>
            <w:tcW w:w="2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color w:val="000000"/>
                <w:sz w:val="20"/>
                <w:szCs w:val="20"/>
                <w:lang w:eastAsia="hr-HR"/>
              </w:rPr>
              <w:t>3,4</w:t>
            </w:r>
          </w:p>
        </w:tc>
      </w:tr>
      <w:tr w:rsidR="00A07D92">
        <w:trPr>
          <w:cantSplit/>
          <w:trHeight w:val="349"/>
          <w:jc w:val="center"/>
        </w:trPr>
        <w:tc>
          <w:tcPr>
            <w:tcW w:w="6090"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right"/>
              <w:rPr>
                <w:b/>
                <w:sz w:val="20"/>
                <w:szCs w:val="20"/>
              </w:rPr>
            </w:pPr>
            <w:r>
              <w:rPr>
                <w:b/>
                <w:sz w:val="20"/>
                <w:szCs w:val="20"/>
              </w:rPr>
              <w:t>UKUPNO</w:t>
            </w:r>
          </w:p>
        </w:tc>
        <w:tc>
          <w:tcPr>
            <w:tcW w:w="2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lang w:eastAsia="hr-HR"/>
              </w:rPr>
            </w:pPr>
            <w:r>
              <w:rPr>
                <w:b/>
                <w:color w:val="000000"/>
                <w:sz w:val="20"/>
                <w:szCs w:val="20"/>
                <w:lang w:eastAsia="hr-HR"/>
              </w:rPr>
              <w:t>10,1</w:t>
            </w:r>
          </w:p>
        </w:tc>
      </w:tr>
      <w:tr w:rsidR="00A07D92">
        <w:trPr>
          <w:cantSplit/>
          <w:trHeight w:val="349"/>
          <w:jc w:val="center"/>
        </w:trPr>
        <w:tc>
          <w:tcPr>
            <w:tcW w:w="8784" w:type="dxa"/>
            <w:gridSpan w:val="3"/>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highlight w:val="yellow"/>
                <w:lang w:eastAsia="hr-HR"/>
              </w:rPr>
            </w:pPr>
            <w:r>
              <w:rPr>
                <w:b/>
                <w:color w:val="000000"/>
                <w:sz w:val="20"/>
                <w:szCs w:val="20"/>
                <w:lang w:eastAsia="hr-HR"/>
              </w:rPr>
              <w:t>Lokalne ceste</w:t>
            </w:r>
          </w:p>
        </w:tc>
      </w:tr>
      <w:tr w:rsidR="00A07D92">
        <w:trPr>
          <w:cantSplit/>
          <w:trHeight w:val="349"/>
          <w:jc w:val="center"/>
        </w:trPr>
        <w:tc>
          <w:tcPr>
            <w:tcW w:w="11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r>
              <w:rPr>
                <w:sz w:val="20"/>
                <w:szCs w:val="20"/>
              </w:rPr>
              <w:t>LC58099</w:t>
            </w:r>
          </w:p>
        </w:tc>
        <w:tc>
          <w:tcPr>
            <w:tcW w:w="4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proofErr w:type="spellStart"/>
            <w:r>
              <w:rPr>
                <w:sz w:val="20"/>
                <w:szCs w:val="20"/>
              </w:rPr>
              <w:t>Ustrine</w:t>
            </w:r>
            <w:proofErr w:type="spellEnd"/>
            <w:r>
              <w:rPr>
                <w:sz w:val="20"/>
                <w:szCs w:val="20"/>
              </w:rPr>
              <w:t xml:space="preserve"> – D100</w:t>
            </w:r>
          </w:p>
        </w:tc>
        <w:tc>
          <w:tcPr>
            <w:tcW w:w="2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color w:val="000000"/>
                <w:sz w:val="20"/>
                <w:szCs w:val="20"/>
                <w:lang w:eastAsia="hr-HR"/>
              </w:rPr>
              <w:t>1,8</w:t>
            </w:r>
          </w:p>
        </w:tc>
      </w:tr>
      <w:tr w:rsidR="00A07D92">
        <w:trPr>
          <w:cantSplit/>
          <w:trHeight w:val="349"/>
          <w:jc w:val="center"/>
        </w:trPr>
        <w:tc>
          <w:tcPr>
            <w:tcW w:w="11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r>
              <w:rPr>
                <w:sz w:val="20"/>
                <w:szCs w:val="20"/>
              </w:rPr>
              <w:t>LC58101</w:t>
            </w:r>
          </w:p>
        </w:tc>
        <w:tc>
          <w:tcPr>
            <w:tcW w:w="4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rPr>
            </w:pPr>
            <w:proofErr w:type="spellStart"/>
            <w:r>
              <w:rPr>
                <w:color w:val="000000"/>
                <w:sz w:val="20"/>
                <w:szCs w:val="20"/>
              </w:rPr>
              <w:t>Osor</w:t>
            </w:r>
            <w:proofErr w:type="spellEnd"/>
            <w:r>
              <w:rPr>
                <w:color w:val="000000"/>
                <w:sz w:val="20"/>
                <w:szCs w:val="20"/>
              </w:rPr>
              <w:t xml:space="preserve"> (D100) – Punta križa – </w:t>
            </w:r>
            <w:proofErr w:type="spellStart"/>
            <w:r>
              <w:rPr>
                <w:color w:val="000000"/>
                <w:sz w:val="20"/>
                <w:szCs w:val="20"/>
              </w:rPr>
              <w:t>T.L</w:t>
            </w:r>
            <w:proofErr w:type="spellEnd"/>
            <w:r>
              <w:rPr>
                <w:color w:val="000000"/>
                <w:sz w:val="20"/>
                <w:szCs w:val="20"/>
              </w:rPr>
              <w:t xml:space="preserve">. </w:t>
            </w:r>
            <w:proofErr w:type="spellStart"/>
            <w:r>
              <w:rPr>
                <w:color w:val="000000"/>
                <w:sz w:val="20"/>
                <w:szCs w:val="20"/>
              </w:rPr>
              <w:t>Baldarin</w:t>
            </w:r>
            <w:proofErr w:type="spellEnd"/>
          </w:p>
        </w:tc>
        <w:tc>
          <w:tcPr>
            <w:tcW w:w="2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color w:val="000000"/>
                <w:sz w:val="20"/>
                <w:szCs w:val="20"/>
                <w:lang w:eastAsia="hr-HR"/>
              </w:rPr>
              <w:t>15,1</w:t>
            </w:r>
          </w:p>
        </w:tc>
      </w:tr>
      <w:tr w:rsidR="00A07D92">
        <w:trPr>
          <w:cantSplit/>
          <w:trHeight w:val="349"/>
          <w:jc w:val="center"/>
        </w:trPr>
        <w:tc>
          <w:tcPr>
            <w:tcW w:w="11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r>
              <w:rPr>
                <w:sz w:val="20"/>
                <w:szCs w:val="20"/>
              </w:rPr>
              <w:t>LC 58103</w:t>
            </w:r>
          </w:p>
        </w:tc>
        <w:tc>
          <w:tcPr>
            <w:tcW w:w="4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rPr>
            </w:pPr>
            <w:proofErr w:type="spellStart"/>
            <w:r>
              <w:rPr>
                <w:color w:val="000000"/>
                <w:sz w:val="20"/>
                <w:szCs w:val="20"/>
              </w:rPr>
              <w:t>T.L</w:t>
            </w:r>
            <w:proofErr w:type="spellEnd"/>
            <w:r>
              <w:rPr>
                <w:color w:val="000000"/>
                <w:sz w:val="20"/>
                <w:szCs w:val="20"/>
              </w:rPr>
              <w:t xml:space="preserve">. </w:t>
            </w:r>
            <w:proofErr w:type="spellStart"/>
            <w:r>
              <w:rPr>
                <w:color w:val="000000"/>
                <w:sz w:val="20"/>
                <w:szCs w:val="20"/>
              </w:rPr>
              <w:t>Artatore</w:t>
            </w:r>
            <w:proofErr w:type="spellEnd"/>
            <w:r>
              <w:rPr>
                <w:color w:val="000000"/>
                <w:sz w:val="20"/>
                <w:szCs w:val="20"/>
              </w:rPr>
              <w:t xml:space="preserve"> – D100</w:t>
            </w:r>
          </w:p>
        </w:tc>
        <w:tc>
          <w:tcPr>
            <w:tcW w:w="2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lang w:eastAsia="hr-HR"/>
              </w:rPr>
            </w:pPr>
            <w:r>
              <w:rPr>
                <w:color w:val="000000"/>
                <w:sz w:val="20"/>
                <w:szCs w:val="20"/>
                <w:lang w:eastAsia="hr-HR"/>
              </w:rPr>
              <w:t>18,2</w:t>
            </w:r>
          </w:p>
        </w:tc>
      </w:tr>
      <w:tr w:rsidR="00A07D92">
        <w:trPr>
          <w:cantSplit/>
          <w:trHeight w:val="349"/>
          <w:jc w:val="center"/>
        </w:trPr>
        <w:tc>
          <w:tcPr>
            <w:tcW w:w="6090"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right"/>
              <w:rPr>
                <w:sz w:val="20"/>
                <w:szCs w:val="20"/>
              </w:rPr>
            </w:pPr>
            <w:r>
              <w:rPr>
                <w:b/>
                <w:sz w:val="20"/>
                <w:szCs w:val="20"/>
              </w:rPr>
              <w:t>UKUPNO</w:t>
            </w:r>
          </w:p>
        </w:tc>
        <w:tc>
          <w:tcPr>
            <w:tcW w:w="2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lang w:eastAsia="hr-HR"/>
              </w:rPr>
            </w:pPr>
            <w:r>
              <w:rPr>
                <w:b/>
                <w:color w:val="000000"/>
                <w:sz w:val="20"/>
                <w:szCs w:val="20"/>
                <w:lang w:eastAsia="hr-HR"/>
              </w:rPr>
              <w:t>18,2</w:t>
            </w:r>
          </w:p>
        </w:tc>
      </w:tr>
    </w:tbl>
    <w:p w:rsidR="00A07D92" w:rsidRDefault="00495E63">
      <w:pPr>
        <w:jc w:val="center"/>
        <w:rPr>
          <w:highlight w:val="yellow"/>
        </w:rPr>
      </w:pPr>
      <w:r>
        <w:rPr>
          <w:i/>
          <w:color w:val="54883D"/>
          <w:sz w:val="20"/>
          <w:szCs w:val="18"/>
        </w:rPr>
        <w:t xml:space="preserve">Izvor: Plan ukupnog razvoja Grada </w:t>
      </w:r>
      <w:r>
        <w:rPr>
          <w:i/>
          <w:color w:val="54883D"/>
          <w:sz w:val="20"/>
          <w:szCs w:val="18"/>
        </w:rPr>
        <w:t>Malog Lošinja 2013.- 2020., siječanj 2013.</w:t>
      </w:r>
    </w:p>
    <w:p w:rsidR="00A07D92" w:rsidRDefault="00495E63">
      <w:pPr>
        <w:rPr>
          <w:b/>
          <w:bCs/>
        </w:rPr>
      </w:pPr>
      <w:r>
        <w:rPr>
          <w:b/>
          <w:bCs/>
        </w:rPr>
        <w:t>Državna cesta D100</w:t>
      </w:r>
    </w:p>
    <w:p w:rsidR="00A07D92" w:rsidRDefault="00495E63">
      <w:r>
        <w:t>Glavna otočka cestovna arterija nema zadovoljavajuće elemente u tehničkom, prometnom i sigurnosnom pogledu. Tehnički elementi kao što su horizontalne i vertikalne krivine, uzdužni nagibi, širina</w:t>
      </w:r>
      <w:r>
        <w:t xml:space="preserve"> kolnika i nosivost kolničke konstrukcije nisu u skladu sa standardima određenim za kategoriju državne ceste. Najviše dolazi do izražaja nedovoljna širina kolnika, koja na najvećem dijelu prometnice ne prelazi 5 m. Također, građevinsko je stanje na većem d</w:t>
      </w:r>
      <w:r>
        <w:t xml:space="preserve">ijelu prometnice loše. </w:t>
      </w:r>
    </w:p>
    <w:p w:rsidR="00A07D92" w:rsidRDefault="00495E63">
      <w:r>
        <w:t xml:space="preserve">Posebni problem ove ceste je vezan na uvijek prisutnu mogućnost trajnog zagađenja voda jezera Vrana jer čitavom njegovom dužinom, trasa prolazi trećom odnosno drugom vodo zaštitnom zonom. Na prostoru Grada Maloga Lošinja prometnica </w:t>
      </w:r>
      <w:r>
        <w:t xml:space="preserve">prolazi kroz naselja </w:t>
      </w:r>
      <w:proofErr w:type="spellStart"/>
      <w:r>
        <w:t>Belej</w:t>
      </w:r>
      <w:proofErr w:type="spellEnd"/>
      <w:r>
        <w:t xml:space="preserve">, </w:t>
      </w:r>
      <w:proofErr w:type="spellStart"/>
      <w:r>
        <w:t>Osor</w:t>
      </w:r>
      <w:proofErr w:type="spellEnd"/>
      <w:r>
        <w:t xml:space="preserve">. U </w:t>
      </w:r>
      <w:proofErr w:type="spellStart"/>
      <w:r>
        <w:t>Osoru</w:t>
      </w:r>
      <w:proofErr w:type="spellEnd"/>
      <w:r>
        <w:t xml:space="preserve"> i na </w:t>
      </w:r>
      <w:proofErr w:type="spellStart"/>
      <w:r>
        <w:t>Privlaci</w:t>
      </w:r>
      <w:proofErr w:type="spellEnd"/>
      <w:r>
        <w:t>, neposredno pred ulazom u Mali Lošinj, cesta prelazi preko morskih tjesnaca koji su premošćeni niskim pokretnim mostovima. Ta mjesta predstavljaju uska grla, jer se periodično zaustavlja cestovni prom</w:t>
      </w:r>
      <w:r>
        <w:t>et kad se kroz tjesnac propuštaju plovila. Taj je problem naročito izražen u ljetnim mjesecima, kad i cestovni i pomorski promet imaju znatno pojačan intenzitet.</w:t>
      </w:r>
    </w:p>
    <w:p w:rsidR="00A07D92" w:rsidRDefault="00495E63">
      <w:pPr>
        <w:rPr>
          <w:b/>
          <w:bCs/>
        </w:rPr>
      </w:pPr>
      <w:r>
        <w:rPr>
          <w:b/>
          <w:bCs/>
        </w:rPr>
        <w:t>Županijske i lokalne ceste</w:t>
      </w:r>
    </w:p>
    <w:p w:rsidR="00A07D92" w:rsidRDefault="00495E63">
      <w:r>
        <w:t>Sustav županijskih i lokalnih cesta na prostoru otoka Lošinja ne za</w:t>
      </w:r>
      <w:r>
        <w:t xml:space="preserve">dovoljava u potpunosti, kako u pogledu razvijenosti mreže, tako ni u pogledu prometno - tehničkih elemenata, sigurnosti i građevinskog stanja kolnika. </w:t>
      </w:r>
    </w:p>
    <w:p w:rsidR="00A07D92" w:rsidRDefault="00495E63">
      <w:r>
        <w:t>U Velom Lošinju je prometna situacija vrlo loša, posebno u jugoistočnom dijelu. Do mjesta vodi županijsk</w:t>
      </w:r>
      <w:r>
        <w:t xml:space="preserve">a cesta (Ž5161), koja završava u središtu naselja. Samo naselje ispresijecano je mrežom uskih uličica koje prilikom većeg prometnog opterećenja nemaju dovoljnu protočnost, a također se javlja i konflikt između kolnog i pješačkog prometa. Županijska cesta </w:t>
      </w:r>
      <w:r>
        <w:lastRenderedPageBreak/>
        <w:t>Ž</w:t>
      </w:r>
      <w:r>
        <w:t xml:space="preserve">5160 završava u hotelskom kompleksu Sunčana uvala na neadekvatan način, na kraju ceste ne postoji okretište niti proširenje, pa je okretanje vozila, posebno autobusa, znatno otežano. Lokalna cesta prema Punta </w:t>
      </w:r>
      <w:proofErr w:type="spellStart"/>
      <w:r>
        <w:t>Križi</w:t>
      </w:r>
      <w:proofErr w:type="spellEnd"/>
      <w:r>
        <w:t xml:space="preserve"> (L58101) ima nedovoljnu širinu kolnika (n</w:t>
      </w:r>
      <w:r>
        <w:t xml:space="preserve">a najvećem dijelu širina ne prelazi 3 m), a na pojedinim dionicama ima i vrlo loše horizontalne elemente. Pristupna cesta naselja </w:t>
      </w:r>
      <w:proofErr w:type="spellStart"/>
      <w:r>
        <w:t>Artatore</w:t>
      </w:r>
      <w:proofErr w:type="spellEnd"/>
      <w:r>
        <w:t xml:space="preserve"> također nema zadovoljavajuće karakteristike i na približno polovici duljine prolazi kroz samo naselje. U tijeku je iz</w:t>
      </w:r>
      <w:r>
        <w:t xml:space="preserve">gradnja infrastrukture i ceste prema luci </w:t>
      </w:r>
      <w:proofErr w:type="spellStart"/>
      <w:r>
        <w:t>Mrtvaškoj</w:t>
      </w:r>
      <w:proofErr w:type="spellEnd"/>
      <w:r>
        <w:t xml:space="preserve">. Na otoku Susku nema asfalta niti automobila kao i na ostalim naseljenim otocima Unije, Ilovik, Male i Vele </w:t>
      </w:r>
      <w:proofErr w:type="spellStart"/>
      <w:r>
        <w:t>Srakane</w:t>
      </w:r>
      <w:proofErr w:type="spellEnd"/>
      <w:r>
        <w:t>.</w:t>
      </w:r>
    </w:p>
    <w:p w:rsidR="00A07D92" w:rsidRDefault="00495E63">
      <w:pPr>
        <w:rPr>
          <w:b/>
          <w:bCs/>
        </w:rPr>
      </w:pPr>
      <w:r>
        <w:rPr>
          <w:b/>
          <w:bCs/>
        </w:rPr>
        <w:t>Nerazvrstane ceste</w:t>
      </w:r>
    </w:p>
    <w:p w:rsidR="00A07D92" w:rsidRDefault="00495E63">
      <w:r>
        <w:t>Na prostoru Grada Malog Lošinja i Grada Cresa izgrađene su brojne ne</w:t>
      </w:r>
      <w:r>
        <w:t>razvrstane prometnice koje su najčešće ulice u naseljima. Ukupna duljina nerazvrstanih cesta na području Grada Malog Lošinja iznosi 322,47 km.</w:t>
      </w:r>
    </w:p>
    <w:p w:rsidR="00A07D92" w:rsidRDefault="00495E63">
      <w:pPr>
        <w:pStyle w:val="Opisslike"/>
        <w:spacing w:after="0"/>
      </w:pPr>
      <w:r>
        <w:t xml:space="preserve">Tablica </w:t>
      </w:r>
      <w:r>
        <w:fldChar w:fldCharType="begin"/>
      </w:r>
      <w:r>
        <w:instrText>SEQ Tabela \* ARABIC</w:instrText>
      </w:r>
      <w:r>
        <w:fldChar w:fldCharType="separate"/>
      </w:r>
      <w:r>
        <w:t>4</w:t>
      </w:r>
      <w:r>
        <w:fldChar w:fldCharType="end"/>
      </w:r>
      <w:r>
        <w:t>. Nerazvrstane ceste sortirane po naseljima</w:t>
      </w:r>
    </w:p>
    <w:tbl>
      <w:tblPr>
        <w:tblW w:w="6439" w:type="dxa"/>
        <w:jc w:val="center"/>
        <w:tblLook w:val="04A0" w:firstRow="1" w:lastRow="0" w:firstColumn="1" w:lastColumn="0" w:noHBand="0" w:noVBand="1"/>
      </w:tblPr>
      <w:tblGrid>
        <w:gridCol w:w="982"/>
        <w:gridCol w:w="2794"/>
        <w:gridCol w:w="2663"/>
      </w:tblGrid>
      <w:tr w:rsidR="00A07D92">
        <w:trPr>
          <w:cantSplit/>
          <w:trHeight w:val="340"/>
          <w:tblHeader/>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b/>
                <w:color w:val="000000"/>
                <w:sz w:val="20"/>
                <w:lang w:eastAsia="hr-HR"/>
              </w:rPr>
            </w:pPr>
            <w:r>
              <w:rPr>
                <w:b/>
                <w:color w:val="000000"/>
                <w:sz w:val="20"/>
                <w:lang w:eastAsia="hr-HR"/>
              </w:rPr>
              <w:t>R.BR.</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b/>
                <w:color w:val="000000"/>
                <w:sz w:val="20"/>
                <w:lang w:eastAsia="hr-HR"/>
              </w:rPr>
            </w:pPr>
            <w:r>
              <w:rPr>
                <w:b/>
                <w:color w:val="000000"/>
                <w:sz w:val="20"/>
                <w:lang w:eastAsia="hr-HR"/>
              </w:rPr>
              <w:t>NASELJE</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b/>
                <w:color w:val="000000"/>
                <w:sz w:val="20"/>
                <w:lang w:eastAsia="hr-HR"/>
              </w:rPr>
            </w:pPr>
            <w:r>
              <w:rPr>
                <w:b/>
                <w:color w:val="000000"/>
                <w:sz w:val="20"/>
                <w:lang w:eastAsia="hr-HR"/>
              </w:rPr>
              <w:t>DULJINA (m)</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proofErr w:type="spellStart"/>
            <w:r>
              <w:rPr>
                <w:color w:val="000000"/>
                <w:sz w:val="20"/>
                <w:lang w:eastAsia="hr-HR"/>
              </w:rPr>
              <w:t>Belej</w:t>
            </w:r>
            <w:proofErr w:type="spellEnd"/>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17.373</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2.</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proofErr w:type="spellStart"/>
            <w:r>
              <w:rPr>
                <w:color w:val="000000"/>
                <w:sz w:val="20"/>
                <w:lang w:eastAsia="hr-HR"/>
              </w:rPr>
              <w:t>Ćunski</w:t>
            </w:r>
            <w:proofErr w:type="spellEnd"/>
            <w:r>
              <w:rPr>
                <w:color w:val="000000"/>
                <w:sz w:val="20"/>
                <w:lang w:eastAsia="hr-HR"/>
              </w:rPr>
              <w:t xml:space="preserve"> s </w:t>
            </w:r>
            <w:proofErr w:type="spellStart"/>
            <w:r>
              <w:rPr>
                <w:color w:val="000000"/>
                <w:sz w:val="20"/>
                <w:lang w:eastAsia="hr-HR"/>
              </w:rPr>
              <w:t>Artatorem</w:t>
            </w:r>
            <w:proofErr w:type="spellEnd"/>
            <w:r>
              <w:rPr>
                <w:color w:val="000000"/>
                <w:sz w:val="20"/>
                <w:lang w:eastAsia="hr-HR"/>
              </w:rPr>
              <w:t xml:space="preserve"> i </w:t>
            </w:r>
            <w:proofErr w:type="spellStart"/>
            <w:r>
              <w:rPr>
                <w:color w:val="000000"/>
                <w:sz w:val="20"/>
                <w:lang w:eastAsia="hr-HR"/>
              </w:rPr>
              <w:t>Kandijom</w:t>
            </w:r>
            <w:proofErr w:type="spellEnd"/>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39.608</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3.</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Ilovik</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26.052</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4.</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 xml:space="preserve">Male </w:t>
            </w:r>
            <w:proofErr w:type="spellStart"/>
            <w:r>
              <w:rPr>
                <w:color w:val="000000"/>
                <w:sz w:val="20"/>
                <w:lang w:eastAsia="hr-HR"/>
              </w:rPr>
              <w:t>Srakane</w:t>
            </w:r>
            <w:proofErr w:type="spellEnd"/>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929</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5.</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Mali Lošinj</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71.467</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6.</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proofErr w:type="spellStart"/>
            <w:r>
              <w:rPr>
                <w:color w:val="000000"/>
                <w:sz w:val="20"/>
                <w:lang w:eastAsia="hr-HR"/>
              </w:rPr>
              <w:t>Nerezine</w:t>
            </w:r>
            <w:proofErr w:type="spellEnd"/>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25.479</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7.</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proofErr w:type="spellStart"/>
            <w:r>
              <w:rPr>
                <w:color w:val="000000"/>
                <w:sz w:val="20"/>
                <w:lang w:eastAsia="hr-HR"/>
              </w:rPr>
              <w:t>Osor</w:t>
            </w:r>
            <w:proofErr w:type="spellEnd"/>
            <w:r>
              <w:rPr>
                <w:color w:val="000000"/>
                <w:sz w:val="20"/>
                <w:lang w:eastAsia="hr-HR"/>
              </w:rPr>
              <w:t xml:space="preserve"> </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13.274</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8.</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Punta Križa</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32.253</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9.</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 xml:space="preserve">Susak </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15.160</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10.</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Sveti Jakov</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3.761</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11.</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 xml:space="preserve">Unije </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26.777</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12.</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proofErr w:type="spellStart"/>
            <w:r>
              <w:rPr>
                <w:color w:val="000000"/>
                <w:sz w:val="20"/>
                <w:lang w:eastAsia="hr-HR"/>
              </w:rPr>
              <w:t>Ustrine</w:t>
            </w:r>
            <w:proofErr w:type="spellEnd"/>
            <w:r>
              <w:rPr>
                <w:color w:val="000000"/>
                <w:sz w:val="20"/>
                <w:lang w:eastAsia="hr-HR"/>
              </w:rPr>
              <w:t xml:space="preserve"> </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10.323</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13.</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 xml:space="preserve">Vele </w:t>
            </w:r>
            <w:proofErr w:type="spellStart"/>
            <w:r>
              <w:rPr>
                <w:color w:val="000000"/>
                <w:sz w:val="20"/>
                <w:lang w:eastAsia="hr-HR"/>
              </w:rPr>
              <w:t>Srakane</w:t>
            </w:r>
            <w:proofErr w:type="spellEnd"/>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963</w:t>
            </w:r>
          </w:p>
        </w:tc>
      </w:tr>
      <w:tr w:rsidR="00A07D92">
        <w:trPr>
          <w:cantSplit/>
          <w:trHeight w:val="340"/>
          <w:jc w:val="center"/>
        </w:trPr>
        <w:tc>
          <w:tcPr>
            <w:tcW w:w="9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14.</w:t>
            </w:r>
          </w:p>
        </w:tc>
        <w:tc>
          <w:tcPr>
            <w:tcW w:w="27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Veli Lošinj</w:t>
            </w: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color w:val="000000"/>
                <w:sz w:val="20"/>
                <w:lang w:eastAsia="hr-HR"/>
              </w:rPr>
              <w:t>39.050</w:t>
            </w:r>
          </w:p>
        </w:tc>
      </w:tr>
      <w:tr w:rsidR="00A07D92">
        <w:trPr>
          <w:cantSplit/>
          <w:trHeight w:val="340"/>
          <w:jc w:val="center"/>
        </w:trPr>
        <w:tc>
          <w:tcPr>
            <w:tcW w:w="3776"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pStyle w:val="Tijeloteksta2"/>
              <w:spacing w:before="0" w:after="0" w:line="276" w:lineRule="auto"/>
              <w:jc w:val="center"/>
              <w:rPr>
                <w:color w:val="000000"/>
                <w:sz w:val="20"/>
                <w:lang w:eastAsia="hr-HR"/>
              </w:rPr>
            </w:pPr>
          </w:p>
        </w:tc>
        <w:tc>
          <w:tcPr>
            <w:tcW w:w="26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before="0" w:after="0" w:line="276" w:lineRule="auto"/>
              <w:jc w:val="center"/>
              <w:rPr>
                <w:color w:val="000000"/>
                <w:sz w:val="20"/>
                <w:lang w:eastAsia="hr-HR"/>
              </w:rPr>
            </w:pPr>
            <w:r>
              <w:rPr>
                <w:b/>
                <w:color w:val="000000"/>
                <w:sz w:val="20"/>
                <w:lang w:eastAsia="hr-HR"/>
              </w:rPr>
              <w:t>UKUPNO:  322.47</w:t>
            </w:r>
          </w:p>
        </w:tc>
      </w:tr>
    </w:tbl>
    <w:p w:rsidR="00A07D92" w:rsidRDefault="00495E63">
      <w:pPr>
        <w:spacing w:before="120" w:after="120"/>
        <w:jc w:val="center"/>
        <w:rPr>
          <w:i/>
          <w:color w:val="54883D"/>
          <w:sz w:val="20"/>
          <w:szCs w:val="18"/>
        </w:rPr>
      </w:pPr>
      <w:r>
        <w:rPr>
          <w:i/>
          <w:color w:val="54883D"/>
          <w:sz w:val="20"/>
          <w:szCs w:val="18"/>
        </w:rPr>
        <w:t>Izvor: Službene novine PGŽ, (8/15, 101/15)</w:t>
      </w:r>
    </w:p>
    <w:p w:rsidR="00A07D92" w:rsidRDefault="00A07D92">
      <w:pPr>
        <w:jc w:val="center"/>
      </w:pPr>
    </w:p>
    <w:p w:rsidR="00A07D92" w:rsidRDefault="00495E63">
      <w:pPr>
        <w:rPr>
          <w:i/>
          <w:szCs w:val="22"/>
          <w:u w:val="single"/>
        </w:rPr>
      </w:pPr>
      <w:r>
        <w:rPr>
          <w:i/>
          <w:szCs w:val="22"/>
          <w:u w:val="single"/>
        </w:rPr>
        <w:t>Pomorski promet</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Plovni putovi u </w:t>
      </w:r>
      <w:proofErr w:type="spellStart"/>
      <w:r>
        <w:t>akvatoriju</w:t>
      </w:r>
      <w:proofErr w:type="spellEnd"/>
      <w:r>
        <w:t xml:space="preserve"> otoka utvrđeni su prema regulaciji plovidbe na Jadranu: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središnji jadranski plovni put za velike brodove (tankere i brodove s opasnim teretom),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prekomorski plovni put,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duž obalni plovni put; posebno za srednje posebno za male brodove te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ruta za obalne tankere u </w:t>
      </w:r>
      <w:proofErr w:type="spellStart"/>
      <w:r>
        <w:t>razvozu</w:t>
      </w:r>
      <w:proofErr w:type="spellEnd"/>
      <w:r>
        <w:t xml:space="preserve">. </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Za brodove postoje plovne ru</w:t>
      </w:r>
      <w:r>
        <w:t xml:space="preserve">te između Cresa i Krka kao i plovna ruta tankera za plin malih tonaža i plovne rute trajekata za petrokemijski kompleks u Omišlju.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lastRenderedPageBreak/>
        <w:t>Luke na području Grada Malog Lošinja uglavnom su građene do II. svjetskog rata. U razdoblju nakon II. svjetskog rata luke su</w:t>
      </w:r>
      <w:r>
        <w:t xml:space="preserve"> sanirane, s ciljem postizanje zadovoljavajuće nosivosti i stabilnosti obale. Nakon uvođenja trajektnih linija luke su se uglavnom prestale koristiti za prekrcaj tereta te se i danas u njima pretežno odvija putnički promet.</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Sukladno Zakonu o morskim lukam</w:t>
      </w:r>
      <w:r>
        <w:t xml:space="preserve">a luke na prostoru Grada Malog Lošinja se po namjeni razvrstavaju na luke otvorene za javni promet i luke posebne namjene.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Županijska lučka uprava Mali Lošinj u svojoj nadležnosti ima četrnaest luka i lučica, od kojih je luka Mali Lošinj luka otvorena za </w:t>
      </w:r>
      <w:r>
        <w:t xml:space="preserve">cjelogodišnji međunarodni javni promet županijskog značaja, dok su ostale luke lokalnog značaja, a to su lučice: </w:t>
      </w:r>
      <w:proofErr w:type="spellStart"/>
      <w:r>
        <w:t>Baldarke</w:t>
      </w:r>
      <w:proofErr w:type="spellEnd"/>
      <w:r>
        <w:t xml:space="preserve">, </w:t>
      </w:r>
      <w:proofErr w:type="spellStart"/>
      <w:r>
        <w:t>Čikat</w:t>
      </w:r>
      <w:proofErr w:type="spellEnd"/>
      <w:r>
        <w:t xml:space="preserve">, Ilovik, </w:t>
      </w:r>
      <w:proofErr w:type="spellStart"/>
      <w:r>
        <w:t>Jadrišćica</w:t>
      </w:r>
      <w:proofErr w:type="spellEnd"/>
      <w:r>
        <w:t xml:space="preserve">, </w:t>
      </w:r>
      <w:proofErr w:type="spellStart"/>
      <w:r>
        <w:t>Nerezine</w:t>
      </w:r>
      <w:proofErr w:type="spellEnd"/>
      <w:r>
        <w:t xml:space="preserve">, </w:t>
      </w:r>
      <w:proofErr w:type="spellStart"/>
      <w:r>
        <w:t>Mrtvaska</w:t>
      </w:r>
      <w:proofErr w:type="spellEnd"/>
      <w:r>
        <w:t xml:space="preserve">, </w:t>
      </w:r>
      <w:proofErr w:type="spellStart"/>
      <w:r>
        <w:t>Osor</w:t>
      </w:r>
      <w:proofErr w:type="spellEnd"/>
      <w:r>
        <w:t xml:space="preserve">, </w:t>
      </w:r>
      <w:proofErr w:type="spellStart"/>
      <w:r>
        <w:t>Rovenska</w:t>
      </w:r>
      <w:proofErr w:type="spellEnd"/>
      <w:r>
        <w:t xml:space="preserve">, </w:t>
      </w:r>
      <w:proofErr w:type="spellStart"/>
      <w:r>
        <w:t>Srakane</w:t>
      </w:r>
      <w:proofErr w:type="spellEnd"/>
      <w:r>
        <w:t xml:space="preserve"> Vele, Sv. Martin, Susak, Unije i Veli Lošinj. Naredbom Ministr</w:t>
      </w:r>
      <w:r>
        <w:t xml:space="preserve">a mora, prometa i infrastrukture o razvrstaju luka otvorenih za javni promet na području PGŽ, ŽLU Mali Lošinj dodijeljeno je 7 novih luka i to: </w:t>
      </w:r>
      <w:proofErr w:type="spellStart"/>
      <w:r>
        <w:t>Koromačno</w:t>
      </w:r>
      <w:proofErr w:type="spellEnd"/>
      <w:r>
        <w:t xml:space="preserve">, </w:t>
      </w:r>
      <w:proofErr w:type="spellStart"/>
      <w:r>
        <w:t>Ul</w:t>
      </w:r>
      <w:proofErr w:type="spellEnd"/>
      <w:r>
        <w:t xml:space="preserve">, </w:t>
      </w:r>
      <w:proofErr w:type="spellStart"/>
      <w:r>
        <w:t>Bijar</w:t>
      </w:r>
      <w:proofErr w:type="spellEnd"/>
      <w:r>
        <w:t xml:space="preserve">, </w:t>
      </w:r>
      <w:proofErr w:type="spellStart"/>
      <w:r>
        <w:t>Ufratar</w:t>
      </w:r>
      <w:proofErr w:type="spellEnd"/>
      <w:r>
        <w:t xml:space="preserve">, Studenac, Ružmarinka i </w:t>
      </w:r>
      <w:proofErr w:type="spellStart"/>
      <w:r>
        <w:t>Maračol</w:t>
      </w:r>
      <w:proofErr w:type="spellEnd"/>
      <w:r>
        <w:t>. Nadležnost Županijske lučke uprave Mali Lošinj pr</w:t>
      </w:r>
      <w:r>
        <w:t xml:space="preserve">ostire se na šest otoka cresko-lošinjskog arhipelaga. Lučka uprava je neprofitna pravna osoba čije je osnivanje, ustrojstvo i djelatnost uređeno Zakonom o pomorskom dobru i morskim lukama. </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U segmentu pomorskog prometa nisu iskorištene mogućnosti značajnijeg učešća modernijih i bržih plovila u prometnom povezivanju naselja na području Grada među sobom i s drugim središtima. Mogućnost poboljšanja prometne povezanosti Grada Malog Lošinja s kopn</w:t>
      </w:r>
      <w:r>
        <w:t xml:space="preserve">om te s ostalim otocima u vlastitoj i ostalim županijama leži u alternativnom trajektnom povezivanju s Istrom te s Rabom, Pagom i Zadrom.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Dogradnjom i rekonstrukcijom postojeće mreže lokalnih prometnica te razvojem javnog prijevoza omogućilo bi se kvalite</w:t>
      </w:r>
      <w:r>
        <w:t>tnije povezivanje svih naselja. Postupak za rekonstrukciju i dogradnju luka Unije i Susak je u završnoj fazi.</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Mogućnosti pomorskoga prometa nisu iscrpljene trajektnim linijama iz luka </w:t>
      </w:r>
      <w:proofErr w:type="spellStart"/>
      <w:r>
        <w:t>Porozina</w:t>
      </w:r>
      <w:proofErr w:type="spellEnd"/>
      <w:r>
        <w:t xml:space="preserve"> i </w:t>
      </w:r>
      <w:proofErr w:type="spellStart"/>
      <w:r>
        <w:t>Merag</w:t>
      </w:r>
      <w:proofErr w:type="spellEnd"/>
      <w:r>
        <w:t xml:space="preserve">, već na obali otoka postoji mreža manjih luka i lučica </w:t>
      </w:r>
      <w:r>
        <w:t xml:space="preserve">poput: Cresa i Martinšćice koji sudjeluju u brzo brodskom servisu, te </w:t>
      </w:r>
      <w:proofErr w:type="spellStart"/>
      <w:r>
        <w:t>Osora</w:t>
      </w:r>
      <w:proofErr w:type="spellEnd"/>
      <w:r>
        <w:t xml:space="preserve">, </w:t>
      </w:r>
      <w:proofErr w:type="spellStart"/>
      <w:r>
        <w:t>Nerezina</w:t>
      </w:r>
      <w:proofErr w:type="spellEnd"/>
      <w:r>
        <w:t xml:space="preserve">, </w:t>
      </w:r>
      <w:proofErr w:type="spellStart"/>
      <w:r>
        <w:t>Velog</w:t>
      </w:r>
      <w:proofErr w:type="spellEnd"/>
      <w:r>
        <w:t xml:space="preserve"> Lošinja i </w:t>
      </w:r>
      <w:proofErr w:type="spellStart"/>
      <w:r>
        <w:t>Punte</w:t>
      </w:r>
      <w:proofErr w:type="spellEnd"/>
      <w:r>
        <w:t xml:space="preserve"> Križa, koje su ishodišta izletničkoga turizma a također mogu pridonijeti boljoj povezanosti s kopnom (posebice luka Cres ili luke </w:t>
      </w:r>
      <w:proofErr w:type="spellStart"/>
      <w:r>
        <w:t>Mrtvaska</w:t>
      </w:r>
      <w:proofErr w:type="spellEnd"/>
      <w:r>
        <w:t>, Sv. Mar</w:t>
      </w:r>
      <w:r>
        <w:t xml:space="preserve">tin ili </w:t>
      </w:r>
      <w:proofErr w:type="spellStart"/>
      <w:r>
        <w:t>Rovenska</w:t>
      </w:r>
      <w:proofErr w:type="spellEnd"/>
      <w:r>
        <w:t xml:space="preserve"> kao poveznice s Rabom, Pagom i Zadrom).</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Luka Mali Lošinj smještena je u velikome i dobro zaštićenome </w:t>
      </w:r>
      <w:proofErr w:type="spellStart"/>
      <w:r>
        <w:t>akvatoriju</w:t>
      </w:r>
      <w:proofErr w:type="spellEnd"/>
      <w:r>
        <w:t xml:space="preserve"> te ima infrastrukturu za prihvat trajekata, ribarskih, putničkih i izletničkih brodova i jahti, a također je otvorena za međun</w:t>
      </w:r>
      <w:r>
        <w:t>arodni promet. Štoviše Mali Lošinj je ishodište prometne povezanosti brojnih otoka PGŽ i Zadarske županije, budući da u toj luci prometuju:</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brzo brodske linije: </w:t>
      </w:r>
    </w:p>
    <w:p w:rsidR="00A07D92" w:rsidRDefault="00495E63">
      <w:pPr>
        <w:pStyle w:val="Odlomakpopisa"/>
        <w:numPr>
          <w:ilvl w:val="0"/>
          <w:numId w:val="2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pPr>
      <w:r>
        <w:t xml:space="preserve">Mali Lošinj – Ilovik - Susak – Unije – Martinšćica – Cres – Rijeka (i obrnuto) </w:t>
      </w:r>
    </w:p>
    <w:p w:rsidR="00A07D92" w:rsidRDefault="00495E63">
      <w:pPr>
        <w:pStyle w:val="Odlomakpopisa"/>
        <w:numPr>
          <w:ilvl w:val="0"/>
          <w:numId w:val="2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pPr>
      <w:r>
        <w:t>Rijeka-Rab-V</w:t>
      </w:r>
      <w:r>
        <w:t>eli Lošinj - Novalja - Zadar</w:t>
      </w:r>
    </w:p>
    <w:p w:rsidR="00A07D92" w:rsidRDefault="00495E63">
      <w:pPr>
        <w:pStyle w:val="Odlomakpopisa"/>
        <w:numPr>
          <w:ilvl w:val="0"/>
          <w:numId w:val="2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pPr>
      <w:r>
        <w:t xml:space="preserve">Pula – Unije – Susak - Mali Lošinj – Ilovik – Silba – Zadar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brodske linije: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Mali Lošinj – Unije – Vele </w:t>
      </w:r>
      <w:proofErr w:type="spellStart"/>
      <w:r>
        <w:t>Srakane</w:t>
      </w:r>
      <w:proofErr w:type="spellEnd"/>
      <w:r>
        <w:t xml:space="preserve"> – Susak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Ilovik – </w:t>
      </w:r>
      <w:proofErr w:type="spellStart"/>
      <w:r>
        <w:t>Mrtvaška</w:t>
      </w:r>
      <w:proofErr w:type="spellEnd"/>
      <w:r>
        <w:t xml:space="preserve"> – Mali Lošinj</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jedna trajektna linija: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w:t>
      </w:r>
      <w:r>
        <w:t xml:space="preserve">Mali Lošinj – </w:t>
      </w:r>
      <w:proofErr w:type="spellStart"/>
      <w:r>
        <w:t>Premuda</w:t>
      </w:r>
      <w:proofErr w:type="spellEnd"/>
      <w:r>
        <w:t xml:space="preserve"> – Silba – Olib - </w:t>
      </w:r>
      <w:proofErr w:type="spellStart"/>
      <w:r>
        <w:t>Ist</w:t>
      </w:r>
      <w:proofErr w:type="spellEnd"/>
      <w:r>
        <w:t xml:space="preserve"> - Zadar;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dvije sezonske međunarodne </w:t>
      </w:r>
      <w:proofErr w:type="spellStart"/>
      <w:r>
        <w:t>brzobrodske</w:t>
      </w:r>
      <w:proofErr w:type="spellEnd"/>
      <w:r>
        <w:t xml:space="preserve"> linije: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w:t>
      </w:r>
      <w:proofErr w:type="spellStart"/>
      <w:r>
        <w:t>Venezia</w:t>
      </w:r>
      <w:proofErr w:type="spellEnd"/>
      <w:r>
        <w:t xml:space="preserve"> – Pula – Mali Lošinj;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 </w:t>
      </w:r>
      <w:proofErr w:type="spellStart"/>
      <w:r>
        <w:t>Cesenatico</w:t>
      </w:r>
      <w:proofErr w:type="spellEnd"/>
      <w:r>
        <w:t xml:space="preserve"> – </w:t>
      </w:r>
      <w:proofErr w:type="spellStart"/>
      <w:r>
        <w:t>Rimini</w:t>
      </w:r>
      <w:proofErr w:type="spellEnd"/>
      <w:r>
        <w:t xml:space="preserve"> – </w:t>
      </w:r>
      <w:proofErr w:type="spellStart"/>
      <w:r>
        <w:t>Pesaro</w:t>
      </w:r>
      <w:proofErr w:type="spellEnd"/>
      <w:r>
        <w:t xml:space="preserve"> - Mali Lošinj</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Za sve se postojeće luke otvorene za javni promet može reći da su ograniče</w:t>
      </w:r>
      <w:r>
        <w:t xml:space="preserve">nog kapaciteta i mogućnosti za prihvat modernih i većih plovnih jedinica. Mali Lošinj je danas povezan redovnom brodskom linijom s Ilovikom-Velim </w:t>
      </w:r>
      <w:proofErr w:type="spellStart"/>
      <w:r>
        <w:t>SrakanamaSuskom</w:t>
      </w:r>
      <w:proofErr w:type="spellEnd"/>
      <w:r>
        <w:t>-Unijama-Martinšćicom-</w:t>
      </w:r>
      <w:proofErr w:type="spellStart"/>
      <w:r>
        <w:t>Cresom</w:t>
      </w:r>
      <w:proofErr w:type="spellEnd"/>
      <w:r>
        <w:t xml:space="preserve"> i Rijekom. Jednom tjedno Mali Lošinj povezan je sa Zadrom (Mali Lo</w:t>
      </w:r>
      <w:r>
        <w:t xml:space="preserve">šinj – </w:t>
      </w:r>
      <w:proofErr w:type="spellStart"/>
      <w:r>
        <w:t>Premuda</w:t>
      </w:r>
      <w:proofErr w:type="spellEnd"/>
      <w:r>
        <w:t xml:space="preserve"> – Silba – Olib – </w:t>
      </w:r>
      <w:proofErr w:type="spellStart"/>
      <w:r>
        <w:t>Ist</w:t>
      </w:r>
      <w:proofErr w:type="spellEnd"/>
      <w:r>
        <w:t xml:space="preserve"> – Zadar i obrnuto).</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rPr>
          <w:i/>
          <w:iCs/>
          <w:u w:val="single"/>
        </w:rPr>
      </w:pPr>
      <w:r>
        <w:rPr>
          <w:i/>
          <w:iCs/>
          <w:u w:val="single"/>
        </w:rPr>
        <w:t xml:space="preserve">Zračne luke </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Zračno pristanište Mali Lošinj je aerodrom registriran za javni domaći i međunarodni promet. Ima uzletno-sletnu stazu dužine 900 m, širine 30 m, kodne oznake 2B prema ICAO-u. Staza je i</w:t>
      </w:r>
      <w:r>
        <w:t>nstrumentalna, za neprecizni prilaz, a dužinom zadovoljava uvjete za slijetanje i uzlijetanje STOL (</w:t>
      </w:r>
      <w:proofErr w:type="spellStart"/>
      <w:r>
        <w:t>Short</w:t>
      </w:r>
      <w:proofErr w:type="spellEnd"/>
      <w:r>
        <w:t xml:space="preserve"> </w:t>
      </w:r>
      <w:proofErr w:type="spellStart"/>
      <w:r>
        <w:t>take</w:t>
      </w:r>
      <w:proofErr w:type="spellEnd"/>
      <w:r>
        <w:t xml:space="preserve"> </w:t>
      </w:r>
      <w:proofErr w:type="spellStart"/>
      <w:r>
        <w:t>off</w:t>
      </w:r>
      <w:proofErr w:type="spellEnd"/>
      <w:r>
        <w:t xml:space="preserve"> </w:t>
      </w:r>
      <w:proofErr w:type="spellStart"/>
      <w:r>
        <w:t>and</w:t>
      </w:r>
      <w:proofErr w:type="spellEnd"/>
      <w:r>
        <w:t xml:space="preserve"> </w:t>
      </w:r>
      <w:proofErr w:type="spellStart"/>
      <w:r>
        <w:t>landing</w:t>
      </w:r>
      <w:proofErr w:type="spellEnd"/>
      <w:r>
        <w:t xml:space="preserve"> – kratko uzlijetanje i slijetanje) aviona. Uzletno-sletna staza je izgrađena od asfalta, kao i staze za vožnju. Dvije staze za vo</w:t>
      </w:r>
      <w:r>
        <w:t xml:space="preserve">žnju su postavljene pod 45° u odnosu na uzletno-sletnu stazu i zadovoljavaju sadašnji promet malih aviona. Zračno pristanište je osposobljeno za dnevno letenje. </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Aerodrom Mali Lošinj kapacitetima uglavnom zadovoljava razinu postojećeg prometa, oko 10 tisuća putnika godišnje. S motrišta sigurnosti je potrebno unaprijediti stazu iz ne instrumentalne u stazu za neprecizni prilaz i otkupiti zemljište za širu osnovnu st</w:t>
      </w:r>
      <w:r>
        <w:t xml:space="preserve">azu, poravnati je i ograditi aerodrom.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Prognoza prometa putnika ukazuje na povećanje prema srednjoj prognozi gotovo 300% u slijedećih tridesetak godina. Glavno širenje aerodroma se planira temeljem širenja osnovne staze uzletno-sletne staze. Prostor oko a</w:t>
      </w:r>
      <w:r>
        <w:t xml:space="preserve">erodroma zbog konfiguracije terena ukazuje na ograničeno moguće širenje u svim pravcima uz prihvatljiva ulaganja. </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Aerodrom Mali Lošinj ima danas oko 25,3 ha. Da se zadovolje sigurnosni propisi vezani za širinu osnovne staze uzletno-sletne staze ali i za </w:t>
      </w:r>
      <w:r>
        <w:t>buduću paralelnu voznu stazu i da se osigura razvoj objekata i površina za promet od 35, eventualno i do 100 tisuća putnika godišnje biti će potrebno otkupiti oko 17 ha. U 2040. aerodrom bi trebao imati unutar ograde površinu oko 42 ha. Odlučeno je da se i</w:t>
      </w:r>
      <w:r>
        <w:t>de na produženje staze na 1.800 m i time uđe u referentni kod 3, površina unutar ograde će se povećati na oko 100 ha. Studije su pokazale da je prag rentabilnosti zračne luke za CTOL (</w:t>
      </w:r>
      <w:proofErr w:type="spellStart"/>
      <w:r>
        <w:t>conventional</w:t>
      </w:r>
      <w:proofErr w:type="spellEnd"/>
      <w:r>
        <w:t xml:space="preserve"> </w:t>
      </w:r>
      <w:proofErr w:type="spellStart"/>
      <w:r>
        <w:t>take</w:t>
      </w:r>
      <w:proofErr w:type="spellEnd"/>
      <w:r>
        <w:t xml:space="preserve"> </w:t>
      </w:r>
      <w:proofErr w:type="spellStart"/>
      <w:r>
        <w:t>off</w:t>
      </w:r>
      <w:proofErr w:type="spellEnd"/>
      <w:r>
        <w:t xml:space="preserve"> </w:t>
      </w:r>
      <w:proofErr w:type="spellStart"/>
      <w:r>
        <w:t>and</w:t>
      </w:r>
      <w:proofErr w:type="spellEnd"/>
      <w:r>
        <w:t xml:space="preserve"> </w:t>
      </w:r>
      <w:proofErr w:type="spellStart"/>
      <w:r>
        <w:t>landing</w:t>
      </w:r>
      <w:proofErr w:type="spellEnd"/>
      <w:r>
        <w:t xml:space="preserve"> – konvencionalno uzlijetanje i slijeta</w:t>
      </w:r>
      <w:r>
        <w:t xml:space="preserve">nje) avione oko pola milijuna putnika godišnje, a prognoze prometa za aerodrom Mali Lošinj su daleko ispod toga. Studija za Mali Lošinj je pokazala da bi bio rentabilan sa 100 tisuća putnika godišnje što nije neostvarivo. </w:t>
      </w: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r>
        <w:t xml:space="preserve">Prioritet je potreba produljenja </w:t>
      </w:r>
      <w:r>
        <w:t>piste na 1.800 m, proširenja stajanke za zrakoplove kao i izgradnja nove pristanišne zgrade, a realizaciji te namjere se već pridonijelo izradom potrebne projektne dokumentacije. Primorsko-goranska županija sudjeluje u financiranju ovog projekta.</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rPr>
          <w:i/>
          <w:iCs/>
          <w:u w:val="single"/>
        </w:rPr>
      </w:pPr>
      <w:bookmarkStart w:id="29" w:name="_GoBack"/>
      <w:proofErr w:type="spellStart"/>
      <w:r>
        <w:rPr>
          <w:i/>
          <w:iCs/>
          <w:u w:val="single"/>
        </w:rPr>
        <w:t>Letjeliš</w:t>
      </w:r>
      <w:r>
        <w:rPr>
          <w:i/>
          <w:iCs/>
          <w:u w:val="single"/>
        </w:rPr>
        <w:t>te</w:t>
      </w:r>
      <w:bookmarkEnd w:id="29"/>
      <w:proofErr w:type="spellEnd"/>
      <w:r>
        <w:rPr>
          <w:i/>
          <w:iCs/>
          <w:u w:val="single"/>
        </w:rPr>
        <w:t xml:space="preserve"> Unije</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
    <w:p w:rsidR="00A07D92" w:rsidRDefault="00495E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pPr>
      <w:proofErr w:type="spellStart"/>
      <w:r>
        <w:t>Letjelište</w:t>
      </w:r>
      <w:proofErr w:type="spellEnd"/>
      <w:r>
        <w:t xml:space="preserve"> Unije uređen je prostor pašnjaka u travnati aerodrom za male zrakoplove. Registrirano je kao javni aerodrom za domaći promet. Osposobljeno je za dnevno letenje, ali trenutno nije u funkciji. USS ima dužinu 850 m i širinu 30 m. Prema di</w:t>
      </w:r>
      <w:r>
        <w:t xml:space="preserve">menzijama spada u kodnu oznaku 1C. USS je ne instrumentalna. Može se koristi za dnevno letenje. Aerodrom je </w:t>
      </w:r>
      <w:r>
        <w:lastRenderedPageBreak/>
        <w:t>imovinsko-pravno u fazi rješavanja vlasništva u korist Malog Lošinja na način da se izvrši zamjena vlasništva svih parcela na aerodromu s novim na d</w:t>
      </w:r>
      <w:r>
        <w:t>rugoj lokaciji.</w:t>
      </w:r>
    </w:p>
    <w:p w:rsidR="00A07D92" w:rsidRDefault="00A07D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0"/>
        <w:rPr>
          <w:color w:val="auto"/>
          <w:kern w:val="2"/>
          <w:szCs w:val="22"/>
          <w:lang w:eastAsia="ar-SA"/>
        </w:rPr>
      </w:pPr>
    </w:p>
    <w:p w:rsidR="00A07D92" w:rsidRDefault="00495E63">
      <w:pPr>
        <w:pStyle w:val="Naslov2"/>
      </w:pPr>
      <w:bookmarkStart w:id="30" w:name="_Toc136522782"/>
      <w:bookmarkStart w:id="31" w:name="_Toc9596580"/>
      <w:r>
        <w:t>2.2 Društveno-politički pokazatelji</w:t>
      </w:r>
      <w:bookmarkEnd w:id="30"/>
      <w:bookmarkEnd w:id="31"/>
    </w:p>
    <w:p w:rsidR="00A07D92" w:rsidRDefault="00495E63">
      <w:pPr>
        <w:pStyle w:val="Naslov3"/>
      </w:pPr>
      <w:bookmarkStart w:id="32" w:name="_Toc136522783"/>
      <w:bookmarkStart w:id="33" w:name="_Toc9596581"/>
      <w:r>
        <w:t>2.2.1 Sjedišta upravnih tijela jedinice lokalne samouprave</w:t>
      </w:r>
      <w:bookmarkEnd w:id="32"/>
      <w:bookmarkEnd w:id="33"/>
    </w:p>
    <w:p w:rsidR="00A07D92" w:rsidRDefault="00495E63">
      <w:r>
        <w:t>Sjedište Grada Malog Lošinja nalazi se  na adresi Riva lošinjskih kapetana 7, 51550 Mali Lošinj.</w:t>
      </w:r>
    </w:p>
    <w:p w:rsidR="00A07D92" w:rsidRDefault="00495E63">
      <w:r>
        <w:t>Grad Mali Lošinj u samoupravnom djelokrugu obav</w:t>
      </w:r>
      <w:r>
        <w:t xml:space="preserve">lja poslove lokalnog značaja kojima se neposredno ostvaruju prava građana, koji nisu Ustavom ili zakonom dodijeljeni državnim tijelima i to osobito poslove koji se odnose na: </w:t>
      </w:r>
    </w:p>
    <w:p w:rsidR="00A07D92" w:rsidRDefault="00495E63">
      <w:pPr>
        <w:pStyle w:val="Odlomakpopisa"/>
        <w:numPr>
          <w:ilvl w:val="0"/>
          <w:numId w:val="20"/>
        </w:numPr>
        <w:spacing w:line="276" w:lineRule="auto"/>
        <w:rPr>
          <w:sz w:val="22"/>
        </w:rPr>
      </w:pPr>
      <w:r>
        <w:rPr>
          <w:sz w:val="22"/>
        </w:rPr>
        <w:t xml:space="preserve">uređenje naselja i stanovanje, </w:t>
      </w:r>
    </w:p>
    <w:p w:rsidR="00A07D92" w:rsidRDefault="00495E63">
      <w:pPr>
        <w:pStyle w:val="Odlomakpopisa"/>
        <w:numPr>
          <w:ilvl w:val="0"/>
          <w:numId w:val="20"/>
        </w:numPr>
        <w:spacing w:line="276" w:lineRule="auto"/>
        <w:rPr>
          <w:sz w:val="22"/>
        </w:rPr>
      </w:pPr>
      <w:r>
        <w:rPr>
          <w:sz w:val="22"/>
        </w:rPr>
        <w:t>prostorno i urbanističko planiranje,</w:t>
      </w:r>
    </w:p>
    <w:p w:rsidR="00A07D92" w:rsidRDefault="00495E63">
      <w:pPr>
        <w:pStyle w:val="Odlomakpopisa"/>
        <w:numPr>
          <w:ilvl w:val="0"/>
          <w:numId w:val="20"/>
        </w:numPr>
        <w:spacing w:line="276" w:lineRule="auto"/>
        <w:rPr>
          <w:sz w:val="22"/>
        </w:rPr>
      </w:pPr>
      <w:r>
        <w:rPr>
          <w:sz w:val="22"/>
        </w:rPr>
        <w:t>komunalno g</w:t>
      </w:r>
      <w:r>
        <w:rPr>
          <w:sz w:val="22"/>
        </w:rPr>
        <w:t>ospodarstvo,</w:t>
      </w:r>
    </w:p>
    <w:p w:rsidR="00A07D92" w:rsidRDefault="00495E63">
      <w:pPr>
        <w:pStyle w:val="Odlomakpopisa"/>
        <w:numPr>
          <w:ilvl w:val="0"/>
          <w:numId w:val="20"/>
        </w:numPr>
        <w:spacing w:line="276" w:lineRule="auto"/>
        <w:rPr>
          <w:sz w:val="22"/>
        </w:rPr>
      </w:pPr>
      <w:r>
        <w:rPr>
          <w:sz w:val="22"/>
        </w:rPr>
        <w:t xml:space="preserve">brigu o djeci, </w:t>
      </w:r>
    </w:p>
    <w:p w:rsidR="00A07D92" w:rsidRDefault="00495E63">
      <w:pPr>
        <w:pStyle w:val="Odlomakpopisa"/>
        <w:numPr>
          <w:ilvl w:val="0"/>
          <w:numId w:val="20"/>
        </w:numPr>
        <w:spacing w:line="276" w:lineRule="auto"/>
        <w:rPr>
          <w:sz w:val="22"/>
        </w:rPr>
      </w:pPr>
      <w:r>
        <w:rPr>
          <w:sz w:val="22"/>
        </w:rPr>
        <w:t>socijalnu skrb,</w:t>
      </w:r>
    </w:p>
    <w:p w:rsidR="00A07D92" w:rsidRDefault="00495E63">
      <w:pPr>
        <w:pStyle w:val="Odlomakpopisa"/>
        <w:numPr>
          <w:ilvl w:val="0"/>
          <w:numId w:val="20"/>
        </w:numPr>
        <w:spacing w:line="276" w:lineRule="auto"/>
        <w:rPr>
          <w:sz w:val="22"/>
        </w:rPr>
      </w:pPr>
      <w:r>
        <w:rPr>
          <w:sz w:val="22"/>
        </w:rPr>
        <w:t>primarnu zdravstvenu zaštitu,</w:t>
      </w:r>
    </w:p>
    <w:p w:rsidR="00A07D92" w:rsidRDefault="00495E63">
      <w:pPr>
        <w:pStyle w:val="Odlomakpopisa"/>
        <w:numPr>
          <w:ilvl w:val="0"/>
          <w:numId w:val="20"/>
        </w:numPr>
        <w:spacing w:line="276" w:lineRule="auto"/>
        <w:rPr>
          <w:sz w:val="22"/>
        </w:rPr>
      </w:pPr>
      <w:r>
        <w:rPr>
          <w:sz w:val="22"/>
        </w:rPr>
        <w:t xml:space="preserve">odgoj i osnovno obrazovanje, </w:t>
      </w:r>
    </w:p>
    <w:p w:rsidR="00A07D92" w:rsidRDefault="00495E63">
      <w:pPr>
        <w:pStyle w:val="Odlomakpopisa"/>
        <w:numPr>
          <w:ilvl w:val="0"/>
          <w:numId w:val="20"/>
        </w:numPr>
        <w:spacing w:line="276" w:lineRule="auto"/>
        <w:rPr>
          <w:sz w:val="22"/>
        </w:rPr>
      </w:pPr>
      <w:r>
        <w:rPr>
          <w:sz w:val="22"/>
        </w:rPr>
        <w:t xml:space="preserve">kulturu, tjelesnu kulturu i sport, </w:t>
      </w:r>
    </w:p>
    <w:p w:rsidR="00A07D92" w:rsidRDefault="00495E63">
      <w:pPr>
        <w:pStyle w:val="Odlomakpopisa"/>
        <w:numPr>
          <w:ilvl w:val="0"/>
          <w:numId w:val="20"/>
        </w:numPr>
        <w:spacing w:line="276" w:lineRule="auto"/>
        <w:rPr>
          <w:sz w:val="22"/>
        </w:rPr>
      </w:pPr>
      <w:r>
        <w:rPr>
          <w:sz w:val="22"/>
        </w:rPr>
        <w:t xml:space="preserve">zaštitu potrošača, </w:t>
      </w:r>
    </w:p>
    <w:p w:rsidR="00A07D92" w:rsidRDefault="00495E63">
      <w:pPr>
        <w:pStyle w:val="Odlomakpopisa"/>
        <w:numPr>
          <w:ilvl w:val="0"/>
          <w:numId w:val="20"/>
        </w:numPr>
        <w:spacing w:line="276" w:lineRule="auto"/>
        <w:rPr>
          <w:sz w:val="22"/>
        </w:rPr>
      </w:pPr>
      <w:r>
        <w:rPr>
          <w:sz w:val="22"/>
        </w:rPr>
        <w:t xml:space="preserve">zaštitu i unapređenje prirodnog okoliša, </w:t>
      </w:r>
    </w:p>
    <w:p w:rsidR="00A07D92" w:rsidRDefault="00495E63">
      <w:pPr>
        <w:pStyle w:val="Odlomakpopisa"/>
        <w:numPr>
          <w:ilvl w:val="0"/>
          <w:numId w:val="20"/>
        </w:numPr>
        <w:spacing w:line="276" w:lineRule="auto"/>
        <w:rPr>
          <w:sz w:val="22"/>
        </w:rPr>
      </w:pPr>
      <w:r>
        <w:rPr>
          <w:sz w:val="22"/>
        </w:rPr>
        <w:t xml:space="preserve">protupožarnu zaštitu i civilnu zaštitu, </w:t>
      </w:r>
    </w:p>
    <w:p w:rsidR="00A07D92" w:rsidRDefault="00495E63">
      <w:pPr>
        <w:pStyle w:val="Odlomakpopisa"/>
        <w:numPr>
          <w:ilvl w:val="0"/>
          <w:numId w:val="20"/>
        </w:numPr>
        <w:spacing w:line="276" w:lineRule="auto"/>
        <w:rPr>
          <w:sz w:val="22"/>
        </w:rPr>
      </w:pPr>
      <w:r>
        <w:rPr>
          <w:sz w:val="22"/>
        </w:rPr>
        <w:t xml:space="preserve">promet na </w:t>
      </w:r>
      <w:r>
        <w:rPr>
          <w:sz w:val="22"/>
        </w:rPr>
        <w:t>svom području,</w:t>
      </w:r>
    </w:p>
    <w:p w:rsidR="00A07D92" w:rsidRDefault="00495E63">
      <w:pPr>
        <w:pStyle w:val="Odlomakpopisa"/>
        <w:numPr>
          <w:ilvl w:val="0"/>
          <w:numId w:val="20"/>
        </w:numPr>
        <w:spacing w:line="276" w:lineRule="auto"/>
        <w:rPr>
          <w:sz w:val="22"/>
        </w:rPr>
      </w:pPr>
      <w:r>
        <w:rPr>
          <w:sz w:val="22"/>
        </w:rPr>
        <w:t>održavanje javnih cesta,</w:t>
      </w:r>
    </w:p>
    <w:p w:rsidR="00A07D92" w:rsidRDefault="00495E63">
      <w:pPr>
        <w:pStyle w:val="Odlomakpopisa"/>
        <w:numPr>
          <w:ilvl w:val="0"/>
          <w:numId w:val="20"/>
        </w:numPr>
        <w:spacing w:line="276" w:lineRule="auto"/>
        <w:rPr>
          <w:sz w:val="22"/>
        </w:rPr>
      </w:pPr>
      <w:r>
        <w:rPr>
          <w:sz w:val="22"/>
        </w:rPr>
        <w:t>izdavanje građevinskih i lokacijskih dozvola, drugih akata vezanih uz gradnju, te provedbu dokumenata prostornog uređenja,</w:t>
      </w:r>
    </w:p>
    <w:p w:rsidR="00A07D92" w:rsidRDefault="00495E63">
      <w:pPr>
        <w:pStyle w:val="Odlomakpopisa"/>
        <w:numPr>
          <w:ilvl w:val="0"/>
          <w:numId w:val="20"/>
        </w:numPr>
        <w:spacing w:line="276" w:lineRule="auto"/>
        <w:rPr>
          <w:sz w:val="22"/>
        </w:rPr>
      </w:pPr>
      <w:r>
        <w:rPr>
          <w:sz w:val="22"/>
        </w:rPr>
        <w:t xml:space="preserve">te ostale poslove sukladno posebnim zakonima. </w:t>
      </w:r>
    </w:p>
    <w:p w:rsidR="00A07D92" w:rsidRDefault="00A07D92">
      <w:pPr>
        <w:spacing w:before="0" w:after="0"/>
        <w:rPr>
          <w:szCs w:val="22"/>
        </w:rPr>
      </w:pPr>
    </w:p>
    <w:p w:rsidR="00A07D92" w:rsidRDefault="00495E63">
      <w:pPr>
        <w:spacing w:before="120" w:after="120"/>
        <w:rPr>
          <w:szCs w:val="22"/>
        </w:rPr>
      </w:pPr>
      <w:r>
        <w:rPr>
          <w:szCs w:val="22"/>
        </w:rPr>
        <w:t>Grad Mali Lošinj uspostavljen je kao jedinica</w:t>
      </w:r>
      <w:r>
        <w:rPr>
          <w:szCs w:val="22"/>
        </w:rPr>
        <w:t xml:space="preserve"> lokalne samouprave unutar Primorsko-goranske županije. </w:t>
      </w:r>
    </w:p>
    <w:p w:rsidR="00A07D92" w:rsidRDefault="00495E63">
      <w:pPr>
        <w:spacing w:before="120" w:after="120"/>
        <w:rPr>
          <w:szCs w:val="22"/>
        </w:rPr>
      </w:pPr>
      <w:r>
        <w:rPr>
          <w:szCs w:val="22"/>
        </w:rPr>
        <w:t>Predstavnička i izvršna tijela Grada Malog Lošinja su:</w:t>
      </w:r>
    </w:p>
    <w:p w:rsidR="00A07D92" w:rsidRDefault="00495E63">
      <w:pPr>
        <w:pStyle w:val="Odlomakpopisa"/>
        <w:numPr>
          <w:ilvl w:val="0"/>
          <w:numId w:val="20"/>
        </w:numPr>
        <w:spacing w:line="276" w:lineRule="auto"/>
        <w:rPr>
          <w:sz w:val="22"/>
        </w:rPr>
      </w:pPr>
      <w:r>
        <w:rPr>
          <w:sz w:val="22"/>
        </w:rPr>
        <w:t>Gradsko vijeće,</w:t>
      </w:r>
    </w:p>
    <w:p w:rsidR="00A07D92" w:rsidRDefault="00495E63">
      <w:pPr>
        <w:pStyle w:val="Odlomakpopisa"/>
        <w:numPr>
          <w:ilvl w:val="0"/>
          <w:numId w:val="20"/>
        </w:numPr>
        <w:spacing w:line="276" w:lineRule="auto"/>
        <w:rPr>
          <w:sz w:val="22"/>
        </w:rPr>
      </w:pPr>
      <w:r>
        <w:rPr>
          <w:sz w:val="22"/>
        </w:rPr>
        <w:t>Gradonačelnik.</w:t>
      </w:r>
    </w:p>
    <w:p w:rsidR="00A07D92" w:rsidRDefault="00A07D92">
      <w:pPr>
        <w:spacing w:before="0" w:after="0"/>
        <w:rPr>
          <w:highlight w:val="yellow"/>
        </w:rPr>
      </w:pPr>
    </w:p>
    <w:p w:rsidR="00A07D92" w:rsidRDefault="00495E63">
      <w:pPr>
        <w:rPr>
          <w:highlight w:val="yellow"/>
        </w:rPr>
      </w:pPr>
      <w:r>
        <w:t>Unutar gradske uprave Grada Malog Lošinja uspostavljen je Jedinstveni upravni odjel.</w:t>
      </w: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495E63">
      <w:pPr>
        <w:pStyle w:val="Naslov3"/>
      </w:pPr>
      <w:bookmarkStart w:id="34" w:name="_Toc136522784"/>
      <w:bookmarkStart w:id="35" w:name="_Toc9596582"/>
      <w:r>
        <w:lastRenderedPageBreak/>
        <w:t xml:space="preserve">2.2.2 Zdravstvene </w:t>
      </w:r>
      <w:r>
        <w:t>ustanove</w:t>
      </w:r>
      <w:bookmarkEnd w:id="34"/>
      <w:bookmarkEnd w:id="35"/>
    </w:p>
    <w:p w:rsidR="00A07D92" w:rsidRDefault="00495E63">
      <w:pPr>
        <w:shd w:val="clear" w:color="auto" w:fill="FFFFFF"/>
        <w:spacing w:before="240" w:after="120"/>
        <w:rPr>
          <w:color w:val="auto"/>
          <w:szCs w:val="22"/>
          <w:lang w:eastAsia="hr-HR"/>
        </w:rPr>
      </w:pPr>
      <w:r>
        <w:rPr>
          <w:color w:val="auto"/>
          <w:szCs w:val="22"/>
          <w:lang w:eastAsia="hr-HR"/>
        </w:rPr>
        <w:t>Grad Mali Lošinj velika financijska sredstva izdvaja za zdravstveni i socijalni standard građana, stoga ne čudi što, iako se za život na otoku kaže da je puno teži nego na kopnu, naše ustanove u zdravstvu i socijali imaju programe i usluge poput o</w:t>
      </w:r>
      <w:r>
        <w:rPr>
          <w:color w:val="auto"/>
          <w:szCs w:val="22"/>
          <w:lang w:eastAsia="hr-HR"/>
        </w:rPr>
        <w:t>nih u ostatku države. U nastavku možete pogledati kontakt podatke navedenih ustanova.</w:t>
      </w:r>
    </w:p>
    <w:p w:rsidR="00A07D92" w:rsidRDefault="00495E63">
      <w:pPr>
        <w:shd w:val="clear" w:color="auto" w:fill="FFFFFF"/>
        <w:spacing w:before="240" w:after="120"/>
        <w:jc w:val="left"/>
        <w:rPr>
          <w:b/>
          <w:bCs/>
          <w:color w:val="auto"/>
          <w:szCs w:val="22"/>
          <w:u w:val="single"/>
          <w:lang w:eastAsia="hr-HR"/>
        </w:rPr>
      </w:pPr>
      <w:r>
        <w:rPr>
          <w:b/>
          <w:bCs/>
          <w:color w:val="auto"/>
          <w:szCs w:val="22"/>
          <w:u w:val="single"/>
          <w:lang w:eastAsia="hr-HR"/>
        </w:rPr>
        <w:t xml:space="preserve">Zavod za hitnu medicinu Primorsko-goranske županije, ispostava Mali </w:t>
      </w:r>
      <w:proofErr w:type="spellStart"/>
      <w:r>
        <w:rPr>
          <w:b/>
          <w:bCs/>
          <w:color w:val="auto"/>
          <w:szCs w:val="22"/>
          <w:u w:val="single"/>
          <w:lang w:eastAsia="hr-HR"/>
        </w:rPr>
        <w:t>Lišinj</w:t>
      </w:r>
      <w:proofErr w:type="spellEnd"/>
    </w:p>
    <w:p w:rsidR="00A07D92" w:rsidRDefault="00495E63">
      <w:pPr>
        <w:shd w:val="clear" w:color="auto" w:fill="FFFFFF"/>
        <w:spacing w:before="240" w:after="120"/>
        <w:jc w:val="left"/>
        <w:rPr>
          <w:color w:val="auto"/>
          <w:szCs w:val="22"/>
          <w:lang w:eastAsia="hr-HR"/>
        </w:rPr>
      </w:pPr>
      <w:proofErr w:type="spellStart"/>
      <w:r>
        <w:rPr>
          <w:color w:val="auto"/>
          <w:szCs w:val="22"/>
          <w:lang w:eastAsia="hr-HR"/>
        </w:rPr>
        <w:t>Priko</w:t>
      </w:r>
      <w:proofErr w:type="spellEnd"/>
      <w:r>
        <w:rPr>
          <w:color w:val="auto"/>
          <w:szCs w:val="22"/>
          <w:lang w:eastAsia="hr-HR"/>
        </w:rPr>
        <w:t xml:space="preserve"> 69</w:t>
      </w:r>
    </w:p>
    <w:p w:rsidR="00A07D92" w:rsidRDefault="00495E63">
      <w:pPr>
        <w:shd w:val="clear" w:color="auto" w:fill="FFFFFF"/>
        <w:spacing w:before="240" w:after="120"/>
        <w:jc w:val="left"/>
        <w:rPr>
          <w:color w:val="auto"/>
          <w:szCs w:val="22"/>
          <w:lang w:eastAsia="hr-HR"/>
        </w:rPr>
      </w:pPr>
      <w:r>
        <w:rPr>
          <w:color w:val="auto"/>
          <w:szCs w:val="22"/>
          <w:lang w:eastAsia="hr-HR"/>
        </w:rPr>
        <w:t>51550, Mali Lošinj</w:t>
      </w:r>
    </w:p>
    <w:p w:rsidR="00A07D92" w:rsidRDefault="00495E63">
      <w:pPr>
        <w:shd w:val="clear" w:color="auto" w:fill="FFFFFF"/>
        <w:spacing w:before="240" w:after="120"/>
        <w:jc w:val="left"/>
        <w:rPr>
          <w:color w:val="auto"/>
          <w:szCs w:val="22"/>
          <w:lang w:eastAsia="hr-HR"/>
        </w:rPr>
      </w:pPr>
      <w:r>
        <w:rPr>
          <w:color w:val="auto"/>
          <w:szCs w:val="22"/>
          <w:lang w:eastAsia="hr-HR"/>
        </w:rPr>
        <w:t>Tel. 051 238 038</w:t>
      </w:r>
    </w:p>
    <w:p w:rsidR="00A07D92" w:rsidRDefault="00495E63">
      <w:pPr>
        <w:shd w:val="clear" w:color="auto" w:fill="FFFFFF"/>
        <w:spacing w:before="240" w:after="120"/>
        <w:jc w:val="left"/>
        <w:rPr>
          <w:color w:val="auto"/>
          <w:szCs w:val="22"/>
          <w:u w:val="single"/>
          <w:lang w:eastAsia="hr-HR"/>
        </w:rPr>
      </w:pPr>
      <w:r>
        <w:rPr>
          <w:b/>
          <w:bCs/>
          <w:color w:val="auto"/>
          <w:szCs w:val="22"/>
          <w:u w:val="single"/>
          <w:lang w:eastAsia="hr-HR"/>
        </w:rPr>
        <w:t>Dom zdravlja dr. Dinko Kozulić</w:t>
      </w:r>
    </w:p>
    <w:p w:rsidR="00A07D92" w:rsidRDefault="00495E63">
      <w:pPr>
        <w:shd w:val="clear" w:color="auto" w:fill="FFFFFF"/>
        <w:spacing w:before="240" w:after="120"/>
        <w:jc w:val="left"/>
        <w:rPr>
          <w:color w:val="auto"/>
          <w:szCs w:val="22"/>
          <w:lang w:eastAsia="hr-HR"/>
        </w:rPr>
      </w:pPr>
      <w:proofErr w:type="spellStart"/>
      <w:r>
        <w:rPr>
          <w:color w:val="auto"/>
          <w:szCs w:val="22"/>
          <w:lang w:eastAsia="hr-HR"/>
        </w:rPr>
        <w:t>Priko</w:t>
      </w:r>
      <w:proofErr w:type="spellEnd"/>
      <w:r>
        <w:rPr>
          <w:color w:val="auto"/>
          <w:szCs w:val="22"/>
          <w:lang w:eastAsia="hr-HR"/>
        </w:rPr>
        <w:t xml:space="preserve"> 60</w:t>
      </w:r>
    </w:p>
    <w:p w:rsidR="00A07D92" w:rsidRDefault="00495E63">
      <w:pPr>
        <w:shd w:val="clear" w:color="auto" w:fill="FFFFFF"/>
        <w:spacing w:before="240" w:after="120"/>
        <w:jc w:val="left"/>
        <w:rPr>
          <w:color w:val="auto"/>
          <w:szCs w:val="22"/>
          <w:lang w:eastAsia="hr-HR"/>
        </w:rPr>
      </w:pPr>
      <w:r>
        <w:rPr>
          <w:color w:val="auto"/>
          <w:szCs w:val="22"/>
          <w:lang w:eastAsia="hr-HR"/>
        </w:rPr>
        <w:t xml:space="preserve">51550, </w:t>
      </w:r>
      <w:r>
        <w:rPr>
          <w:color w:val="auto"/>
          <w:szCs w:val="22"/>
          <w:lang w:eastAsia="hr-HR"/>
        </w:rPr>
        <w:t>Mali Lošinj</w:t>
      </w:r>
    </w:p>
    <w:p w:rsidR="00A07D92" w:rsidRDefault="00495E63">
      <w:pPr>
        <w:shd w:val="clear" w:color="auto" w:fill="FFFFFF"/>
        <w:spacing w:before="240" w:after="120"/>
        <w:jc w:val="left"/>
        <w:rPr>
          <w:color w:val="auto"/>
          <w:szCs w:val="22"/>
          <w:lang w:eastAsia="hr-HR"/>
        </w:rPr>
      </w:pPr>
      <w:r>
        <w:rPr>
          <w:color w:val="auto"/>
          <w:szCs w:val="22"/>
          <w:lang w:eastAsia="hr-HR"/>
        </w:rPr>
        <w:t>Tel. 051 231824</w:t>
      </w:r>
    </w:p>
    <w:p w:rsidR="00A07D92" w:rsidRDefault="00495E63">
      <w:pPr>
        <w:shd w:val="clear" w:color="auto" w:fill="FFFFFF"/>
        <w:spacing w:before="240" w:after="120"/>
        <w:jc w:val="left"/>
        <w:rPr>
          <w:color w:val="auto"/>
          <w:szCs w:val="22"/>
          <w:lang w:eastAsia="hr-HR"/>
        </w:rPr>
      </w:pPr>
      <w:proofErr w:type="spellStart"/>
      <w:r>
        <w:rPr>
          <w:color w:val="auto"/>
          <w:szCs w:val="22"/>
          <w:lang w:eastAsia="hr-HR"/>
        </w:rPr>
        <w:t>Fax</w:t>
      </w:r>
      <w:proofErr w:type="spellEnd"/>
      <w:r>
        <w:rPr>
          <w:color w:val="auto"/>
          <w:szCs w:val="22"/>
          <w:lang w:eastAsia="hr-HR"/>
        </w:rPr>
        <w:t>: 051 231205</w:t>
      </w:r>
      <w:bookmarkStart w:id="36" w:name="_Hlk136499919"/>
      <w:bookmarkEnd w:id="36"/>
    </w:p>
    <w:p w:rsidR="00A07D92" w:rsidRDefault="00495E63">
      <w:pPr>
        <w:shd w:val="clear" w:color="auto" w:fill="FFFFFF"/>
        <w:spacing w:before="240" w:after="120"/>
        <w:jc w:val="left"/>
        <w:rPr>
          <w:color w:val="auto"/>
          <w:szCs w:val="22"/>
          <w:u w:val="single"/>
          <w:lang w:eastAsia="hr-HR"/>
        </w:rPr>
      </w:pPr>
      <w:r>
        <w:rPr>
          <w:b/>
          <w:bCs/>
          <w:color w:val="auto"/>
          <w:szCs w:val="22"/>
          <w:u w:val="single"/>
          <w:lang w:eastAsia="hr-HR"/>
        </w:rPr>
        <w:t>Nastavni Zavod za javno zdravstvo Primorsko goranske županije, ispostava Mali Lošinj</w:t>
      </w:r>
    </w:p>
    <w:p w:rsidR="00A07D92" w:rsidRDefault="00495E63">
      <w:pPr>
        <w:shd w:val="clear" w:color="auto" w:fill="FFFFFF"/>
        <w:spacing w:before="240" w:after="120"/>
        <w:jc w:val="left"/>
        <w:rPr>
          <w:color w:val="auto"/>
          <w:szCs w:val="22"/>
          <w:lang w:eastAsia="hr-HR"/>
        </w:rPr>
      </w:pPr>
      <w:proofErr w:type="spellStart"/>
      <w:r>
        <w:rPr>
          <w:color w:val="auto"/>
          <w:szCs w:val="22"/>
          <w:lang w:eastAsia="hr-HR"/>
        </w:rPr>
        <w:t>Priko</w:t>
      </w:r>
      <w:proofErr w:type="spellEnd"/>
      <w:r>
        <w:rPr>
          <w:color w:val="auto"/>
          <w:szCs w:val="22"/>
          <w:lang w:eastAsia="hr-HR"/>
        </w:rPr>
        <w:t xml:space="preserve"> 69</w:t>
      </w:r>
    </w:p>
    <w:p w:rsidR="00A07D92" w:rsidRDefault="00495E63">
      <w:pPr>
        <w:shd w:val="clear" w:color="auto" w:fill="FFFFFF"/>
        <w:spacing w:before="240" w:after="120"/>
        <w:jc w:val="left"/>
        <w:rPr>
          <w:color w:val="auto"/>
          <w:szCs w:val="22"/>
          <w:lang w:eastAsia="hr-HR"/>
        </w:rPr>
      </w:pPr>
      <w:r>
        <w:rPr>
          <w:color w:val="auto"/>
          <w:szCs w:val="22"/>
          <w:lang w:eastAsia="hr-HR"/>
        </w:rPr>
        <w:t>51550, Mali Lošinj</w:t>
      </w:r>
    </w:p>
    <w:p w:rsidR="00A07D92" w:rsidRDefault="00495E63">
      <w:pPr>
        <w:shd w:val="clear" w:color="auto" w:fill="FFFFFF"/>
        <w:spacing w:before="240" w:after="120"/>
        <w:jc w:val="left"/>
        <w:rPr>
          <w:color w:val="auto"/>
          <w:szCs w:val="22"/>
          <w:lang w:eastAsia="hr-HR"/>
        </w:rPr>
      </w:pPr>
      <w:r>
        <w:rPr>
          <w:color w:val="auto"/>
          <w:szCs w:val="22"/>
          <w:lang w:eastAsia="hr-HR"/>
        </w:rPr>
        <w:t xml:space="preserve">Voditelj: Senka Stojanović, </w:t>
      </w:r>
      <w:proofErr w:type="spellStart"/>
      <w:r>
        <w:rPr>
          <w:color w:val="auto"/>
          <w:szCs w:val="22"/>
          <w:lang w:eastAsia="hr-HR"/>
        </w:rPr>
        <w:t>dr.med</w:t>
      </w:r>
      <w:proofErr w:type="spellEnd"/>
      <w:r>
        <w:rPr>
          <w:color w:val="auto"/>
          <w:szCs w:val="22"/>
          <w:lang w:eastAsia="hr-HR"/>
        </w:rPr>
        <w:t>.</w:t>
      </w:r>
    </w:p>
    <w:p w:rsidR="00A07D92" w:rsidRDefault="00495E63">
      <w:pPr>
        <w:shd w:val="clear" w:color="auto" w:fill="FFFFFF"/>
        <w:spacing w:before="240" w:after="120"/>
        <w:jc w:val="left"/>
        <w:rPr>
          <w:color w:val="auto"/>
          <w:szCs w:val="22"/>
          <w:lang w:eastAsia="hr-HR"/>
        </w:rPr>
      </w:pPr>
      <w:r>
        <w:rPr>
          <w:color w:val="auto"/>
          <w:szCs w:val="22"/>
          <w:lang w:eastAsia="hr-HR"/>
        </w:rPr>
        <w:t>Tel. 233 574</w:t>
      </w:r>
    </w:p>
    <w:p w:rsidR="00A07D92" w:rsidRDefault="00495E63">
      <w:pPr>
        <w:shd w:val="clear" w:color="auto" w:fill="FFFFFF"/>
        <w:spacing w:before="240" w:after="120"/>
        <w:jc w:val="left"/>
        <w:rPr>
          <w:color w:val="auto"/>
          <w:szCs w:val="22"/>
          <w:lang w:eastAsia="hr-HR"/>
        </w:rPr>
      </w:pPr>
      <w:proofErr w:type="spellStart"/>
      <w:r>
        <w:rPr>
          <w:color w:val="auto"/>
          <w:szCs w:val="22"/>
          <w:lang w:eastAsia="hr-HR"/>
        </w:rPr>
        <w:t>Fax</w:t>
      </w:r>
      <w:proofErr w:type="spellEnd"/>
      <w:r>
        <w:rPr>
          <w:color w:val="auto"/>
          <w:szCs w:val="22"/>
          <w:lang w:eastAsia="hr-HR"/>
        </w:rPr>
        <w:t>: 233 574</w:t>
      </w:r>
      <w:r>
        <w:rPr>
          <w:color w:val="auto"/>
          <w:szCs w:val="22"/>
          <w:lang w:eastAsia="hr-HR"/>
        </w:rPr>
        <w:br/>
        <w:t>e-mail:</w:t>
      </w:r>
    </w:p>
    <w:p w:rsidR="00A07D92" w:rsidRDefault="00495E63">
      <w:pPr>
        <w:shd w:val="clear" w:color="auto" w:fill="FFFFFF"/>
        <w:spacing w:before="240" w:after="120"/>
        <w:jc w:val="left"/>
        <w:rPr>
          <w:color w:val="auto"/>
          <w:szCs w:val="22"/>
          <w:lang w:eastAsia="hr-HR"/>
        </w:rPr>
      </w:pPr>
      <w:hyperlink r:id="rId30">
        <w:r>
          <w:rPr>
            <w:rStyle w:val="Internetskapoveznica"/>
            <w:b/>
            <w:bCs/>
            <w:szCs w:val="22"/>
            <w:lang w:eastAsia="hr-HR"/>
          </w:rPr>
          <w:t>epidemiologija.mali.losinj@zzjzpgz.hr</w:t>
        </w:r>
      </w:hyperlink>
    </w:p>
    <w:p w:rsidR="00A07D92" w:rsidRDefault="00495E63">
      <w:pPr>
        <w:shd w:val="clear" w:color="auto" w:fill="FFFFFF"/>
        <w:spacing w:before="240" w:after="120"/>
        <w:jc w:val="left"/>
        <w:rPr>
          <w:color w:val="auto"/>
          <w:szCs w:val="22"/>
          <w:lang w:eastAsia="hr-HR"/>
        </w:rPr>
      </w:pPr>
      <w:hyperlink r:id="rId31">
        <w:r>
          <w:rPr>
            <w:rStyle w:val="Internetskapoveznica"/>
            <w:b/>
            <w:bCs/>
            <w:szCs w:val="22"/>
            <w:lang w:eastAsia="hr-HR"/>
          </w:rPr>
          <w:t>skolska.mali.losinj@zzjzpgz.hr</w:t>
        </w:r>
      </w:hyperlink>
    </w:p>
    <w:p w:rsidR="00A07D92" w:rsidRDefault="00495E63">
      <w:pPr>
        <w:shd w:val="clear" w:color="auto" w:fill="FFFFFF"/>
        <w:spacing w:before="240" w:after="120"/>
        <w:rPr>
          <w:rFonts w:eastAsiaTheme="minorHAnsi"/>
          <w:color w:val="000000"/>
          <w:szCs w:val="23"/>
        </w:rPr>
      </w:pPr>
      <w:r>
        <w:rPr>
          <w:rFonts w:eastAsiaTheme="minorHAnsi"/>
          <w:color w:val="000000"/>
          <w:szCs w:val="23"/>
        </w:rPr>
        <w:t>Na području Malog Lošinja nalazi</w:t>
      </w:r>
      <w:r>
        <w:rPr>
          <w:rFonts w:eastAsiaTheme="minorHAnsi"/>
          <w:color w:val="000000"/>
          <w:szCs w:val="23"/>
        </w:rPr>
        <w:t xml:space="preserve"> se 6 privatnih ordinacija opće medicine i 2 privatne specijalističke ordinacije, 5 stomatoloških ordinacija i 2 zubotehnička laboratorija.</w:t>
      </w:r>
    </w:p>
    <w:p w:rsidR="00A07D92" w:rsidRDefault="00A07D92">
      <w:pPr>
        <w:shd w:val="clear" w:color="auto" w:fill="FFFFFF"/>
        <w:spacing w:before="240" w:after="120"/>
        <w:rPr>
          <w:rFonts w:eastAsiaTheme="minorHAnsi"/>
          <w:b/>
          <w:bCs/>
          <w:color w:val="000000"/>
          <w:szCs w:val="23"/>
          <w:u w:val="single"/>
        </w:rPr>
      </w:pPr>
    </w:p>
    <w:p w:rsidR="00A07D92" w:rsidRDefault="00A07D92">
      <w:pPr>
        <w:shd w:val="clear" w:color="auto" w:fill="FFFFFF"/>
        <w:spacing w:before="240" w:after="120"/>
        <w:rPr>
          <w:rFonts w:eastAsiaTheme="minorHAnsi"/>
          <w:b/>
          <w:bCs/>
          <w:color w:val="000000"/>
          <w:szCs w:val="23"/>
          <w:u w:val="single"/>
        </w:rPr>
      </w:pPr>
    </w:p>
    <w:p w:rsidR="00A07D92" w:rsidRDefault="00A07D92">
      <w:pPr>
        <w:shd w:val="clear" w:color="auto" w:fill="FFFFFF"/>
        <w:spacing w:before="240" w:after="120"/>
        <w:rPr>
          <w:rFonts w:eastAsiaTheme="minorHAnsi"/>
          <w:b/>
          <w:bCs/>
          <w:color w:val="000000"/>
          <w:szCs w:val="23"/>
          <w:u w:val="single"/>
        </w:rPr>
      </w:pPr>
    </w:p>
    <w:p w:rsidR="00A07D92" w:rsidRDefault="00495E63">
      <w:pPr>
        <w:shd w:val="clear" w:color="auto" w:fill="FFFFFF"/>
        <w:spacing w:before="240" w:after="120"/>
        <w:rPr>
          <w:rFonts w:eastAsiaTheme="minorHAnsi"/>
          <w:b/>
          <w:bCs/>
          <w:color w:val="000000"/>
          <w:szCs w:val="23"/>
          <w:u w:val="single"/>
        </w:rPr>
      </w:pPr>
      <w:r>
        <w:rPr>
          <w:rFonts w:eastAsiaTheme="minorHAnsi"/>
          <w:b/>
          <w:bCs/>
          <w:color w:val="000000"/>
          <w:szCs w:val="23"/>
          <w:u w:val="single"/>
        </w:rPr>
        <w:lastRenderedPageBreak/>
        <w:t>U Velom Lošinju postoje Lječilište Veli Lošinj</w:t>
      </w:r>
    </w:p>
    <w:p w:rsidR="00A07D92" w:rsidRDefault="00495E63">
      <w:pPr>
        <w:shd w:val="clear" w:color="auto" w:fill="FFFFFF"/>
        <w:spacing w:before="240" w:after="120"/>
        <w:rPr>
          <w:rFonts w:eastAsiaTheme="minorHAnsi"/>
          <w:color w:val="000000"/>
          <w:szCs w:val="23"/>
        </w:rPr>
      </w:pPr>
      <w:r>
        <w:rPr>
          <w:rFonts w:eastAsiaTheme="minorHAnsi"/>
          <w:color w:val="000000"/>
          <w:szCs w:val="23"/>
        </w:rPr>
        <w:t xml:space="preserve">Adresa: </w:t>
      </w:r>
      <w:proofErr w:type="spellStart"/>
      <w:r>
        <w:rPr>
          <w:rFonts w:eastAsiaTheme="minorHAnsi"/>
          <w:color w:val="000000"/>
          <w:szCs w:val="23"/>
        </w:rPr>
        <w:t>Podjavori</w:t>
      </w:r>
      <w:proofErr w:type="spellEnd"/>
      <w:r>
        <w:rPr>
          <w:rFonts w:eastAsiaTheme="minorHAnsi"/>
          <w:color w:val="000000"/>
          <w:szCs w:val="23"/>
        </w:rPr>
        <w:t xml:space="preserve"> 27</w:t>
      </w:r>
    </w:p>
    <w:p w:rsidR="00A07D92" w:rsidRDefault="00495E63">
      <w:pPr>
        <w:shd w:val="clear" w:color="auto" w:fill="FFFFFF"/>
        <w:spacing w:before="240" w:after="120"/>
        <w:rPr>
          <w:rFonts w:eastAsiaTheme="minorHAnsi"/>
          <w:color w:val="000000"/>
          <w:szCs w:val="23"/>
        </w:rPr>
      </w:pPr>
      <w:r>
        <w:rPr>
          <w:rFonts w:eastAsiaTheme="minorHAnsi"/>
          <w:color w:val="000000"/>
          <w:szCs w:val="23"/>
        </w:rPr>
        <w:t>51 551 Veli Lošinj</w:t>
      </w:r>
    </w:p>
    <w:p w:rsidR="00A07D92" w:rsidRDefault="00495E63">
      <w:pPr>
        <w:shd w:val="clear" w:color="auto" w:fill="FFFFFF"/>
        <w:spacing w:before="240" w:after="120"/>
        <w:rPr>
          <w:rFonts w:eastAsiaTheme="minorHAnsi"/>
          <w:color w:val="000000"/>
          <w:szCs w:val="23"/>
        </w:rPr>
      </w:pPr>
      <w:proofErr w:type="spellStart"/>
      <w:r>
        <w:rPr>
          <w:rFonts w:eastAsiaTheme="minorHAnsi"/>
          <w:color w:val="000000"/>
          <w:szCs w:val="23"/>
        </w:rPr>
        <w:t>Tel</w:t>
      </w:r>
      <w:proofErr w:type="spellEnd"/>
      <w:r>
        <w:rPr>
          <w:rFonts w:eastAsiaTheme="minorHAnsi"/>
          <w:color w:val="000000"/>
          <w:szCs w:val="23"/>
        </w:rPr>
        <w:t>: 051 236 111</w:t>
      </w:r>
    </w:p>
    <w:p w:rsidR="00A07D92" w:rsidRDefault="00495E63">
      <w:pPr>
        <w:shd w:val="clear" w:color="auto" w:fill="FFFFFF"/>
        <w:spacing w:before="240" w:after="120"/>
        <w:rPr>
          <w:rFonts w:eastAsiaTheme="minorHAnsi"/>
          <w:color w:val="000000"/>
          <w:szCs w:val="23"/>
        </w:rPr>
      </w:pPr>
      <w:r>
        <w:t xml:space="preserve">U Velom </w:t>
      </w:r>
      <w:r>
        <w:t>Lošinju postoji dječja bolnica. Ispostava županijskog Zavoda za javno zdravstvo Rijeka djeluje u sklopu Doma zdravlja u Malom Lošinju. Potrebe za specijalističkim, polikliničkim i stacioniranom zaštitom zdravlja obavljaju se u središtu Županije – Gradu Rij</w:t>
      </w:r>
      <w:r>
        <w:t>eci.</w:t>
      </w:r>
    </w:p>
    <w:p w:rsidR="00A07D92" w:rsidRDefault="00A07D92">
      <w:pPr>
        <w:shd w:val="clear" w:color="auto" w:fill="FFFFFF"/>
        <w:spacing w:before="240" w:after="120"/>
        <w:rPr>
          <w:rFonts w:eastAsiaTheme="minorHAnsi"/>
          <w:b/>
          <w:bCs/>
          <w:color w:val="000000"/>
          <w:szCs w:val="23"/>
          <w:u w:val="single"/>
        </w:rPr>
      </w:pPr>
    </w:p>
    <w:p w:rsidR="00A07D92" w:rsidRDefault="00495E63">
      <w:pPr>
        <w:shd w:val="clear" w:color="auto" w:fill="FFFFFF"/>
        <w:spacing w:before="240" w:after="120"/>
        <w:rPr>
          <w:rFonts w:eastAsiaTheme="minorHAnsi"/>
          <w:color w:val="000000"/>
          <w:szCs w:val="23"/>
        </w:rPr>
      </w:pPr>
      <w:r>
        <w:rPr>
          <w:rFonts w:eastAsiaTheme="minorHAnsi"/>
          <w:b/>
          <w:bCs/>
          <w:color w:val="000000"/>
          <w:szCs w:val="23"/>
          <w:u w:val="single"/>
        </w:rPr>
        <w:t>Na području Grada nalaze se i 3 ljekarne</w:t>
      </w:r>
      <w:r>
        <w:rPr>
          <w:rFonts w:eastAsiaTheme="minorHAnsi"/>
          <w:color w:val="000000"/>
          <w:szCs w:val="23"/>
        </w:rPr>
        <w:t>:</w:t>
      </w:r>
    </w:p>
    <w:p w:rsidR="00A07D92" w:rsidRDefault="00495E63">
      <w:pPr>
        <w:shd w:val="clear" w:color="auto" w:fill="FFFFFF"/>
        <w:spacing w:before="240" w:after="120"/>
        <w:rPr>
          <w:rFonts w:eastAsiaTheme="minorHAnsi"/>
          <w:color w:val="000000"/>
          <w:szCs w:val="23"/>
          <w:u w:val="single"/>
        </w:rPr>
      </w:pPr>
      <w:r>
        <w:rPr>
          <w:rFonts w:eastAsiaTheme="minorHAnsi"/>
          <w:color w:val="000000"/>
          <w:szCs w:val="23"/>
          <w:u w:val="single"/>
        </w:rPr>
        <w:t xml:space="preserve">Ljekarna </w:t>
      </w:r>
      <w:proofErr w:type="spellStart"/>
      <w:r>
        <w:rPr>
          <w:rFonts w:eastAsiaTheme="minorHAnsi"/>
          <w:color w:val="000000"/>
          <w:szCs w:val="23"/>
          <w:u w:val="single"/>
        </w:rPr>
        <w:t>Muškardin</w:t>
      </w:r>
      <w:proofErr w:type="spellEnd"/>
    </w:p>
    <w:p w:rsidR="00A07D92" w:rsidRDefault="00495E63">
      <w:pPr>
        <w:shd w:val="clear" w:color="auto" w:fill="FFFFFF"/>
        <w:spacing w:before="240" w:after="120"/>
        <w:rPr>
          <w:rFonts w:eastAsiaTheme="minorHAnsi"/>
          <w:color w:val="000000"/>
          <w:szCs w:val="23"/>
        </w:rPr>
      </w:pPr>
      <w:r>
        <w:rPr>
          <w:rFonts w:eastAsiaTheme="minorHAnsi"/>
          <w:color w:val="000000"/>
          <w:szCs w:val="23"/>
        </w:rPr>
        <w:t xml:space="preserve">Adresa: Riva lošinjskih Kapetana </w:t>
      </w:r>
      <w:proofErr w:type="spellStart"/>
      <w:r>
        <w:rPr>
          <w:rFonts w:eastAsiaTheme="minorHAnsi"/>
          <w:color w:val="000000"/>
          <w:szCs w:val="23"/>
        </w:rPr>
        <w:t>bb</w:t>
      </w:r>
      <w:proofErr w:type="spellEnd"/>
    </w:p>
    <w:p w:rsidR="00A07D92" w:rsidRDefault="00495E63">
      <w:pPr>
        <w:shd w:val="clear" w:color="auto" w:fill="FFFFFF"/>
        <w:spacing w:before="240" w:after="120"/>
        <w:rPr>
          <w:rFonts w:eastAsiaTheme="minorHAnsi"/>
          <w:color w:val="000000"/>
          <w:szCs w:val="23"/>
        </w:rPr>
      </w:pPr>
      <w:proofErr w:type="spellStart"/>
      <w:r>
        <w:rPr>
          <w:rFonts w:eastAsiaTheme="minorHAnsi"/>
          <w:color w:val="000000"/>
          <w:szCs w:val="23"/>
        </w:rPr>
        <w:t>Tel</w:t>
      </w:r>
      <w:proofErr w:type="spellEnd"/>
      <w:r>
        <w:rPr>
          <w:rFonts w:eastAsiaTheme="minorHAnsi"/>
          <w:color w:val="000000"/>
          <w:szCs w:val="23"/>
        </w:rPr>
        <w:t>: 051 231 661</w:t>
      </w:r>
    </w:p>
    <w:p w:rsidR="00A07D92" w:rsidRDefault="00495E63">
      <w:pPr>
        <w:shd w:val="clear" w:color="auto" w:fill="FFFFFF"/>
        <w:spacing w:before="240" w:after="120"/>
        <w:rPr>
          <w:rFonts w:eastAsiaTheme="minorHAnsi"/>
          <w:color w:val="000000"/>
          <w:szCs w:val="23"/>
          <w:u w:val="single"/>
        </w:rPr>
      </w:pPr>
      <w:r>
        <w:rPr>
          <w:rFonts w:eastAsiaTheme="minorHAnsi"/>
          <w:color w:val="000000"/>
          <w:szCs w:val="23"/>
          <w:u w:val="single"/>
        </w:rPr>
        <w:t xml:space="preserve">Ljekarna Kaštel </w:t>
      </w:r>
      <w:proofErr w:type="spellStart"/>
      <w:r>
        <w:rPr>
          <w:rFonts w:eastAsiaTheme="minorHAnsi"/>
          <w:color w:val="000000"/>
          <w:szCs w:val="23"/>
          <w:u w:val="single"/>
        </w:rPr>
        <w:t>farm</w:t>
      </w:r>
      <w:proofErr w:type="spellEnd"/>
    </w:p>
    <w:p w:rsidR="00A07D92" w:rsidRDefault="00495E63">
      <w:pPr>
        <w:shd w:val="clear" w:color="auto" w:fill="FFFFFF"/>
        <w:spacing w:before="240" w:after="120"/>
        <w:rPr>
          <w:rFonts w:eastAsiaTheme="minorHAnsi"/>
          <w:color w:val="000000"/>
          <w:szCs w:val="23"/>
        </w:rPr>
      </w:pPr>
      <w:r>
        <w:rPr>
          <w:rFonts w:eastAsiaTheme="minorHAnsi"/>
          <w:color w:val="000000"/>
          <w:szCs w:val="23"/>
        </w:rPr>
        <w:t xml:space="preserve">Adresa: </w:t>
      </w:r>
      <w:proofErr w:type="spellStart"/>
      <w:r>
        <w:rPr>
          <w:rFonts w:eastAsiaTheme="minorHAnsi"/>
          <w:color w:val="000000"/>
          <w:szCs w:val="23"/>
        </w:rPr>
        <w:t>Veloselska</w:t>
      </w:r>
      <w:proofErr w:type="spellEnd"/>
      <w:r>
        <w:rPr>
          <w:rFonts w:eastAsiaTheme="minorHAnsi"/>
          <w:color w:val="000000"/>
          <w:szCs w:val="23"/>
        </w:rPr>
        <w:t xml:space="preserve"> cesta 33, Mali </w:t>
      </w:r>
      <w:proofErr w:type="spellStart"/>
      <w:r>
        <w:rPr>
          <w:rFonts w:eastAsiaTheme="minorHAnsi"/>
          <w:color w:val="000000"/>
          <w:szCs w:val="23"/>
        </w:rPr>
        <w:t>lošinj</w:t>
      </w:r>
      <w:proofErr w:type="spellEnd"/>
    </w:p>
    <w:p w:rsidR="00A07D92" w:rsidRDefault="00495E63">
      <w:pPr>
        <w:shd w:val="clear" w:color="auto" w:fill="FFFFFF"/>
        <w:spacing w:before="240" w:after="120"/>
        <w:rPr>
          <w:rFonts w:eastAsiaTheme="minorHAnsi"/>
          <w:color w:val="000000"/>
          <w:szCs w:val="23"/>
        </w:rPr>
      </w:pPr>
      <w:proofErr w:type="spellStart"/>
      <w:r>
        <w:rPr>
          <w:rFonts w:eastAsiaTheme="minorHAnsi"/>
          <w:color w:val="000000"/>
          <w:szCs w:val="23"/>
        </w:rPr>
        <w:t>Tel</w:t>
      </w:r>
      <w:proofErr w:type="spellEnd"/>
      <w:r>
        <w:rPr>
          <w:rFonts w:eastAsiaTheme="minorHAnsi"/>
          <w:color w:val="000000"/>
          <w:szCs w:val="23"/>
        </w:rPr>
        <w:t>: 051 238 513</w:t>
      </w:r>
    </w:p>
    <w:p w:rsidR="00A07D92" w:rsidRDefault="00495E63">
      <w:pPr>
        <w:shd w:val="clear" w:color="auto" w:fill="FFFFFF"/>
        <w:spacing w:before="240" w:after="120"/>
        <w:rPr>
          <w:rFonts w:eastAsiaTheme="minorHAnsi"/>
          <w:color w:val="000000"/>
          <w:szCs w:val="23"/>
          <w:u w:val="single"/>
        </w:rPr>
      </w:pPr>
      <w:r>
        <w:rPr>
          <w:rFonts w:eastAsiaTheme="minorHAnsi"/>
          <w:color w:val="000000"/>
          <w:szCs w:val="23"/>
          <w:u w:val="single"/>
        </w:rPr>
        <w:t xml:space="preserve">Ljekarna </w:t>
      </w:r>
      <w:proofErr w:type="spellStart"/>
      <w:r>
        <w:rPr>
          <w:rFonts w:eastAsiaTheme="minorHAnsi"/>
          <w:color w:val="000000"/>
          <w:szCs w:val="23"/>
          <w:u w:val="single"/>
        </w:rPr>
        <w:t>Nerezine</w:t>
      </w:r>
      <w:proofErr w:type="spellEnd"/>
    </w:p>
    <w:p w:rsidR="00A07D92" w:rsidRDefault="00495E63">
      <w:pPr>
        <w:shd w:val="clear" w:color="auto" w:fill="FFFFFF"/>
        <w:spacing w:before="240" w:after="120"/>
        <w:rPr>
          <w:rFonts w:eastAsiaTheme="minorHAnsi"/>
          <w:color w:val="000000"/>
          <w:szCs w:val="23"/>
        </w:rPr>
      </w:pPr>
      <w:r>
        <w:rPr>
          <w:rFonts w:eastAsiaTheme="minorHAnsi"/>
          <w:color w:val="000000"/>
          <w:szCs w:val="23"/>
        </w:rPr>
        <w:t xml:space="preserve">Adresa: Trg Studenac 13, </w:t>
      </w:r>
      <w:proofErr w:type="spellStart"/>
      <w:r>
        <w:rPr>
          <w:rFonts w:eastAsiaTheme="minorHAnsi"/>
          <w:color w:val="000000"/>
          <w:szCs w:val="23"/>
        </w:rPr>
        <w:t>Nerezine</w:t>
      </w:r>
      <w:proofErr w:type="spellEnd"/>
    </w:p>
    <w:p w:rsidR="00A07D92" w:rsidRDefault="00495E63">
      <w:pPr>
        <w:shd w:val="clear" w:color="auto" w:fill="FFFFFF"/>
        <w:spacing w:before="240" w:after="120"/>
        <w:rPr>
          <w:rFonts w:eastAsiaTheme="minorHAnsi"/>
          <w:color w:val="000000"/>
          <w:szCs w:val="23"/>
        </w:rPr>
      </w:pPr>
      <w:proofErr w:type="spellStart"/>
      <w:r>
        <w:rPr>
          <w:rFonts w:eastAsiaTheme="minorHAnsi"/>
          <w:color w:val="000000"/>
          <w:szCs w:val="23"/>
        </w:rPr>
        <w:t>Tel</w:t>
      </w:r>
      <w:proofErr w:type="spellEnd"/>
      <w:r>
        <w:rPr>
          <w:rFonts w:eastAsiaTheme="minorHAnsi"/>
          <w:color w:val="000000"/>
          <w:szCs w:val="23"/>
        </w:rPr>
        <w:t xml:space="preserve">: </w:t>
      </w:r>
      <w:r>
        <w:rPr>
          <w:rFonts w:eastAsiaTheme="minorHAnsi"/>
          <w:color w:val="000000"/>
          <w:szCs w:val="23"/>
        </w:rPr>
        <w:t>051 237 226</w:t>
      </w:r>
    </w:p>
    <w:p w:rsidR="00A07D92" w:rsidRDefault="00495E63">
      <w:pPr>
        <w:shd w:val="clear" w:color="auto" w:fill="FFFFFF"/>
        <w:spacing w:before="240" w:after="120"/>
        <w:jc w:val="left"/>
        <w:rPr>
          <w:rFonts w:eastAsiaTheme="minorHAnsi"/>
          <w:color w:val="000000"/>
          <w:szCs w:val="23"/>
        </w:rPr>
      </w:pPr>
      <w:r>
        <w:rPr>
          <w:rFonts w:eastAsiaTheme="minorHAnsi"/>
          <w:color w:val="000000"/>
          <w:szCs w:val="23"/>
        </w:rPr>
        <w:t>Za poslove socijalne skrbi nadležan je:</w:t>
      </w:r>
    </w:p>
    <w:p w:rsidR="00A07D92" w:rsidRDefault="00495E63">
      <w:pPr>
        <w:shd w:val="clear" w:color="auto" w:fill="FFFFFF"/>
        <w:spacing w:before="240" w:after="120"/>
        <w:jc w:val="left"/>
        <w:rPr>
          <w:color w:val="auto"/>
          <w:szCs w:val="22"/>
          <w:u w:val="single"/>
          <w:lang w:eastAsia="hr-HR"/>
        </w:rPr>
      </w:pPr>
      <w:r>
        <w:rPr>
          <w:b/>
          <w:bCs/>
          <w:color w:val="auto"/>
          <w:szCs w:val="22"/>
          <w:u w:val="single"/>
          <w:lang w:eastAsia="hr-HR"/>
        </w:rPr>
        <w:t>Centar za socijalnu skrb Cres – Lošinj</w:t>
      </w:r>
    </w:p>
    <w:p w:rsidR="00A07D92" w:rsidRDefault="00495E63">
      <w:pPr>
        <w:shd w:val="clear" w:color="auto" w:fill="FFFFFF"/>
        <w:spacing w:before="240" w:after="120"/>
        <w:jc w:val="left"/>
        <w:rPr>
          <w:color w:val="auto"/>
          <w:szCs w:val="22"/>
          <w:lang w:eastAsia="hr-HR"/>
        </w:rPr>
      </w:pPr>
      <w:r>
        <w:rPr>
          <w:color w:val="auto"/>
          <w:szCs w:val="22"/>
          <w:lang w:eastAsia="hr-HR"/>
        </w:rPr>
        <w:t>Riva lošinjskih kapetana 13</w:t>
      </w:r>
    </w:p>
    <w:p w:rsidR="00A07D92" w:rsidRDefault="00495E63">
      <w:pPr>
        <w:shd w:val="clear" w:color="auto" w:fill="FFFFFF"/>
        <w:spacing w:before="240" w:after="120"/>
        <w:jc w:val="left"/>
        <w:rPr>
          <w:color w:val="auto"/>
          <w:szCs w:val="22"/>
          <w:lang w:eastAsia="hr-HR"/>
        </w:rPr>
      </w:pPr>
      <w:r>
        <w:rPr>
          <w:color w:val="auto"/>
          <w:szCs w:val="22"/>
          <w:lang w:eastAsia="hr-HR"/>
        </w:rPr>
        <w:t>51550, Mali Lošinj</w:t>
      </w:r>
    </w:p>
    <w:p w:rsidR="00A07D92" w:rsidRDefault="00495E63">
      <w:pPr>
        <w:shd w:val="clear" w:color="auto" w:fill="FFFFFF"/>
        <w:spacing w:before="240" w:after="120"/>
        <w:jc w:val="left"/>
        <w:rPr>
          <w:color w:val="auto"/>
          <w:szCs w:val="22"/>
          <w:lang w:eastAsia="hr-HR"/>
        </w:rPr>
      </w:pPr>
      <w:r>
        <w:rPr>
          <w:color w:val="auto"/>
          <w:szCs w:val="22"/>
          <w:lang w:eastAsia="hr-HR"/>
        </w:rPr>
        <w:t>Tel. +385 51 571527</w:t>
      </w:r>
    </w:p>
    <w:p w:rsidR="00A07D92" w:rsidRDefault="00495E63">
      <w:pPr>
        <w:shd w:val="clear" w:color="auto" w:fill="FFFFFF"/>
        <w:spacing w:before="240" w:after="120"/>
        <w:jc w:val="left"/>
        <w:rPr>
          <w:color w:val="auto"/>
          <w:szCs w:val="22"/>
          <w:lang w:eastAsia="hr-HR"/>
        </w:rPr>
      </w:pPr>
      <w:proofErr w:type="spellStart"/>
      <w:r>
        <w:rPr>
          <w:color w:val="auto"/>
          <w:szCs w:val="22"/>
          <w:lang w:eastAsia="hr-HR"/>
        </w:rPr>
        <w:t>Fax</w:t>
      </w:r>
      <w:proofErr w:type="spellEnd"/>
      <w:r>
        <w:rPr>
          <w:color w:val="auto"/>
          <w:szCs w:val="22"/>
          <w:lang w:eastAsia="hr-HR"/>
        </w:rPr>
        <w:t>: +385 51 232023</w:t>
      </w:r>
    </w:p>
    <w:p w:rsidR="00A07D92" w:rsidRDefault="00495E63">
      <w:pPr>
        <w:shd w:val="clear" w:color="auto" w:fill="FFFFFF"/>
        <w:spacing w:before="240" w:after="120"/>
        <w:jc w:val="left"/>
        <w:rPr>
          <w:color w:val="auto"/>
          <w:szCs w:val="22"/>
          <w:lang w:eastAsia="hr-HR"/>
        </w:rPr>
      </w:pPr>
      <w:r>
        <w:t>Socijalnu zaštitu provodi Centar za socijalnu skrb u Malom Lošinju, a smještaj</w:t>
      </w:r>
      <w:r>
        <w:t xml:space="preserve"> starijih soba obavlja Dom umirovljenika u Velom Lošinju.</w:t>
      </w:r>
    </w:p>
    <w:p w:rsidR="00A07D92" w:rsidRDefault="00A07D92">
      <w:pPr>
        <w:rPr>
          <w:i/>
          <w:color w:val="54883D"/>
          <w:sz w:val="20"/>
          <w:lang w:bidi="en-US"/>
        </w:rPr>
      </w:pPr>
    </w:p>
    <w:p w:rsidR="00A07D92" w:rsidRDefault="00495E63">
      <w:pPr>
        <w:pStyle w:val="Naslov3"/>
      </w:pPr>
      <w:bookmarkStart w:id="37" w:name="_Toc136522785"/>
      <w:bookmarkStart w:id="38" w:name="_Toc9596583"/>
      <w:r>
        <w:lastRenderedPageBreak/>
        <w:t>2.2.3 Odgojno-obrazovne ustanove</w:t>
      </w:r>
      <w:bookmarkEnd w:id="37"/>
      <w:bookmarkEnd w:id="38"/>
    </w:p>
    <w:p w:rsidR="00A07D92" w:rsidRDefault="00495E63">
      <w:pPr>
        <w:rPr>
          <w:i/>
          <w:u w:val="single"/>
          <w:lang w:eastAsia="hr-HR"/>
        </w:rPr>
      </w:pPr>
      <w:r>
        <w:rPr>
          <w:i/>
          <w:u w:val="single"/>
          <w:lang w:eastAsia="hr-HR"/>
        </w:rPr>
        <w:t>Predškolski odgoj</w:t>
      </w:r>
    </w:p>
    <w:p w:rsidR="00A07D92" w:rsidRDefault="00495E63">
      <w:pPr>
        <w:spacing w:after="0"/>
        <w:rPr>
          <w:u w:val="single"/>
          <w:lang w:eastAsia="hr-HR"/>
        </w:rPr>
      </w:pPr>
      <w:r>
        <w:rPr>
          <w:u w:val="single"/>
          <w:lang w:eastAsia="hr-HR"/>
        </w:rPr>
        <w:t>Dječji vrtić Cvrčak – Matični vrtić</w:t>
      </w:r>
    </w:p>
    <w:p w:rsidR="00A07D92" w:rsidRDefault="00495E63">
      <w:pPr>
        <w:spacing w:after="0"/>
      </w:pPr>
      <w:r>
        <w:t>Omladinska 14, 51550 Mali Lošinj</w:t>
      </w:r>
    </w:p>
    <w:p w:rsidR="00A07D92" w:rsidRDefault="00495E63">
      <w:pPr>
        <w:spacing w:after="0"/>
      </w:pPr>
      <w:r>
        <w:t>Broj telefona: 051/ 233 202</w:t>
      </w:r>
    </w:p>
    <w:p w:rsidR="00A07D92" w:rsidRDefault="00495E63">
      <w:pPr>
        <w:spacing w:after="0"/>
      </w:pPr>
      <w:r>
        <w:t>Broj djece: 205</w:t>
      </w:r>
    </w:p>
    <w:p w:rsidR="00A07D92" w:rsidRDefault="00495E63">
      <w:pPr>
        <w:spacing w:after="0"/>
      </w:pPr>
      <w:r>
        <w:t>Broj djelatnika: 22</w:t>
      </w:r>
    </w:p>
    <w:p w:rsidR="00A07D92" w:rsidRDefault="00A07D92">
      <w:pPr>
        <w:spacing w:after="0"/>
      </w:pPr>
    </w:p>
    <w:p w:rsidR="00A07D92" w:rsidRDefault="00495E63">
      <w:pPr>
        <w:spacing w:after="0"/>
        <w:rPr>
          <w:u w:val="single"/>
          <w:lang w:eastAsia="hr-HR"/>
        </w:rPr>
      </w:pPr>
      <w:r>
        <w:rPr>
          <w:u w:val="single"/>
          <w:lang w:eastAsia="hr-HR"/>
        </w:rPr>
        <w:t xml:space="preserve">Dječji vrtić Cvrčak – podružnica Perla </w:t>
      </w:r>
    </w:p>
    <w:p w:rsidR="00A07D92" w:rsidRDefault="00495E63">
      <w:pPr>
        <w:spacing w:after="0"/>
      </w:pPr>
      <w:r>
        <w:t>Lošinjskih brodograditelja 17, Mali Lošinj</w:t>
      </w:r>
    </w:p>
    <w:p w:rsidR="00A07D92" w:rsidRDefault="00495E63">
      <w:pPr>
        <w:spacing w:after="0"/>
      </w:pPr>
      <w:r>
        <w:t>Broj djece: 20</w:t>
      </w:r>
    </w:p>
    <w:p w:rsidR="00A07D92" w:rsidRDefault="00495E63">
      <w:pPr>
        <w:spacing w:after="0"/>
      </w:pPr>
      <w:r>
        <w:t>Broj djelatnika: 2</w:t>
      </w:r>
    </w:p>
    <w:p w:rsidR="00A07D92" w:rsidRDefault="00495E63">
      <w:pPr>
        <w:spacing w:after="0"/>
        <w:rPr>
          <w:u w:val="single"/>
          <w:lang w:eastAsia="hr-HR"/>
        </w:rPr>
      </w:pPr>
      <w:r>
        <w:rPr>
          <w:u w:val="single"/>
          <w:lang w:eastAsia="hr-HR"/>
        </w:rPr>
        <w:t xml:space="preserve">Dječji vrtić Cvrčak – podružnica </w:t>
      </w:r>
      <w:proofErr w:type="spellStart"/>
      <w:r>
        <w:rPr>
          <w:u w:val="single"/>
          <w:lang w:eastAsia="hr-HR"/>
        </w:rPr>
        <w:t>Žižula</w:t>
      </w:r>
      <w:proofErr w:type="spellEnd"/>
    </w:p>
    <w:p w:rsidR="00A07D92" w:rsidRDefault="00495E63">
      <w:pPr>
        <w:spacing w:after="0"/>
      </w:pPr>
      <w:r>
        <w:t>Vladimira Nazora 41A Veli Lošinj</w:t>
      </w:r>
    </w:p>
    <w:p w:rsidR="00A07D92" w:rsidRDefault="00495E63">
      <w:pPr>
        <w:spacing w:after="0"/>
      </w:pPr>
      <w:r>
        <w:t>Broj djece: 35</w:t>
      </w:r>
    </w:p>
    <w:p w:rsidR="00A07D92" w:rsidRDefault="00495E63">
      <w:pPr>
        <w:spacing w:after="0"/>
      </w:pPr>
      <w:r>
        <w:t>Broj djelatnika: 4</w:t>
      </w:r>
    </w:p>
    <w:p w:rsidR="00A07D92" w:rsidRDefault="00A07D92">
      <w:pPr>
        <w:spacing w:after="0"/>
      </w:pPr>
    </w:p>
    <w:p w:rsidR="00A07D92" w:rsidRDefault="00495E63">
      <w:pPr>
        <w:spacing w:after="0"/>
        <w:rPr>
          <w:u w:val="single"/>
          <w:lang w:eastAsia="hr-HR"/>
        </w:rPr>
      </w:pPr>
      <w:r>
        <w:rPr>
          <w:u w:val="single"/>
          <w:lang w:eastAsia="hr-HR"/>
        </w:rPr>
        <w:t xml:space="preserve">Dječji vrtić Cvrčak – </w:t>
      </w:r>
      <w:r>
        <w:rPr>
          <w:u w:val="single"/>
          <w:lang w:eastAsia="hr-HR"/>
        </w:rPr>
        <w:t xml:space="preserve">podružnica </w:t>
      </w:r>
      <w:proofErr w:type="spellStart"/>
      <w:r>
        <w:rPr>
          <w:u w:val="single"/>
          <w:lang w:eastAsia="hr-HR"/>
        </w:rPr>
        <w:t>Nešpula</w:t>
      </w:r>
      <w:proofErr w:type="spellEnd"/>
    </w:p>
    <w:p w:rsidR="00A07D92" w:rsidRDefault="00495E63">
      <w:pPr>
        <w:spacing w:after="0"/>
      </w:pPr>
      <w:r>
        <w:t>Vladimira Gortana 2, Veli Lošinj</w:t>
      </w:r>
    </w:p>
    <w:p w:rsidR="00A07D92" w:rsidRDefault="00495E63">
      <w:pPr>
        <w:spacing w:after="0"/>
      </w:pPr>
      <w:r>
        <w:t>Broj djece: 13</w:t>
      </w:r>
    </w:p>
    <w:p w:rsidR="00A07D92" w:rsidRDefault="00495E63">
      <w:pPr>
        <w:spacing w:after="0"/>
      </w:pPr>
      <w:r>
        <w:t xml:space="preserve">Broj djelatnika: </w:t>
      </w:r>
    </w:p>
    <w:p w:rsidR="00A07D92" w:rsidRDefault="00A07D92">
      <w:pPr>
        <w:spacing w:after="0"/>
      </w:pPr>
    </w:p>
    <w:p w:rsidR="00A07D92" w:rsidRDefault="00495E63">
      <w:pPr>
        <w:spacing w:after="0"/>
        <w:rPr>
          <w:u w:val="single"/>
          <w:lang w:eastAsia="hr-HR"/>
        </w:rPr>
      </w:pPr>
      <w:r>
        <w:rPr>
          <w:u w:val="single"/>
          <w:lang w:eastAsia="hr-HR"/>
        </w:rPr>
        <w:t xml:space="preserve">Dječji vrtić Cvrčak – podružnica </w:t>
      </w:r>
      <w:proofErr w:type="spellStart"/>
      <w:r>
        <w:rPr>
          <w:u w:val="single"/>
          <w:lang w:eastAsia="hr-HR"/>
        </w:rPr>
        <w:t>Žalići</w:t>
      </w:r>
      <w:proofErr w:type="spellEnd"/>
    </w:p>
    <w:p w:rsidR="00A07D92" w:rsidRDefault="00495E63">
      <w:pPr>
        <w:spacing w:after="0"/>
      </w:pPr>
      <w:r>
        <w:t xml:space="preserve">Marija </w:t>
      </w:r>
      <w:proofErr w:type="spellStart"/>
      <w:r>
        <w:t>Marinculića</w:t>
      </w:r>
      <w:proofErr w:type="spellEnd"/>
      <w:r>
        <w:t xml:space="preserve"> 21, </w:t>
      </w:r>
      <w:proofErr w:type="spellStart"/>
      <w:r>
        <w:t>Nerezine</w:t>
      </w:r>
      <w:proofErr w:type="spellEnd"/>
    </w:p>
    <w:p w:rsidR="00A07D92" w:rsidRDefault="00495E63">
      <w:pPr>
        <w:spacing w:after="0"/>
      </w:pPr>
      <w:r>
        <w:t>Broj djece: 12</w:t>
      </w:r>
    </w:p>
    <w:p w:rsidR="00A07D92" w:rsidRDefault="00495E63">
      <w:pPr>
        <w:spacing w:after="0"/>
      </w:pPr>
      <w:r>
        <w:t>Broj djelatnika: 2</w:t>
      </w:r>
    </w:p>
    <w:p w:rsidR="00A07D92" w:rsidRDefault="00A07D92">
      <w:pPr>
        <w:spacing w:after="0"/>
      </w:pPr>
    </w:p>
    <w:p w:rsidR="00A07D92" w:rsidRDefault="00495E63">
      <w:pPr>
        <w:spacing w:before="0" w:after="200"/>
        <w:jc w:val="left"/>
        <w:rPr>
          <w:i/>
          <w:u w:val="single"/>
        </w:rPr>
      </w:pPr>
      <w:r>
        <w:rPr>
          <w:i/>
          <w:u w:val="single"/>
        </w:rPr>
        <w:t>Osnovnoškolsko obrazovanje</w:t>
      </w:r>
    </w:p>
    <w:p w:rsidR="00A07D92" w:rsidRDefault="00495E63">
      <w:pPr>
        <w:spacing w:before="120" w:after="120"/>
        <w:rPr>
          <w:u w:val="single"/>
          <w:lang w:eastAsia="hr-HR"/>
        </w:rPr>
      </w:pPr>
      <w:r>
        <w:rPr>
          <w:u w:val="single"/>
          <w:lang w:eastAsia="hr-HR"/>
        </w:rPr>
        <w:t xml:space="preserve">Osnovna škola Maria </w:t>
      </w:r>
      <w:proofErr w:type="spellStart"/>
      <w:r>
        <w:rPr>
          <w:u w:val="single"/>
          <w:lang w:eastAsia="hr-HR"/>
        </w:rPr>
        <w:t>Martinolića</w:t>
      </w:r>
      <w:proofErr w:type="spellEnd"/>
      <w:r>
        <w:rPr>
          <w:u w:val="single"/>
          <w:lang w:eastAsia="hr-HR"/>
        </w:rPr>
        <w:t xml:space="preserve"> – Ma</w:t>
      </w:r>
      <w:r>
        <w:rPr>
          <w:u w:val="single"/>
          <w:lang w:eastAsia="hr-HR"/>
        </w:rPr>
        <w:t>tična škola</w:t>
      </w:r>
    </w:p>
    <w:p w:rsidR="00A07D92" w:rsidRDefault="00495E63">
      <w:pPr>
        <w:spacing w:before="120" w:after="120"/>
      </w:pPr>
      <w:r>
        <w:t>Omladinska 11, 51550 Mali Lošinj</w:t>
      </w:r>
    </w:p>
    <w:p w:rsidR="00A07D92" w:rsidRDefault="00495E63">
      <w:pPr>
        <w:spacing w:before="120" w:after="120"/>
      </w:pPr>
      <w:r>
        <w:t>Broj telefona/</w:t>
      </w:r>
      <w:proofErr w:type="spellStart"/>
      <w:r>
        <w:t>fax</w:t>
      </w:r>
      <w:proofErr w:type="spellEnd"/>
      <w:r>
        <w:t>.: 051 231 153</w:t>
      </w:r>
    </w:p>
    <w:p w:rsidR="00A07D92" w:rsidRDefault="00495E63">
      <w:pPr>
        <w:spacing w:before="120" w:after="120"/>
      </w:pPr>
      <w:r>
        <w:t xml:space="preserve">e-mail: </w:t>
      </w:r>
      <w:hyperlink r:id="rId32">
        <w:r>
          <w:rPr>
            <w:rStyle w:val="Internetskapoveznica"/>
          </w:rPr>
          <w:t>os.maria.martinolica@os-mmartinolica.skole.hr</w:t>
        </w:r>
      </w:hyperlink>
      <w:r>
        <w:t xml:space="preserve"> </w:t>
      </w:r>
    </w:p>
    <w:p w:rsidR="00A07D92" w:rsidRDefault="00495E63">
      <w:pPr>
        <w:spacing w:before="120" w:after="120"/>
      </w:pPr>
      <w:r>
        <w:t>Broj djelatnika: 89</w:t>
      </w:r>
    </w:p>
    <w:p w:rsidR="00A07D92" w:rsidRDefault="00495E63">
      <w:pPr>
        <w:spacing w:before="120" w:after="120"/>
      </w:pPr>
      <w:r>
        <w:t>Broj učenika: 501</w:t>
      </w:r>
    </w:p>
    <w:p w:rsidR="00A07D92" w:rsidRDefault="00495E63">
      <w:pPr>
        <w:spacing w:before="120" w:after="120"/>
        <w:rPr>
          <w:u w:val="single"/>
          <w:lang w:eastAsia="hr-HR"/>
        </w:rPr>
      </w:pPr>
      <w:r>
        <w:rPr>
          <w:u w:val="single"/>
          <w:lang w:eastAsia="hr-HR"/>
        </w:rPr>
        <w:t>Područna škola</w:t>
      </w:r>
      <w:r>
        <w:rPr>
          <w:u w:val="single"/>
          <w:lang w:eastAsia="hr-HR"/>
        </w:rPr>
        <w:t xml:space="preserve"> Veli Lošinj</w:t>
      </w:r>
    </w:p>
    <w:p w:rsidR="00A07D92" w:rsidRDefault="00495E63">
      <w:pPr>
        <w:spacing w:before="120" w:after="120"/>
      </w:pPr>
      <w:r>
        <w:t>Broj učenika: 28</w:t>
      </w:r>
    </w:p>
    <w:p w:rsidR="00A07D92" w:rsidRDefault="00495E63">
      <w:pPr>
        <w:spacing w:before="120" w:after="120"/>
        <w:rPr>
          <w:u w:val="single"/>
          <w:lang w:eastAsia="hr-HR"/>
        </w:rPr>
      </w:pPr>
      <w:r>
        <w:rPr>
          <w:u w:val="single"/>
          <w:lang w:eastAsia="hr-HR"/>
        </w:rPr>
        <w:lastRenderedPageBreak/>
        <w:t xml:space="preserve">Područna škola </w:t>
      </w:r>
      <w:proofErr w:type="spellStart"/>
      <w:r>
        <w:rPr>
          <w:u w:val="single"/>
          <w:lang w:eastAsia="hr-HR"/>
        </w:rPr>
        <w:t>Nerezine</w:t>
      </w:r>
      <w:proofErr w:type="spellEnd"/>
    </w:p>
    <w:p w:rsidR="00A07D92" w:rsidRDefault="00495E63">
      <w:pPr>
        <w:spacing w:before="0" w:after="0"/>
      </w:pPr>
      <w:r>
        <w:t>Broj učenika: 8</w:t>
      </w:r>
    </w:p>
    <w:p w:rsidR="00A07D92" w:rsidRDefault="00495E63">
      <w:pPr>
        <w:spacing w:before="120" w:after="120"/>
        <w:rPr>
          <w:u w:val="single"/>
          <w:lang w:eastAsia="hr-HR"/>
        </w:rPr>
      </w:pPr>
      <w:r>
        <w:rPr>
          <w:u w:val="single"/>
          <w:lang w:eastAsia="hr-HR"/>
        </w:rPr>
        <w:t>Područna škola Unije</w:t>
      </w:r>
    </w:p>
    <w:p w:rsidR="00A07D92" w:rsidRDefault="00495E63">
      <w:pPr>
        <w:spacing w:before="0" w:after="0"/>
        <w:rPr>
          <w:u w:val="single"/>
          <w:lang w:eastAsia="hr-HR"/>
        </w:rPr>
      </w:pPr>
      <w:r>
        <w:t>Broj učenika: 4</w:t>
      </w:r>
    </w:p>
    <w:p w:rsidR="00A07D92" w:rsidRDefault="00495E63">
      <w:pPr>
        <w:spacing w:before="120" w:after="120"/>
        <w:rPr>
          <w:u w:val="single"/>
          <w:lang w:eastAsia="hr-HR"/>
        </w:rPr>
      </w:pPr>
      <w:r>
        <w:rPr>
          <w:u w:val="single"/>
          <w:lang w:eastAsia="hr-HR"/>
        </w:rPr>
        <w:t>Područna škola Susak</w:t>
      </w:r>
    </w:p>
    <w:p w:rsidR="00A07D92" w:rsidRDefault="00495E63">
      <w:pPr>
        <w:spacing w:before="0" w:after="0"/>
        <w:rPr>
          <w:u w:val="single"/>
          <w:lang w:eastAsia="hr-HR"/>
        </w:rPr>
      </w:pPr>
      <w:r>
        <w:t>Broj učenika: 4</w:t>
      </w:r>
    </w:p>
    <w:p w:rsidR="00A07D92" w:rsidRDefault="00495E63">
      <w:pPr>
        <w:spacing w:before="120" w:after="120"/>
        <w:rPr>
          <w:u w:val="single"/>
          <w:lang w:eastAsia="hr-HR"/>
        </w:rPr>
      </w:pPr>
      <w:r>
        <w:rPr>
          <w:u w:val="single"/>
          <w:lang w:eastAsia="hr-HR"/>
        </w:rPr>
        <w:t>Područna škola Ilovik</w:t>
      </w:r>
    </w:p>
    <w:p w:rsidR="00A07D92" w:rsidRDefault="00495E63">
      <w:pPr>
        <w:spacing w:before="0" w:after="0"/>
        <w:rPr>
          <w:u w:val="single"/>
          <w:lang w:eastAsia="hr-HR"/>
        </w:rPr>
      </w:pPr>
      <w:r>
        <w:t>Broj učenika: 8</w:t>
      </w:r>
    </w:p>
    <w:p w:rsidR="00A07D92" w:rsidRDefault="00495E63">
      <w:pPr>
        <w:rPr>
          <w:i/>
          <w:u w:val="single"/>
          <w:lang w:eastAsia="hr-HR"/>
        </w:rPr>
      </w:pPr>
      <w:r>
        <w:rPr>
          <w:i/>
          <w:u w:val="single"/>
          <w:lang w:eastAsia="hr-HR"/>
        </w:rPr>
        <w:t>Srednjoškolsko obrazovanje</w:t>
      </w:r>
    </w:p>
    <w:p w:rsidR="00A07D92" w:rsidRDefault="00495E63">
      <w:pPr>
        <w:spacing w:before="0" w:after="0"/>
        <w:rPr>
          <w:u w:val="single"/>
          <w:lang w:eastAsia="hr-HR"/>
        </w:rPr>
      </w:pPr>
      <w:r>
        <w:rPr>
          <w:u w:val="single"/>
          <w:lang w:eastAsia="hr-HR"/>
        </w:rPr>
        <w:t xml:space="preserve">Srednja škola Ambroza </w:t>
      </w:r>
      <w:proofErr w:type="spellStart"/>
      <w:r>
        <w:rPr>
          <w:u w:val="single"/>
          <w:lang w:eastAsia="hr-HR"/>
        </w:rPr>
        <w:t>Haračića</w:t>
      </w:r>
      <w:proofErr w:type="spellEnd"/>
    </w:p>
    <w:p w:rsidR="00A07D92" w:rsidRDefault="00495E63">
      <w:pPr>
        <w:spacing w:after="0"/>
        <w:rPr>
          <w:lang w:eastAsia="hr-HR"/>
        </w:rPr>
      </w:pPr>
      <w:r>
        <w:rPr>
          <w:lang w:eastAsia="hr-HR"/>
        </w:rPr>
        <w:t xml:space="preserve">Omladinska 12, </w:t>
      </w:r>
      <w:r>
        <w:rPr>
          <w:lang w:eastAsia="hr-HR"/>
        </w:rPr>
        <w:t>Mali Lošinj</w:t>
      </w:r>
    </w:p>
    <w:p w:rsidR="00A07D92" w:rsidRDefault="00495E63">
      <w:pPr>
        <w:spacing w:after="0"/>
        <w:rPr>
          <w:lang w:eastAsia="hr-HR"/>
        </w:rPr>
      </w:pPr>
      <w:r>
        <w:rPr>
          <w:lang w:eastAsia="hr-HR"/>
        </w:rPr>
        <w:t>Broj telefona: 051 231 101</w:t>
      </w:r>
    </w:p>
    <w:p w:rsidR="00A07D92" w:rsidRDefault="00495E63">
      <w:pPr>
        <w:spacing w:after="0"/>
        <w:rPr>
          <w:lang w:eastAsia="hr-HR"/>
        </w:rPr>
      </w:pPr>
      <w:proofErr w:type="spellStart"/>
      <w:r>
        <w:rPr>
          <w:lang w:eastAsia="hr-HR"/>
        </w:rPr>
        <w:t>Email</w:t>
      </w:r>
      <w:proofErr w:type="spellEnd"/>
      <w:r>
        <w:rPr>
          <w:lang w:eastAsia="hr-HR"/>
        </w:rPr>
        <w:t>: tajnistvo@ss-aharacica-malilosinj.skole.hr</w:t>
      </w:r>
    </w:p>
    <w:p w:rsidR="00A07D92" w:rsidRDefault="00495E63">
      <w:pPr>
        <w:spacing w:after="0"/>
        <w:rPr>
          <w:lang w:eastAsia="hr-HR"/>
        </w:rPr>
      </w:pPr>
      <w:r>
        <w:rPr>
          <w:lang w:eastAsia="hr-HR"/>
        </w:rPr>
        <w:t>Broj djelatnika: 62</w:t>
      </w:r>
    </w:p>
    <w:p w:rsidR="00A07D92" w:rsidRDefault="00495E63">
      <w:pPr>
        <w:spacing w:after="0"/>
        <w:rPr>
          <w:lang w:eastAsia="hr-HR"/>
        </w:rPr>
      </w:pPr>
      <w:r>
        <w:rPr>
          <w:lang w:eastAsia="hr-HR"/>
        </w:rPr>
        <w:t>Broj učenika: 284</w:t>
      </w:r>
    </w:p>
    <w:p w:rsidR="00A07D92" w:rsidRDefault="00A07D92">
      <w:pPr>
        <w:spacing w:after="0"/>
        <w:rPr>
          <w:lang w:eastAsia="hr-HR"/>
        </w:rPr>
      </w:pPr>
    </w:p>
    <w:p w:rsidR="00A07D92" w:rsidRDefault="00A07D92">
      <w:pPr>
        <w:spacing w:after="0"/>
        <w:rPr>
          <w:lang w:eastAsia="hr-HR"/>
        </w:rPr>
      </w:pPr>
    </w:p>
    <w:p w:rsidR="00A07D92" w:rsidRDefault="00495E63">
      <w:pPr>
        <w:pStyle w:val="Naslov3"/>
      </w:pPr>
      <w:bookmarkStart w:id="39" w:name="_Toc136522786"/>
      <w:bookmarkStart w:id="40" w:name="_Toc9596584"/>
      <w:r>
        <w:t>2.2.4 Broj kućanstava</w:t>
      </w:r>
      <w:bookmarkEnd w:id="39"/>
      <w:bookmarkEnd w:id="40"/>
    </w:p>
    <w:p w:rsidR="00A07D92" w:rsidRDefault="00495E63">
      <w:pPr>
        <w:spacing w:before="0"/>
        <w:jc w:val="center"/>
        <w:rPr>
          <w:rFonts w:eastAsia="Calibri"/>
          <w:bCs/>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5</w:t>
      </w:r>
      <w:r>
        <w:rPr>
          <w:rFonts w:eastAsia="Calibri"/>
          <w:bCs/>
          <w:sz w:val="20"/>
          <w:szCs w:val="20"/>
        </w:rPr>
        <w:fldChar w:fldCharType="end"/>
      </w:r>
      <w:r>
        <w:rPr>
          <w:rFonts w:eastAsia="Calibri"/>
          <w:bCs/>
          <w:color w:val="54883D"/>
          <w:sz w:val="20"/>
          <w:szCs w:val="20"/>
        </w:rPr>
        <w:t xml:space="preserve">. </w:t>
      </w:r>
      <w:r>
        <w:rPr>
          <w:color w:val="54883D"/>
          <w:sz w:val="20"/>
          <w:szCs w:val="20"/>
        </w:rPr>
        <w:t>Broj kućanstava na području grada Malog Lošinja</w:t>
      </w:r>
    </w:p>
    <w:tbl>
      <w:tblPr>
        <w:tblW w:w="7656" w:type="dxa"/>
        <w:jc w:val="center"/>
        <w:tblLook w:val="04A0" w:firstRow="1" w:lastRow="0" w:firstColumn="1" w:lastColumn="0" w:noHBand="0" w:noVBand="1"/>
      </w:tblPr>
      <w:tblGrid>
        <w:gridCol w:w="3964"/>
        <w:gridCol w:w="3692"/>
      </w:tblGrid>
      <w:tr w:rsidR="00A07D92">
        <w:trPr>
          <w:jc w:val="center"/>
        </w:trPr>
        <w:tc>
          <w:tcPr>
            <w:tcW w:w="76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GRAD MALI LOŠINJ</w:t>
            </w:r>
          </w:p>
        </w:tc>
      </w:tr>
      <w:tr w:rsidR="00A07D92">
        <w:trPr>
          <w:jc w:val="center"/>
        </w:trPr>
        <w:tc>
          <w:tcPr>
            <w:tcW w:w="39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szCs w:val="20"/>
              </w:rPr>
            </w:pPr>
            <w:r>
              <w:rPr>
                <w:sz w:val="20"/>
                <w:szCs w:val="20"/>
              </w:rPr>
              <w:t>Ukupan broj kućanstava</w:t>
            </w:r>
          </w:p>
        </w:tc>
        <w:tc>
          <w:tcPr>
            <w:tcW w:w="36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szCs w:val="20"/>
              </w:rPr>
            </w:pPr>
            <w:r>
              <w:rPr>
                <w:sz w:val="20"/>
                <w:szCs w:val="20"/>
              </w:rPr>
              <w:t>2.999</w:t>
            </w:r>
          </w:p>
        </w:tc>
      </w:tr>
      <w:tr w:rsidR="00A07D92">
        <w:trPr>
          <w:jc w:val="center"/>
        </w:trPr>
        <w:tc>
          <w:tcPr>
            <w:tcW w:w="39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szCs w:val="20"/>
              </w:rPr>
            </w:pPr>
            <w:r>
              <w:rPr>
                <w:sz w:val="20"/>
                <w:szCs w:val="20"/>
              </w:rPr>
              <w:t>Prosječan broj osoba u kućanstvu</w:t>
            </w:r>
          </w:p>
        </w:tc>
        <w:tc>
          <w:tcPr>
            <w:tcW w:w="36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szCs w:val="20"/>
              </w:rPr>
            </w:pPr>
            <w:r>
              <w:rPr>
                <w:sz w:val="20"/>
                <w:szCs w:val="20"/>
              </w:rPr>
              <w:t>2,52</w:t>
            </w:r>
          </w:p>
        </w:tc>
      </w:tr>
    </w:tbl>
    <w:p w:rsidR="00A07D92" w:rsidRDefault="00495E63">
      <w:pPr>
        <w:spacing w:before="120" w:after="120"/>
        <w:jc w:val="center"/>
        <w:rPr>
          <w:i/>
          <w:color w:val="54883D"/>
          <w:sz w:val="20"/>
          <w:szCs w:val="18"/>
        </w:rPr>
      </w:pPr>
      <w:r>
        <w:rPr>
          <w:i/>
          <w:color w:val="54883D"/>
          <w:sz w:val="20"/>
          <w:szCs w:val="18"/>
        </w:rPr>
        <w:t>Izvor: DZS, Popis stanovništva 2021.</w:t>
      </w:r>
    </w:p>
    <w:p w:rsidR="00A07D92" w:rsidRDefault="00A07D92">
      <w:pPr>
        <w:spacing w:before="0" w:after="0"/>
        <w:jc w:val="center"/>
        <w:rPr>
          <w:i/>
          <w:color w:val="54883D"/>
          <w:sz w:val="20"/>
          <w:szCs w:val="18"/>
          <w:highlight w:val="yellow"/>
        </w:rPr>
      </w:pPr>
    </w:p>
    <w:p w:rsidR="00A07D92" w:rsidRDefault="00A07D92">
      <w:pPr>
        <w:spacing w:before="0" w:after="0"/>
        <w:jc w:val="center"/>
        <w:rPr>
          <w:i/>
          <w:color w:val="54883D"/>
          <w:sz w:val="20"/>
          <w:szCs w:val="18"/>
        </w:rPr>
      </w:pPr>
    </w:p>
    <w:p w:rsidR="00A07D92" w:rsidRDefault="00A07D92">
      <w:pPr>
        <w:spacing w:before="0" w:after="0"/>
        <w:jc w:val="center"/>
        <w:rPr>
          <w:i/>
          <w:color w:val="54883D"/>
          <w:sz w:val="20"/>
          <w:szCs w:val="18"/>
        </w:rPr>
      </w:pPr>
    </w:p>
    <w:p w:rsidR="00A07D92" w:rsidRDefault="00A07D92">
      <w:pPr>
        <w:spacing w:before="0" w:after="0"/>
        <w:jc w:val="center"/>
        <w:rPr>
          <w:i/>
          <w:color w:val="54883D"/>
          <w:sz w:val="20"/>
          <w:szCs w:val="18"/>
        </w:rPr>
      </w:pPr>
    </w:p>
    <w:p w:rsidR="00A07D92" w:rsidRDefault="00A07D92">
      <w:pPr>
        <w:spacing w:before="0" w:after="0"/>
        <w:jc w:val="center"/>
        <w:rPr>
          <w:i/>
          <w:color w:val="54883D"/>
          <w:sz w:val="20"/>
          <w:szCs w:val="18"/>
        </w:rPr>
      </w:pPr>
    </w:p>
    <w:p w:rsidR="00A07D92" w:rsidRDefault="00A07D92">
      <w:pPr>
        <w:spacing w:before="0" w:after="0"/>
        <w:jc w:val="center"/>
        <w:rPr>
          <w:i/>
          <w:color w:val="54883D"/>
          <w:sz w:val="20"/>
          <w:szCs w:val="18"/>
        </w:rPr>
      </w:pPr>
    </w:p>
    <w:p w:rsidR="00A07D92" w:rsidRDefault="00A07D92">
      <w:pPr>
        <w:spacing w:before="0" w:after="0"/>
        <w:jc w:val="center"/>
        <w:rPr>
          <w:i/>
          <w:color w:val="54883D"/>
          <w:sz w:val="20"/>
          <w:szCs w:val="18"/>
        </w:rPr>
      </w:pPr>
    </w:p>
    <w:p w:rsidR="00A07D92" w:rsidRDefault="00A07D92">
      <w:pPr>
        <w:spacing w:before="0" w:after="0"/>
        <w:jc w:val="center"/>
        <w:rPr>
          <w:i/>
          <w:color w:val="54883D"/>
          <w:sz w:val="20"/>
          <w:szCs w:val="18"/>
        </w:rPr>
      </w:pPr>
    </w:p>
    <w:p w:rsidR="00A07D92" w:rsidRDefault="00A07D92">
      <w:pPr>
        <w:spacing w:before="0" w:after="0"/>
        <w:jc w:val="center"/>
        <w:rPr>
          <w:i/>
          <w:color w:val="54883D"/>
          <w:sz w:val="20"/>
          <w:szCs w:val="18"/>
        </w:rPr>
      </w:pPr>
    </w:p>
    <w:p w:rsidR="00A07D92" w:rsidRDefault="00A07D92">
      <w:pPr>
        <w:spacing w:before="0" w:after="0"/>
        <w:jc w:val="center"/>
        <w:rPr>
          <w:i/>
          <w:color w:val="54883D"/>
          <w:sz w:val="20"/>
          <w:szCs w:val="18"/>
        </w:rPr>
      </w:pPr>
    </w:p>
    <w:p w:rsidR="00A07D92" w:rsidRDefault="00A07D92">
      <w:pPr>
        <w:spacing w:before="0" w:after="0"/>
        <w:jc w:val="center"/>
        <w:rPr>
          <w:i/>
          <w:color w:val="54883D"/>
          <w:sz w:val="20"/>
          <w:szCs w:val="18"/>
        </w:rPr>
      </w:pPr>
    </w:p>
    <w:p w:rsidR="00A07D92" w:rsidRDefault="00A07D92">
      <w:pPr>
        <w:spacing w:before="0" w:after="0"/>
        <w:jc w:val="center"/>
        <w:rPr>
          <w:i/>
          <w:color w:val="54883D"/>
          <w:sz w:val="20"/>
          <w:szCs w:val="18"/>
        </w:rPr>
      </w:pPr>
    </w:p>
    <w:p w:rsidR="00A07D92" w:rsidRDefault="00A07D92">
      <w:pPr>
        <w:spacing w:before="0" w:after="0"/>
        <w:jc w:val="center"/>
        <w:rPr>
          <w:i/>
          <w:color w:val="54883D"/>
          <w:sz w:val="20"/>
          <w:szCs w:val="18"/>
        </w:rPr>
      </w:pPr>
    </w:p>
    <w:p w:rsidR="00A07D92" w:rsidRDefault="00495E63">
      <w:pPr>
        <w:pStyle w:val="Naslov3"/>
      </w:pPr>
      <w:bookmarkStart w:id="41" w:name="_Toc136522787"/>
      <w:bookmarkStart w:id="42" w:name="_Toc9596586"/>
      <w:r>
        <w:lastRenderedPageBreak/>
        <w:t>2.2.5 Broj, vrsta (namjena) i starost građevina</w:t>
      </w:r>
      <w:bookmarkEnd w:id="41"/>
      <w:bookmarkEnd w:id="42"/>
    </w:p>
    <w:p w:rsidR="00A07D92" w:rsidRDefault="00495E63">
      <w:pPr>
        <w:rPr>
          <w:color w:val="auto"/>
        </w:rPr>
      </w:pPr>
      <w:r>
        <w:rPr>
          <w:color w:val="auto"/>
        </w:rPr>
        <w:t>Prema popisu stanova prema načinu korištenja</w:t>
      </w:r>
      <w:r>
        <w:rPr>
          <w:rStyle w:val="Sidrofusnote"/>
          <w:color w:val="auto"/>
        </w:rPr>
        <w:footnoteReference w:id="3"/>
      </w:r>
      <w:r>
        <w:rPr>
          <w:color w:val="auto"/>
        </w:rPr>
        <w:t xml:space="preserve"> u gradu Malom Lošinju ukupno je 8.415 stanova, od kojih se za stalno stanovanje koristi 4.184 stanova. Od stanova za stalno stanovanje nastanjenih je 4.184. </w:t>
      </w:r>
    </w:p>
    <w:p w:rsidR="00A07D92" w:rsidRDefault="00495E63">
      <w:pPr>
        <w:rPr>
          <w:color w:val="auto"/>
        </w:rPr>
      </w:pPr>
      <w:r>
        <w:rPr>
          <w:color w:val="auto"/>
        </w:rPr>
        <w:t>Podaci za područje Grada Malog Lošinja koji bi klasificirali sve izgrađene stambene objekte prema</w:t>
      </w:r>
      <w:r>
        <w:rPr>
          <w:color w:val="auto"/>
        </w:rPr>
        <w:t xml:space="preserve"> niže navedenoj podjeli još ne postoje. Kako bi se dobio približan postotni udio stambenih objekata po pojedinim tipovima, korišteni su procijenjeni podaci. </w:t>
      </w:r>
    </w:p>
    <w:p w:rsidR="00A07D92" w:rsidRDefault="00495E63">
      <w:pPr>
        <w:spacing w:after="0"/>
        <w:rPr>
          <w:b/>
          <w:bCs/>
          <w:i/>
          <w:iCs/>
          <w:spacing w:val="5"/>
        </w:rPr>
      </w:pPr>
      <w:r>
        <w:rPr>
          <w:b/>
          <w:bCs/>
          <w:i/>
          <w:iCs/>
          <w:spacing w:val="5"/>
        </w:rPr>
        <w:t>Podjela objekata po kategorijama gradnje:</w:t>
      </w:r>
    </w:p>
    <w:p w:rsidR="00A07D92" w:rsidRDefault="00495E63">
      <w:pPr>
        <w:spacing w:line="360" w:lineRule="auto"/>
        <w:rPr>
          <w:szCs w:val="22"/>
        </w:rPr>
      </w:pPr>
      <w:r>
        <w:rPr>
          <w:szCs w:val="22"/>
        </w:rPr>
        <w:t>Sve objekte po starosti gradnje možemo podijeliti u 5 ka</w:t>
      </w:r>
      <w:r>
        <w:rPr>
          <w:szCs w:val="22"/>
        </w:rPr>
        <w:t>tegorija:</w:t>
      </w:r>
    </w:p>
    <w:p w:rsidR="00A07D92" w:rsidRDefault="00495E63">
      <w:pPr>
        <w:numPr>
          <w:ilvl w:val="0"/>
          <w:numId w:val="10"/>
        </w:numPr>
        <w:tabs>
          <w:tab w:val="left" w:pos="426"/>
          <w:tab w:val="left" w:pos="2445"/>
          <w:tab w:val="left" w:pos="4536"/>
          <w:tab w:val="left" w:pos="7920"/>
        </w:tabs>
        <w:spacing w:before="120" w:after="120"/>
        <w:contextualSpacing/>
        <w:rPr>
          <w:color w:val="auto"/>
          <w:szCs w:val="22"/>
          <w:highlight w:val="white"/>
          <w:lang w:eastAsia="hr-HR"/>
        </w:rPr>
      </w:pPr>
      <w:r>
        <w:rPr>
          <w:color w:val="auto"/>
          <w:szCs w:val="22"/>
          <w:shd w:val="clear" w:color="auto" w:fill="FFFFFF"/>
          <w:lang w:eastAsia="hr-HR"/>
        </w:rPr>
        <w:t>I - zidane zgrade (zgrade zidane do 1920. godine)</w:t>
      </w:r>
    </w:p>
    <w:p w:rsidR="00A07D92" w:rsidRDefault="00495E63">
      <w:pPr>
        <w:numPr>
          <w:ilvl w:val="0"/>
          <w:numId w:val="10"/>
        </w:numPr>
        <w:tabs>
          <w:tab w:val="left" w:pos="426"/>
          <w:tab w:val="left" w:pos="2445"/>
          <w:tab w:val="left" w:pos="4536"/>
          <w:tab w:val="left" w:pos="7920"/>
        </w:tabs>
        <w:spacing w:before="120" w:after="120"/>
        <w:contextualSpacing/>
        <w:rPr>
          <w:color w:val="auto"/>
          <w:szCs w:val="22"/>
          <w:highlight w:val="white"/>
          <w:lang w:eastAsia="hr-HR"/>
        </w:rPr>
      </w:pPr>
      <w:r>
        <w:rPr>
          <w:color w:val="auto"/>
          <w:szCs w:val="22"/>
          <w:shd w:val="clear" w:color="auto" w:fill="FFFFFF"/>
          <w:lang w:eastAsia="hr-HR"/>
        </w:rPr>
        <w:t xml:space="preserve">II - zidane zgrade s armirano betonskim </w:t>
      </w:r>
      <w:proofErr w:type="spellStart"/>
      <w:r>
        <w:rPr>
          <w:color w:val="auto"/>
          <w:szCs w:val="22"/>
          <w:shd w:val="clear" w:color="auto" w:fill="FFFFFF"/>
          <w:lang w:eastAsia="hr-HR"/>
        </w:rPr>
        <w:t>serklažima</w:t>
      </w:r>
      <w:proofErr w:type="spellEnd"/>
      <w:r>
        <w:rPr>
          <w:color w:val="auto"/>
          <w:szCs w:val="22"/>
          <w:shd w:val="clear" w:color="auto" w:fill="FFFFFF"/>
          <w:lang w:eastAsia="hr-HR"/>
        </w:rPr>
        <w:t xml:space="preserve"> (od 1921. do 1945. godine)</w:t>
      </w:r>
    </w:p>
    <w:p w:rsidR="00A07D92" w:rsidRDefault="00495E63">
      <w:pPr>
        <w:numPr>
          <w:ilvl w:val="0"/>
          <w:numId w:val="10"/>
        </w:numPr>
        <w:tabs>
          <w:tab w:val="left" w:pos="426"/>
          <w:tab w:val="left" w:pos="2445"/>
          <w:tab w:val="left" w:pos="4536"/>
          <w:tab w:val="left" w:pos="7920"/>
        </w:tabs>
        <w:spacing w:before="120" w:after="120"/>
        <w:contextualSpacing/>
        <w:rPr>
          <w:color w:val="auto"/>
          <w:szCs w:val="22"/>
          <w:highlight w:val="white"/>
          <w:lang w:eastAsia="hr-HR"/>
        </w:rPr>
      </w:pPr>
      <w:r>
        <w:rPr>
          <w:color w:val="auto"/>
          <w:szCs w:val="22"/>
          <w:shd w:val="clear" w:color="auto" w:fill="FFFFFF"/>
          <w:lang w:eastAsia="hr-HR"/>
        </w:rPr>
        <w:t>III - armiranobetonske skeletne zgrade (od 1946. do 1960. godine)</w:t>
      </w:r>
    </w:p>
    <w:p w:rsidR="00A07D92" w:rsidRDefault="00495E63">
      <w:pPr>
        <w:numPr>
          <w:ilvl w:val="0"/>
          <w:numId w:val="10"/>
        </w:numPr>
        <w:tabs>
          <w:tab w:val="left" w:pos="426"/>
          <w:tab w:val="left" w:pos="2445"/>
          <w:tab w:val="left" w:pos="4536"/>
          <w:tab w:val="left" w:pos="7920"/>
        </w:tabs>
        <w:spacing w:before="120" w:after="120"/>
        <w:contextualSpacing/>
        <w:rPr>
          <w:color w:val="auto"/>
          <w:szCs w:val="22"/>
          <w:highlight w:val="white"/>
          <w:lang w:eastAsia="hr-HR"/>
        </w:rPr>
      </w:pPr>
      <w:r>
        <w:rPr>
          <w:color w:val="auto"/>
          <w:szCs w:val="22"/>
          <w:shd w:val="clear" w:color="auto" w:fill="FFFFFF"/>
          <w:lang w:eastAsia="hr-HR"/>
        </w:rPr>
        <w:t>IV - zgrade sa sustavom armiranobetonskih nosivih zi</w:t>
      </w:r>
      <w:r>
        <w:rPr>
          <w:color w:val="auto"/>
          <w:szCs w:val="22"/>
          <w:shd w:val="clear" w:color="auto" w:fill="FFFFFF"/>
          <w:lang w:eastAsia="hr-HR"/>
        </w:rPr>
        <w:t>dova (od 1960. do 1980. godine)</w:t>
      </w:r>
    </w:p>
    <w:p w:rsidR="00A07D92" w:rsidRDefault="00495E63">
      <w:pPr>
        <w:numPr>
          <w:ilvl w:val="0"/>
          <w:numId w:val="10"/>
        </w:numPr>
        <w:tabs>
          <w:tab w:val="left" w:pos="426"/>
          <w:tab w:val="left" w:pos="2445"/>
          <w:tab w:val="left" w:pos="4536"/>
          <w:tab w:val="left" w:pos="7920"/>
        </w:tabs>
        <w:spacing w:before="120" w:after="120"/>
        <w:contextualSpacing/>
        <w:rPr>
          <w:color w:val="auto"/>
          <w:szCs w:val="22"/>
          <w:highlight w:val="white"/>
          <w:lang w:eastAsia="hr-HR"/>
        </w:rPr>
      </w:pPr>
      <w:r>
        <w:rPr>
          <w:color w:val="auto"/>
          <w:szCs w:val="22"/>
          <w:shd w:val="clear" w:color="auto" w:fill="FFFFFF"/>
          <w:lang w:eastAsia="hr-HR"/>
        </w:rPr>
        <w:t>V - skeletne zgrade s armiranobetonskim nosivim zidovima (od 1980. do danas)</w:t>
      </w:r>
    </w:p>
    <w:p w:rsidR="00A07D92" w:rsidRDefault="00A07D92">
      <w:pPr>
        <w:spacing w:before="120" w:after="120"/>
        <w:rPr>
          <w:szCs w:val="22"/>
        </w:rPr>
      </w:pPr>
    </w:p>
    <w:p w:rsidR="00A07D92" w:rsidRDefault="00495E63">
      <w:pPr>
        <w:spacing w:before="120" w:after="120"/>
        <w:rPr>
          <w:szCs w:val="22"/>
        </w:rPr>
      </w:pPr>
      <w:r>
        <w:rPr>
          <w:szCs w:val="22"/>
        </w:rPr>
        <w:t>Analizom tipova gradnje odredilo se koliko približno objekata spada u određenu kategoriju (I do V) po vremenu gradnje i došlo se do sljedećih najb</w:t>
      </w:r>
      <w:r>
        <w:rPr>
          <w:szCs w:val="22"/>
        </w:rPr>
        <w:t>ližih aproksimacija:</w:t>
      </w:r>
    </w:p>
    <w:p w:rsidR="00A07D92" w:rsidRDefault="00495E63">
      <w:pPr>
        <w:numPr>
          <w:ilvl w:val="0"/>
          <w:numId w:val="10"/>
        </w:numPr>
        <w:tabs>
          <w:tab w:val="left" w:pos="426"/>
          <w:tab w:val="left" w:pos="2445"/>
          <w:tab w:val="left" w:pos="4536"/>
          <w:tab w:val="left" w:pos="7920"/>
        </w:tabs>
        <w:spacing w:before="120" w:after="120"/>
        <w:contextualSpacing/>
        <w:rPr>
          <w:color w:val="auto"/>
          <w:szCs w:val="22"/>
          <w:highlight w:val="white"/>
          <w:lang w:eastAsia="hr-HR"/>
        </w:rPr>
      </w:pPr>
      <w:r>
        <w:rPr>
          <w:b/>
          <w:color w:val="auto"/>
          <w:szCs w:val="22"/>
          <w:shd w:val="clear" w:color="auto" w:fill="FFFFFF"/>
          <w:lang w:eastAsia="hr-HR"/>
        </w:rPr>
        <w:t>30 %</w:t>
      </w:r>
      <w:r>
        <w:rPr>
          <w:color w:val="auto"/>
          <w:szCs w:val="22"/>
          <w:shd w:val="clear" w:color="auto" w:fill="FFFFFF"/>
          <w:lang w:eastAsia="hr-HR"/>
        </w:rPr>
        <w:t xml:space="preserve"> zidane zgrade Tip I</w:t>
      </w:r>
    </w:p>
    <w:p w:rsidR="00A07D92" w:rsidRDefault="00495E63">
      <w:pPr>
        <w:numPr>
          <w:ilvl w:val="0"/>
          <w:numId w:val="10"/>
        </w:numPr>
        <w:tabs>
          <w:tab w:val="left" w:pos="426"/>
          <w:tab w:val="left" w:pos="2445"/>
          <w:tab w:val="left" w:pos="4536"/>
          <w:tab w:val="left" w:pos="7920"/>
        </w:tabs>
        <w:spacing w:before="120" w:after="120"/>
        <w:contextualSpacing/>
        <w:rPr>
          <w:color w:val="auto"/>
          <w:szCs w:val="22"/>
          <w:highlight w:val="white"/>
          <w:lang w:eastAsia="hr-HR"/>
        </w:rPr>
      </w:pPr>
      <w:r>
        <w:rPr>
          <w:b/>
          <w:color w:val="auto"/>
          <w:szCs w:val="22"/>
          <w:shd w:val="clear" w:color="auto" w:fill="FFFFFF"/>
          <w:lang w:eastAsia="hr-HR"/>
        </w:rPr>
        <w:t>30 %</w:t>
      </w:r>
      <w:r>
        <w:rPr>
          <w:color w:val="auto"/>
          <w:szCs w:val="22"/>
          <w:shd w:val="clear" w:color="auto" w:fill="FFFFFF"/>
          <w:lang w:eastAsia="hr-HR"/>
        </w:rPr>
        <w:t xml:space="preserve"> zidane zgrade s armirano betonskim </w:t>
      </w:r>
      <w:proofErr w:type="spellStart"/>
      <w:r>
        <w:rPr>
          <w:color w:val="auto"/>
          <w:szCs w:val="22"/>
          <w:shd w:val="clear" w:color="auto" w:fill="FFFFFF"/>
          <w:lang w:eastAsia="hr-HR"/>
        </w:rPr>
        <w:t>serklažima</w:t>
      </w:r>
      <w:proofErr w:type="spellEnd"/>
      <w:r>
        <w:rPr>
          <w:color w:val="auto"/>
          <w:szCs w:val="22"/>
          <w:shd w:val="clear" w:color="auto" w:fill="FFFFFF"/>
          <w:lang w:eastAsia="hr-HR"/>
        </w:rPr>
        <w:t xml:space="preserve"> Tip II </w:t>
      </w:r>
    </w:p>
    <w:p w:rsidR="00A07D92" w:rsidRDefault="00495E63">
      <w:pPr>
        <w:numPr>
          <w:ilvl w:val="0"/>
          <w:numId w:val="10"/>
        </w:numPr>
        <w:tabs>
          <w:tab w:val="left" w:pos="426"/>
          <w:tab w:val="left" w:pos="2445"/>
          <w:tab w:val="left" w:pos="4536"/>
          <w:tab w:val="left" w:pos="7920"/>
        </w:tabs>
        <w:spacing w:before="120" w:after="120"/>
        <w:contextualSpacing/>
        <w:rPr>
          <w:color w:val="auto"/>
          <w:szCs w:val="22"/>
          <w:highlight w:val="white"/>
          <w:lang w:eastAsia="hr-HR"/>
        </w:rPr>
      </w:pPr>
      <w:r>
        <w:rPr>
          <w:b/>
          <w:color w:val="auto"/>
          <w:szCs w:val="22"/>
          <w:shd w:val="clear" w:color="auto" w:fill="FFFFFF"/>
          <w:lang w:eastAsia="hr-HR"/>
        </w:rPr>
        <w:t>20 %</w:t>
      </w:r>
      <w:r>
        <w:rPr>
          <w:color w:val="auto"/>
          <w:szCs w:val="22"/>
          <w:shd w:val="clear" w:color="auto" w:fill="FFFFFF"/>
          <w:lang w:eastAsia="hr-HR"/>
        </w:rPr>
        <w:t xml:space="preserve"> armiranobetonske skeletne zgrade Tip III </w:t>
      </w:r>
    </w:p>
    <w:p w:rsidR="00A07D92" w:rsidRDefault="00495E63">
      <w:pPr>
        <w:numPr>
          <w:ilvl w:val="0"/>
          <w:numId w:val="10"/>
        </w:numPr>
        <w:tabs>
          <w:tab w:val="left" w:pos="426"/>
          <w:tab w:val="left" w:pos="2445"/>
          <w:tab w:val="left" w:pos="4536"/>
          <w:tab w:val="left" w:pos="7920"/>
        </w:tabs>
        <w:spacing w:before="120" w:after="120"/>
        <w:contextualSpacing/>
        <w:rPr>
          <w:color w:val="auto"/>
          <w:szCs w:val="22"/>
          <w:highlight w:val="white"/>
          <w:lang w:eastAsia="hr-HR"/>
        </w:rPr>
      </w:pPr>
      <w:r>
        <w:rPr>
          <w:b/>
          <w:color w:val="auto"/>
          <w:szCs w:val="22"/>
          <w:shd w:val="clear" w:color="auto" w:fill="FFFFFF"/>
          <w:lang w:eastAsia="hr-HR"/>
        </w:rPr>
        <w:t>10 %</w:t>
      </w:r>
      <w:r>
        <w:rPr>
          <w:color w:val="auto"/>
          <w:szCs w:val="22"/>
          <w:shd w:val="clear" w:color="auto" w:fill="FFFFFF"/>
          <w:lang w:eastAsia="hr-HR"/>
        </w:rPr>
        <w:t xml:space="preserve"> zgrade sa sustavom armiranobetonskih nosivih zidova Tip IV </w:t>
      </w:r>
    </w:p>
    <w:p w:rsidR="00A07D92" w:rsidRDefault="00495E63">
      <w:pPr>
        <w:numPr>
          <w:ilvl w:val="0"/>
          <w:numId w:val="10"/>
        </w:numPr>
        <w:tabs>
          <w:tab w:val="left" w:pos="426"/>
          <w:tab w:val="left" w:pos="2445"/>
          <w:tab w:val="left" w:pos="4536"/>
          <w:tab w:val="left" w:pos="7920"/>
        </w:tabs>
        <w:spacing w:before="120" w:after="120"/>
        <w:contextualSpacing/>
        <w:rPr>
          <w:bCs/>
          <w:color w:val="auto"/>
          <w:szCs w:val="22"/>
          <w:highlight w:val="white"/>
          <w:lang w:eastAsia="hr-HR"/>
        </w:rPr>
      </w:pPr>
      <w:r>
        <w:rPr>
          <w:b/>
          <w:color w:val="auto"/>
          <w:szCs w:val="22"/>
          <w:shd w:val="clear" w:color="auto" w:fill="FFFFFF"/>
          <w:lang w:eastAsia="hr-HR"/>
        </w:rPr>
        <w:t>10 %</w:t>
      </w:r>
      <w:r>
        <w:rPr>
          <w:color w:val="auto"/>
          <w:szCs w:val="22"/>
          <w:shd w:val="clear" w:color="auto" w:fill="FFFFFF"/>
          <w:lang w:eastAsia="hr-HR"/>
        </w:rPr>
        <w:t xml:space="preserve"> skeletne zgrade s armiranobetonskim nosivim zidovima Tip V </w:t>
      </w:r>
    </w:p>
    <w:p w:rsidR="00A07D92" w:rsidRDefault="00A07D92">
      <w:pPr>
        <w:rPr>
          <w:color w:val="auto"/>
        </w:rPr>
      </w:pPr>
    </w:p>
    <w:p w:rsidR="00A07D92" w:rsidRDefault="00A07D92">
      <w:pPr>
        <w:rPr>
          <w:color w:val="auto"/>
        </w:rPr>
      </w:pPr>
    </w:p>
    <w:p w:rsidR="00A07D92" w:rsidRDefault="00A07D92">
      <w:pPr>
        <w:rPr>
          <w:color w:val="auto"/>
        </w:rPr>
      </w:pPr>
    </w:p>
    <w:p w:rsidR="00A07D92" w:rsidRDefault="00A07D92">
      <w:pPr>
        <w:rPr>
          <w:color w:val="auto"/>
        </w:rPr>
      </w:pPr>
    </w:p>
    <w:p w:rsidR="00A07D92" w:rsidRDefault="00A07D92">
      <w:pPr>
        <w:rPr>
          <w:color w:val="auto"/>
        </w:rPr>
      </w:pPr>
    </w:p>
    <w:p w:rsidR="00A07D92" w:rsidRDefault="00A07D92">
      <w:pPr>
        <w:rPr>
          <w:color w:val="auto"/>
        </w:rPr>
      </w:pPr>
    </w:p>
    <w:p w:rsidR="00A07D92" w:rsidRDefault="00A07D92">
      <w:pPr>
        <w:rPr>
          <w:color w:val="auto"/>
        </w:rPr>
      </w:pPr>
    </w:p>
    <w:p w:rsidR="00A07D92" w:rsidRDefault="00A07D92">
      <w:pPr>
        <w:rPr>
          <w:color w:val="auto"/>
        </w:rPr>
      </w:pPr>
    </w:p>
    <w:p w:rsidR="00A07D92" w:rsidRDefault="00A07D92">
      <w:pPr>
        <w:rPr>
          <w:color w:val="auto"/>
        </w:rPr>
      </w:pPr>
    </w:p>
    <w:p w:rsidR="00A07D92" w:rsidRDefault="00A07D92">
      <w:pPr>
        <w:rPr>
          <w:color w:val="auto"/>
        </w:rPr>
      </w:pPr>
    </w:p>
    <w:p w:rsidR="00A07D92" w:rsidRDefault="00495E63">
      <w:pPr>
        <w:pStyle w:val="Naslov2"/>
      </w:pPr>
      <w:bookmarkStart w:id="43" w:name="_Toc136522788"/>
      <w:bookmarkStart w:id="44" w:name="_Toc9596587"/>
      <w:r>
        <w:lastRenderedPageBreak/>
        <w:t>2.3 Ekonomsko – gospodarski pokazatelji</w:t>
      </w:r>
      <w:bookmarkEnd w:id="43"/>
      <w:bookmarkEnd w:id="44"/>
    </w:p>
    <w:p w:rsidR="00A07D92" w:rsidRDefault="00495E63">
      <w:pPr>
        <w:pStyle w:val="Naslov3"/>
      </w:pPr>
      <w:bookmarkStart w:id="45" w:name="_Toc9596590"/>
      <w:bookmarkStart w:id="46" w:name="_Toc136522789"/>
      <w:r>
        <w:t xml:space="preserve">2.3.1 Proračun </w:t>
      </w:r>
      <w:bookmarkEnd w:id="45"/>
      <w:r>
        <w:t>Grada Malog Lošinja</w:t>
      </w:r>
      <w:bookmarkEnd w:id="46"/>
    </w:p>
    <w:p w:rsidR="00A07D92" w:rsidRDefault="00495E63">
      <w:pPr>
        <w:spacing w:before="0" w:after="0"/>
        <w:jc w:val="center"/>
        <w:rPr>
          <w:rFonts w:eastAsia="Calibri"/>
          <w:bCs/>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6</w:t>
      </w:r>
      <w:r>
        <w:rPr>
          <w:rFonts w:eastAsia="Calibri"/>
          <w:bCs/>
          <w:sz w:val="20"/>
          <w:szCs w:val="20"/>
        </w:rPr>
        <w:fldChar w:fldCharType="end"/>
      </w:r>
      <w:r>
        <w:rPr>
          <w:rFonts w:eastAsia="Calibri"/>
          <w:bCs/>
          <w:color w:val="54883D"/>
          <w:sz w:val="20"/>
          <w:szCs w:val="20"/>
        </w:rPr>
        <w:t xml:space="preserve">. </w:t>
      </w:r>
      <w:r>
        <w:rPr>
          <w:color w:val="54883D"/>
          <w:sz w:val="20"/>
          <w:szCs w:val="20"/>
        </w:rPr>
        <w:t>Proračun Grada Malog Lošinja za 2023.</w:t>
      </w:r>
    </w:p>
    <w:tbl>
      <w:tblPr>
        <w:tblStyle w:val="Reetkatablice"/>
        <w:tblW w:w="8501" w:type="dxa"/>
        <w:jc w:val="center"/>
        <w:tblLook w:val="04A0" w:firstRow="1" w:lastRow="0" w:firstColumn="1" w:lastColumn="0" w:noHBand="0" w:noVBand="1"/>
      </w:tblPr>
      <w:tblGrid>
        <w:gridCol w:w="6805"/>
        <w:gridCol w:w="1696"/>
      </w:tblGrid>
      <w:tr w:rsidR="00A07D92">
        <w:trPr>
          <w:trHeight w:val="428"/>
          <w:jc w:val="center"/>
        </w:trPr>
        <w:tc>
          <w:tcPr>
            <w:tcW w:w="68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after="0" w:line="276" w:lineRule="auto"/>
              <w:jc w:val="center"/>
              <w:rPr>
                <w:b/>
                <w:color w:val="000000"/>
                <w:sz w:val="20"/>
                <w:szCs w:val="20"/>
              </w:rPr>
            </w:pPr>
            <w:r>
              <w:rPr>
                <w:rFonts w:ascii="Times New Roman" w:hAnsi="Times New Roman" w:cs="Times New Roman"/>
                <w:b/>
                <w:color w:val="000000"/>
                <w:sz w:val="20"/>
                <w:szCs w:val="20"/>
                <w:lang w:eastAsia="hr-HR"/>
              </w:rPr>
              <w:t>A. RAČUN PRIHODA I RASHODA</w:t>
            </w:r>
          </w:p>
        </w:tc>
        <w:tc>
          <w:tcPr>
            <w:tcW w:w="169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after="0" w:line="276" w:lineRule="auto"/>
              <w:jc w:val="center"/>
              <w:rPr>
                <w:color w:val="000000"/>
                <w:sz w:val="20"/>
                <w:szCs w:val="20"/>
              </w:rPr>
            </w:pPr>
            <w:r>
              <w:rPr>
                <w:rFonts w:ascii="Times New Roman" w:hAnsi="Times New Roman" w:cs="Times New Roman"/>
                <w:color w:val="000000"/>
                <w:sz w:val="20"/>
                <w:szCs w:val="20"/>
                <w:lang w:eastAsia="hr-HR"/>
              </w:rPr>
              <w:t>Iznos u eur</w:t>
            </w:r>
            <w:r>
              <w:rPr>
                <w:rFonts w:ascii="Times New Roman" w:hAnsi="Times New Roman" w:cs="Times New Roman"/>
                <w:color w:val="000000"/>
                <w:sz w:val="20"/>
                <w:szCs w:val="20"/>
                <w:lang w:eastAsia="hr-HR"/>
              </w:rPr>
              <w:t>ima</w:t>
            </w:r>
          </w:p>
        </w:tc>
      </w:tr>
      <w:tr w:rsidR="00A07D92">
        <w:trPr>
          <w:trHeight w:val="427"/>
          <w:jc w:val="center"/>
        </w:trPr>
        <w:tc>
          <w:tcPr>
            <w:tcW w:w="68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after="0" w:line="276" w:lineRule="auto"/>
              <w:jc w:val="center"/>
              <w:rPr>
                <w:color w:val="000000"/>
                <w:sz w:val="20"/>
                <w:szCs w:val="20"/>
              </w:rPr>
            </w:pPr>
            <w:r>
              <w:rPr>
                <w:rFonts w:ascii="Times New Roman" w:hAnsi="Times New Roman" w:cs="Times New Roman"/>
                <w:color w:val="000000"/>
                <w:sz w:val="20"/>
                <w:szCs w:val="20"/>
                <w:lang w:eastAsia="hr-HR"/>
              </w:rPr>
              <w:t>Prihodi poslovanja</w:t>
            </w:r>
          </w:p>
        </w:tc>
        <w:tc>
          <w:tcPr>
            <w:tcW w:w="169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000000"/>
                <w:sz w:val="20"/>
                <w:szCs w:val="20"/>
              </w:rPr>
            </w:pPr>
            <w:r>
              <w:rPr>
                <w:rFonts w:ascii="Times New Roman" w:hAnsi="Times New Roman" w:cs="Times New Roman"/>
                <w:color w:val="000000"/>
                <w:sz w:val="20"/>
                <w:szCs w:val="20"/>
                <w:lang w:eastAsia="hr-HR"/>
              </w:rPr>
              <w:t>15.932.971,00</w:t>
            </w:r>
          </w:p>
        </w:tc>
      </w:tr>
      <w:tr w:rsidR="00A07D92">
        <w:trPr>
          <w:jc w:val="center"/>
        </w:trPr>
        <w:tc>
          <w:tcPr>
            <w:tcW w:w="68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000000"/>
                <w:sz w:val="20"/>
                <w:szCs w:val="20"/>
              </w:rPr>
            </w:pPr>
            <w:r>
              <w:rPr>
                <w:rFonts w:ascii="Times New Roman" w:hAnsi="Times New Roman" w:cs="Times New Roman"/>
                <w:color w:val="000000"/>
                <w:sz w:val="20"/>
                <w:szCs w:val="20"/>
                <w:lang w:eastAsia="hr-HR"/>
              </w:rPr>
              <w:t>Prihodi od prodaje financijske imovine</w:t>
            </w:r>
          </w:p>
        </w:tc>
        <w:tc>
          <w:tcPr>
            <w:tcW w:w="169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rFonts w:ascii="Times New Roman" w:hAnsi="Times New Roman" w:cs="Times New Roman"/>
                <w:color w:val="000000"/>
                <w:sz w:val="20"/>
                <w:szCs w:val="20"/>
                <w:lang w:eastAsia="hr-HR"/>
              </w:rPr>
              <w:t>1.121.500,00</w:t>
            </w:r>
          </w:p>
        </w:tc>
      </w:tr>
      <w:tr w:rsidR="00A07D92">
        <w:trPr>
          <w:jc w:val="center"/>
        </w:trPr>
        <w:tc>
          <w:tcPr>
            <w:tcW w:w="68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color w:val="000000"/>
                <w:sz w:val="20"/>
                <w:szCs w:val="20"/>
              </w:rPr>
            </w:pPr>
            <w:r>
              <w:rPr>
                <w:rFonts w:ascii="Times New Roman" w:hAnsi="Times New Roman" w:cs="Times New Roman"/>
                <w:b/>
                <w:color w:val="000000"/>
                <w:sz w:val="20"/>
                <w:szCs w:val="20"/>
                <w:lang w:eastAsia="hr-HR"/>
              </w:rPr>
              <w:t>UKUPNI PRIHODI</w:t>
            </w:r>
          </w:p>
        </w:tc>
        <w:tc>
          <w:tcPr>
            <w:tcW w:w="169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color w:val="000000"/>
                <w:sz w:val="20"/>
                <w:szCs w:val="20"/>
              </w:rPr>
            </w:pPr>
            <w:r>
              <w:rPr>
                <w:rFonts w:ascii="Times New Roman" w:hAnsi="Times New Roman" w:cs="Times New Roman"/>
                <w:b/>
                <w:color w:val="000000"/>
                <w:sz w:val="20"/>
                <w:szCs w:val="20"/>
                <w:lang w:eastAsia="hr-HR"/>
              </w:rPr>
              <w:t>17.054.471,00</w:t>
            </w:r>
          </w:p>
        </w:tc>
      </w:tr>
      <w:tr w:rsidR="00A07D92">
        <w:trPr>
          <w:jc w:val="center"/>
        </w:trPr>
        <w:tc>
          <w:tcPr>
            <w:tcW w:w="68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after="0" w:line="276" w:lineRule="auto"/>
              <w:jc w:val="center"/>
              <w:rPr>
                <w:color w:val="000000"/>
                <w:sz w:val="20"/>
                <w:szCs w:val="20"/>
              </w:rPr>
            </w:pPr>
            <w:r>
              <w:rPr>
                <w:rFonts w:ascii="Times New Roman" w:hAnsi="Times New Roman" w:cs="Times New Roman"/>
                <w:color w:val="000000"/>
                <w:sz w:val="20"/>
                <w:szCs w:val="20"/>
                <w:lang w:eastAsia="hr-HR"/>
              </w:rPr>
              <w:t>Rashodi poslovanja</w:t>
            </w:r>
          </w:p>
        </w:tc>
        <w:tc>
          <w:tcPr>
            <w:tcW w:w="169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000000"/>
                <w:sz w:val="20"/>
                <w:szCs w:val="20"/>
              </w:rPr>
            </w:pPr>
            <w:r>
              <w:rPr>
                <w:rFonts w:ascii="Times New Roman" w:hAnsi="Times New Roman" w:cs="Times New Roman"/>
                <w:color w:val="000000"/>
                <w:sz w:val="20"/>
                <w:szCs w:val="20"/>
                <w:lang w:eastAsia="hr-HR"/>
              </w:rPr>
              <w:t>9.515.881,00</w:t>
            </w:r>
          </w:p>
        </w:tc>
      </w:tr>
      <w:tr w:rsidR="00A07D92">
        <w:trPr>
          <w:jc w:val="center"/>
        </w:trPr>
        <w:tc>
          <w:tcPr>
            <w:tcW w:w="68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after="0" w:line="276" w:lineRule="auto"/>
              <w:jc w:val="center"/>
              <w:rPr>
                <w:color w:val="000000"/>
                <w:sz w:val="20"/>
                <w:szCs w:val="20"/>
              </w:rPr>
            </w:pPr>
            <w:r>
              <w:rPr>
                <w:rFonts w:ascii="Times New Roman" w:hAnsi="Times New Roman" w:cs="Times New Roman"/>
                <w:color w:val="000000"/>
                <w:sz w:val="20"/>
                <w:szCs w:val="20"/>
                <w:lang w:eastAsia="hr-HR"/>
              </w:rPr>
              <w:t>Rashodi za nabavu nefinancijske imovine</w:t>
            </w:r>
          </w:p>
        </w:tc>
        <w:tc>
          <w:tcPr>
            <w:tcW w:w="169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000000"/>
                <w:sz w:val="20"/>
                <w:szCs w:val="20"/>
              </w:rPr>
            </w:pPr>
            <w:r>
              <w:rPr>
                <w:rFonts w:ascii="Times New Roman" w:hAnsi="Times New Roman" w:cs="Times New Roman"/>
                <w:color w:val="000000"/>
                <w:sz w:val="20"/>
                <w:szCs w:val="20"/>
                <w:lang w:eastAsia="hr-HR"/>
              </w:rPr>
              <w:t>8.869.441,00</w:t>
            </w:r>
          </w:p>
        </w:tc>
      </w:tr>
      <w:tr w:rsidR="00A07D92">
        <w:trPr>
          <w:jc w:val="center"/>
        </w:trPr>
        <w:tc>
          <w:tcPr>
            <w:tcW w:w="68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after="0" w:line="276" w:lineRule="auto"/>
              <w:jc w:val="center"/>
              <w:rPr>
                <w:b/>
                <w:color w:val="000000"/>
                <w:sz w:val="20"/>
                <w:szCs w:val="20"/>
              </w:rPr>
            </w:pPr>
            <w:r>
              <w:rPr>
                <w:rFonts w:ascii="Times New Roman" w:hAnsi="Times New Roman" w:cs="Times New Roman"/>
                <w:b/>
                <w:color w:val="000000"/>
                <w:sz w:val="20"/>
                <w:szCs w:val="20"/>
                <w:lang w:eastAsia="hr-HR"/>
              </w:rPr>
              <w:t>UKUPNI RASHODI</w:t>
            </w:r>
          </w:p>
        </w:tc>
        <w:tc>
          <w:tcPr>
            <w:tcW w:w="169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color w:val="000000"/>
                <w:sz w:val="20"/>
                <w:szCs w:val="20"/>
              </w:rPr>
            </w:pPr>
            <w:r>
              <w:rPr>
                <w:rFonts w:ascii="Times New Roman" w:hAnsi="Times New Roman" w:cs="Times New Roman"/>
                <w:b/>
                <w:color w:val="000000"/>
                <w:sz w:val="20"/>
                <w:szCs w:val="20"/>
                <w:lang w:eastAsia="hr-HR"/>
              </w:rPr>
              <w:t>18.385.322,00</w:t>
            </w:r>
          </w:p>
        </w:tc>
      </w:tr>
      <w:tr w:rsidR="00A07D92">
        <w:trPr>
          <w:jc w:val="center"/>
        </w:trPr>
        <w:tc>
          <w:tcPr>
            <w:tcW w:w="8500"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after="0" w:line="276" w:lineRule="auto"/>
              <w:jc w:val="center"/>
              <w:rPr>
                <w:b/>
                <w:color w:val="000000"/>
                <w:sz w:val="20"/>
                <w:szCs w:val="20"/>
              </w:rPr>
            </w:pPr>
            <w:r>
              <w:rPr>
                <w:rFonts w:ascii="Times New Roman" w:hAnsi="Times New Roman" w:cs="Times New Roman"/>
                <w:b/>
                <w:color w:val="000000"/>
                <w:sz w:val="20"/>
                <w:szCs w:val="20"/>
                <w:lang w:eastAsia="hr-HR"/>
              </w:rPr>
              <w:t xml:space="preserve">B. RAČUN </w:t>
            </w:r>
            <w:r>
              <w:rPr>
                <w:rFonts w:ascii="Times New Roman" w:hAnsi="Times New Roman" w:cs="Times New Roman"/>
                <w:b/>
                <w:color w:val="000000"/>
                <w:sz w:val="20"/>
                <w:szCs w:val="20"/>
                <w:lang w:eastAsia="hr-HR"/>
              </w:rPr>
              <w:t>ZADUŽIVANJA/FINANCIRANJA</w:t>
            </w:r>
          </w:p>
        </w:tc>
      </w:tr>
      <w:tr w:rsidR="00A07D92">
        <w:trPr>
          <w:jc w:val="center"/>
        </w:trPr>
        <w:tc>
          <w:tcPr>
            <w:tcW w:w="68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after="0" w:line="276" w:lineRule="auto"/>
              <w:jc w:val="center"/>
              <w:rPr>
                <w:color w:val="000000"/>
                <w:sz w:val="20"/>
                <w:szCs w:val="20"/>
              </w:rPr>
            </w:pPr>
            <w:r>
              <w:rPr>
                <w:rFonts w:ascii="Times New Roman" w:hAnsi="Times New Roman" w:cs="Times New Roman"/>
                <w:color w:val="000000"/>
                <w:sz w:val="20"/>
                <w:szCs w:val="20"/>
                <w:lang w:eastAsia="hr-HR"/>
              </w:rPr>
              <w:t>Primici od financijske imovine i zaduživanja</w:t>
            </w:r>
          </w:p>
        </w:tc>
        <w:tc>
          <w:tcPr>
            <w:tcW w:w="169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000000"/>
                <w:sz w:val="20"/>
                <w:szCs w:val="20"/>
              </w:rPr>
            </w:pPr>
            <w:r>
              <w:rPr>
                <w:rFonts w:ascii="Times New Roman" w:hAnsi="Times New Roman" w:cs="Times New Roman"/>
                <w:color w:val="000000"/>
                <w:sz w:val="20"/>
                <w:szCs w:val="20"/>
                <w:lang w:eastAsia="hr-HR"/>
              </w:rPr>
              <w:t>1.850.000,00</w:t>
            </w:r>
          </w:p>
        </w:tc>
      </w:tr>
      <w:tr w:rsidR="00A07D92">
        <w:trPr>
          <w:jc w:val="center"/>
        </w:trPr>
        <w:tc>
          <w:tcPr>
            <w:tcW w:w="68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after="0" w:line="276" w:lineRule="auto"/>
              <w:jc w:val="center"/>
              <w:rPr>
                <w:color w:val="000000"/>
                <w:sz w:val="20"/>
                <w:szCs w:val="20"/>
              </w:rPr>
            </w:pPr>
            <w:r>
              <w:rPr>
                <w:rFonts w:ascii="Times New Roman" w:hAnsi="Times New Roman" w:cs="Times New Roman"/>
                <w:color w:val="000000"/>
                <w:sz w:val="20"/>
                <w:szCs w:val="20"/>
                <w:lang w:eastAsia="hr-HR"/>
              </w:rPr>
              <w:t>Izdaci za financijsku imovinu i otplate zajmova</w:t>
            </w:r>
          </w:p>
        </w:tc>
        <w:tc>
          <w:tcPr>
            <w:tcW w:w="169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000000"/>
                <w:sz w:val="20"/>
                <w:szCs w:val="20"/>
              </w:rPr>
            </w:pPr>
            <w:r>
              <w:rPr>
                <w:rFonts w:ascii="Times New Roman" w:hAnsi="Times New Roman" w:cs="Times New Roman"/>
                <w:color w:val="000000"/>
                <w:sz w:val="20"/>
                <w:szCs w:val="20"/>
                <w:lang w:eastAsia="hr-HR"/>
              </w:rPr>
              <w:t>551.500,00</w:t>
            </w:r>
          </w:p>
        </w:tc>
      </w:tr>
      <w:tr w:rsidR="00A07D92">
        <w:trPr>
          <w:jc w:val="center"/>
        </w:trPr>
        <w:tc>
          <w:tcPr>
            <w:tcW w:w="68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ijeloteksta2"/>
              <w:spacing w:after="0" w:line="276" w:lineRule="auto"/>
              <w:jc w:val="center"/>
              <w:rPr>
                <w:b/>
                <w:bCs/>
                <w:color w:val="000000"/>
                <w:sz w:val="20"/>
                <w:szCs w:val="20"/>
              </w:rPr>
            </w:pPr>
            <w:r>
              <w:rPr>
                <w:rFonts w:ascii="Times New Roman" w:hAnsi="Times New Roman" w:cs="Times New Roman"/>
                <w:b/>
                <w:bCs/>
                <w:color w:val="000000"/>
                <w:sz w:val="20"/>
                <w:szCs w:val="20"/>
                <w:lang w:eastAsia="hr-HR"/>
              </w:rPr>
              <w:t>DIO VIŠKA/MANJKA IZ PRETHODNIH GODINA KOJI ĆE SE POKRIT/RASPOREDITI U PLANIRANOM RAZDOBLJU</w:t>
            </w:r>
          </w:p>
        </w:tc>
        <w:tc>
          <w:tcPr>
            <w:tcW w:w="169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000000"/>
                <w:sz w:val="20"/>
                <w:szCs w:val="20"/>
              </w:rPr>
            </w:pPr>
            <w:r>
              <w:rPr>
                <w:rFonts w:ascii="Times New Roman" w:hAnsi="Times New Roman" w:cs="Times New Roman"/>
                <w:color w:val="000000"/>
                <w:sz w:val="20"/>
                <w:szCs w:val="20"/>
                <w:lang w:eastAsia="hr-HR"/>
              </w:rPr>
              <w:t>32.351,00</w:t>
            </w:r>
            <w:bookmarkStart w:id="47" w:name="_Hlk131498815"/>
            <w:bookmarkEnd w:id="47"/>
          </w:p>
        </w:tc>
      </w:tr>
    </w:tbl>
    <w:p w:rsidR="00A07D92" w:rsidRDefault="00495E63">
      <w:pPr>
        <w:jc w:val="center"/>
        <w:rPr>
          <w:i/>
          <w:color w:val="54883D"/>
          <w:sz w:val="20"/>
          <w:lang w:bidi="en-US"/>
        </w:rPr>
      </w:pPr>
      <w:r>
        <w:rPr>
          <w:i/>
          <w:color w:val="54883D"/>
          <w:sz w:val="20"/>
          <w:lang w:bidi="en-US"/>
        </w:rPr>
        <w:t xml:space="preserve">Izvor: </w:t>
      </w:r>
      <w:r>
        <w:rPr>
          <w:i/>
          <w:color w:val="54883D"/>
          <w:sz w:val="20"/>
          <w:lang w:bidi="en-US"/>
        </w:rPr>
        <w:t>Grad Mali Lošinj</w:t>
      </w:r>
    </w:p>
    <w:p w:rsidR="00A07D92" w:rsidRDefault="00495E63">
      <w:pPr>
        <w:rPr>
          <w:lang w:bidi="en-US"/>
        </w:rPr>
      </w:pPr>
      <w:r>
        <w:rPr>
          <w:lang w:bidi="en-US"/>
        </w:rPr>
        <w:t>Grad Mali Lošinj je u Proračunu za 2023. godinu osigurao financijska sredstva namijenjena za financiranje ukupnih aktivnosti sustava civilne zaštite. U nastavku je prikazana raspodjela financijskih sredstva.</w:t>
      </w:r>
    </w:p>
    <w:p w:rsidR="00A07D92" w:rsidRDefault="00495E63">
      <w:pPr>
        <w:spacing w:before="0"/>
        <w:jc w:val="center"/>
        <w:rPr>
          <w:rFonts w:eastAsia="Calibri"/>
          <w:bCs/>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7</w:t>
      </w:r>
      <w:r>
        <w:rPr>
          <w:rFonts w:eastAsia="Calibri"/>
          <w:bCs/>
          <w:sz w:val="20"/>
          <w:szCs w:val="20"/>
        </w:rPr>
        <w:fldChar w:fldCharType="end"/>
      </w:r>
      <w:r>
        <w:rPr>
          <w:rFonts w:eastAsia="Calibri"/>
          <w:bCs/>
          <w:color w:val="54883D"/>
          <w:sz w:val="20"/>
          <w:szCs w:val="20"/>
        </w:rPr>
        <w:t xml:space="preserve">. </w:t>
      </w:r>
      <w:r>
        <w:rPr>
          <w:color w:val="54883D"/>
          <w:sz w:val="20"/>
          <w:szCs w:val="20"/>
        </w:rPr>
        <w:t>Financijska sredstva namijenjena za sustav civilne zaštite grada Malog Lošinja</w:t>
      </w:r>
    </w:p>
    <w:tbl>
      <w:tblPr>
        <w:tblStyle w:val="Reetkatablice10"/>
        <w:tblW w:w="7495" w:type="dxa"/>
        <w:jc w:val="center"/>
        <w:tblLook w:val="04A0" w:firstRow="1" w:lastRow="0" w:firstColumn="1" w:lastColumn="0" w:noHBand="0" w:noVBand="1"/>
      </w:tblPr>
      <w:tblGrid>
        <w:gridCol w:w="549"/>
        <w:gridCol w:w="4832"/>
        <w:gridCol w:w="2114"/>
      </w:tblGrid>
      <w:tr w:rsidR="00A07D92">
        <w:trPr>
          <w:trHeight w:val="403"/>
          <w:jc w:val="center"/>
        </w:trPr>
        <w:tc>
          <w:tcPr>
            <w:tcW w:w="7495" w:type="dxa"/>
            <w:gridSpan w:val="3"/>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lang w:bidi="en-US"/>
              </w:rPr>
            </w:pPr>
            <w:r>
              <w:rPr>
                <w:rFonts w:ascii="Times New Roman" w:hAnsi="Times New Roman" w:cs="Times New Roman"/>
                <w:b/>
                <w:sz w:val="20"/>
                <w:lang w:eastAsia="hr-HR" w:bidi="en-US"/>
              </w:rPr>
              <w:t xml:space="preserve">OPERATIVNE SNAGE </w:t>
            </w:r>
          </w:p>
        </w:tc>
      </w:tr>
      <w:tr w:rsidR="00A07D92">
        <w:trPr>
          <w:trHeight w:val="403"/>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w:t>
            </w:r>
          </w:p>
        </w:tc>
        <w:tc>
          <w:tcPr>
            <w:tcW w:w="6946"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STOŽER CIVILNE ZAŠTITE I POSTROJBE CIVILNE ZAŠTITE</w:t>
            </w:r>
          </w:p>
        </w:tc>
      </w:tr>
      <w:tr w:rsidR="00A07D92">
        <w:trPr>
          <w:trHeight w:val="403"/>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1.1.</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Vježbe operativnih snaga civilne zaštite</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663,61</w:t>
            </w:r>
          </w:p>
        </w:tc>
      </w:tr>
      <w:tr w:rsidR="00A07D92">
        <w:trPr>
          <w:trHeight w:val="64"/>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1.2.</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 xml:space="preserve">Materijalna i tehnička oprema </w:t>
            </w:r>
            <w:proofErr w:type="spellStart"/>
            <w:r>
              <w:rPr>
                <w:rFonts w:ascii="Times New Roman" w:hAnsi="Times New Roman" w:cs="Times New Roman"/>
                <w:sz w:val="20"/>
                <w:lang w:eastAsia="hr-HR" w:bidi="en-US"/>
              </w:rPr>
              <w:t>operativnij</w:t>
            </w:r>
            <w:proofErr w:type="spellEnd"/>
            <w:r>
              <w:rPr>
                <w:rFonts w:ascii="Times New Roman" w:hAnsi="Times New Roman" w:cs="Times New Roman"/>
                <w:sz w:val="20"/>
                <w:lang w:eastAsia="hr-HR" w:bidi="en-US"/>
              </w:rPr>
              <w:t xml:space="preserve"> snaga</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1.327,23</w:t>
            </w:r>
          </w:p>
        </w:tc>
      </w:tr>
      <w:tr w:rsidR="00A07D92">
        <w:trPr>
          <w:trHeight w:val="64"/>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1.3.</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Redovno tekuće ažuriranje priloga i podataka iz sadržaja dokumenata</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663,61</w:t>
            </w:r>
          </w:p>
        </w:tc>
      </w:tr>
      <w:tr w:rsidR="00A07D92">
        <w:trPr>
          <w:trHeight w:val="64"/>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1.4.</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Vatrogasna zajednica, DVD-i, JVP</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1.540.290,30</w:t>
            </w:r>
          </w:p>
        </w:tc>
      </w:tr>
      <w:tr w:rsidR="00A07D92">
        <w:trPr>
          <w:trHeight w:val="64"/>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1.5.</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Redovno tekuće ažuriranje priloga i podataka iz sadržaja dokumenata</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663,61</w:t>
            </w:r>
          </w:p>
        </w:tc>
      </w:tr>
      <w:tr w:rsidR="00A07D92">
        <w:trPr>
          <w:trHeight w:val="403"/>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1.6</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 xml:space="preserve">Dom zdravlja PGŽ-a </w:t>
            </w:r>
            <w:r>
              <w:rPr>
                <w:rFonts w:ascii="Times New Roman" w:hAnsi="Times New Roman" w:cs="Times New Roman"/>
                <w:sz w:val="20"/>
                <w:lang w:eastAsia="hr-HR" w:bidi="en-US"/>
              </w:rPr>
              <w:t>Rijeka-ispostava dr. Dinko Kozulić, Mali Lošinj</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34.900,00</w:t>
            </w:r>
          </w:p>
        </w:tc>
      </w:tr>
      <w:tr w:rsidR="00A07D92">
        <w:trPr>
          <w:trHeight w:val="403"/>
          <w:jc w:val="center"/>
        </w:trPr>
        <w:tc>
          <w:tcPr>
            <w:tcW w:w="5381"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b/>
                <w:sz w:val="20"/>
                <w:lang w:bidi="en-US"/>
              </w:rPr>
            </w:pPr>
            <w:r>
              <w:rPr>
                <w:rFonts w:ascii="Times New Roman" w:hAnsi="Times New Roman" w:cs="Times New Roman"/>
                <w:b/>
                <w:sz w:val="20"/>
                <w:lang w:eastAsia="hr-HR" w:bidi="en-US"/>
              </w:rPr>
              <w:t>UKUPNO</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b/>
                <w:sz w:val="20"/>
                <w:lang w:bidi="en-US"/>
              </w:rPr>
            </w:pPr>
            <w:r>
              <w:rPr>
                <w:rFonts w:ascii="Times New Roman" w:hAnsi="Times New Roman" w:cs="Times New Roman"/>
                <w:b/>
                <w:sz w:val="20"/>
                <w:lang w:eastAsia="hr-HR" w:bidi="en-US"/>
              </w:rPr>
              <w:t>1.578.508,36</w:t>
            </w:r>
            <w:bookmarkStart w:id="48" w:name="_Hlk131499066"/>
            <w:bookmarkEnd w:id="48"/>
          </w:p>
        </w:tc>
      </w:tr>
    </w:tbl>
    <w:p w:rsidR="00A07D92" w:rsidRDefault="00495E63">
      <w:pPr>
        <w:jc w:val="center"/>
        <w:rPr>
          <w:i/>
          <w:color w:val="54883D"/>
          <w:sz w:val="20"/>
          <w:lang w:bidi="en-US"/>
        </w:rPr>
      </w:pPr>
      <w:r>
        <w:rPr>
          <w:i/>
          <w:color w:val="54883D"/>
          <w:sz w:val="20"/>
          <w:lang w:bidi="en-US"/>
        </w:rPr>
        <w:t xml:space="preserve">Izvor: Godišnji plan razvoja sustava civilne zaštite na području Grada Malog Lošinja za 2023. godinu </w:t>
      </w:r>
    </w:p>
    <w:p w:rsidR="00A07D92" w:rsidRDefault="00A07D92">
      <w:pPr>
        <w:spacing w:before="0" w:after="0"/>
        <w:rPr>
          <w:lang w:bidi="en-US"/>
        </w:rPr>
      </w:pPr>
    </w:p>
    <w:p w:rsidR="00A07D92" w:rsidRDefault="00495E63">
      <w:pPr>
        <w:pStyle w:val="Naslov3"/>
      </w:pPr>
      <w:bookmarkStart w:id="49" w:name="_Toc9596591"/>
      <w:r>
        <w:lastRenderedPageBreak/>
        <w:t>2.3.2 Gospodarske grane</w:t>
      </w:r>
      <w:bookmarkStart w:id="50" w:name="_Toc136522790"/>
      <w:bookmarkEnd w:id="49"/>
      <w:bookmarkEnd w:id="50"/>
      <w:r>
        <w:rPr>
          <w:rStyle w:val="Sidrofusnote"/>
        </w:rPr>
        <w:footnoteReference w:id="4"/>
      </w:r>
    </w:p>
    <w:p w:rsidR="00A07D92" w:rsidRDefault="00495E63">
      <w:r>
        <w:t xml:space="preserve">Gospodarska struktura otoka Lošinja iznimno je </w:t>
      </w:r>
      <w:r>
        <w:t xml:space="preserve">složena. Turizam je samo jedna od djelatnosti, a stanovništvo se bavi i drugim djelatnostima. Prema prikupljenim godišnjim financijskim podacima za male i srednje poduzetnike Hrvatske gospodarske komore – Županijske komore Rijeka na području otoka Lošinja </w:t>
      </w:r>
      <w:r>
        <w:t>2011. godine, najveći udio stanovništva zaposleno je u uslužnim djelatnostima pa tako najviše u djelatnostima Pružanja smještaja te pripreme i usluživanja hrane (684), Trgovini na veliko i malo, popravak motornih vozila i motocikala (342) i Prerađivačkoj i</w:t>
      </w:r>
      <w:r>
        <w:t>ndustriji (138). Mali broj stanovnika (36) bavi se poljoprivredom, šumarstvom i ribarstvom iako upravo ta djelatnost predstavlja značajni potencijal u razvoju ekonomije Malog Lošinja. Poticanjem lokalnog gospodarstva kroz umrežavanje poslovnih subjekata iz</w:t>
      </w:r>
      <w:r>
        <w:t xml:space="preserve"> različitih grana djelatnosti stvorio bi se sinergijski efekt čime bi se poboljšala ekonomska slika kraja.</w:t>
      </w:r>
    </w:p>
    <w:p w:rsidR="00A07D92" w:rsidRDefault="00495E63">
      <w:pPr>
        <w:rPr>
          <w:b/>
          <w:bCs/>
          <w:u w:val="single"/>
        </w:rPr>
      </w:pPr>
      <w:r>
        <w:rPr>
          <w:b/>
          <w:bCs/>
          <w:u w:val="single"/>
        </w:rPr>
        <w:t xml:space="preserve">Turizam </w:t>
      </w:r>
    </w:p>
    <w:p w:rsidR="00A07D92" w:rsidRDefault="00495E63">
      <w:r>
        <w:t>Turizam na otoku Lošinju predstavlja važan segment razvojnih mogućnosti i okosnicu razvoja otoka. Počeci turizma na otoku povezani su uz zdr</w:t>
      </w:r>
      <w:r>
        <w:t>avstveni turizam zbog blagodati klime, čistog okoliša i bujne vegetacije otoka. Zbog svojeg prirodnog bogatstva i prednosti proglašen je klimatskim lječilištem na kojem su izgrađena kupališta, vile, ljetnikovci, hoteli i pansioni. Danas otok Lošinj predsta</w:t>
      </w:r>
      <w:r>
        <w:t>vlja jednu od vodećih poželjnih turističkih destinacija na Kvarneru. Prate se promjene i trendovi u okruženju, izgrađuju se novi turistički kapaciteti koji se neprestano obogaćuju novim i sve bogatijim dodatnim sadržajima (</w:t>
      </w:r>
      <w:proofErr w:type="spellStart"/>
      <w:r>
        <w:t>wellness</w:t>
      </w:r>
      <w:proofErr w:type="spellEnd"/>
      <w:r>
        <w:t xml:space="preserve"> i zdravlje, aroma terapi</w:t>
      </w:r>
      <w:r>
        <w:t xml:space="preserve">je, kulturna zbivanja, aktivan odmor – šetnice, ronjenje, jedrenje, sportski </w:t>
      </w:r>
      <w:proofErr w:type="spellStart"/>
      <w:r>
        <w:t>ribolov..</w:t>
      </w:r>
      <w:proofErr w:type="spellEnd"/>
      <w:r>
        <w:t>.). Pored hotelskog smještaja na Lošinju se nalaze kampovi smješteni po čitavom otoku, uz more, s prekrasnim plažama zaštićenim od sunca borovom šumom.</w:t>
      </w:r>
    </w:p>
    <w:p w:rsidR="00A07D92" w:rsidRDefault="00495E63">
      <w:r>
        <w:t xml:space="preserve">Kod razvoja novih </w:t>
      </w:r>
      <w:r>
        <w:t xml:space="preserve">oblika turizma svakako treba poticati razvoj ruralnog, zdravstvenog i </w:t>
      </w:r>
      <w:proofErr w:type="spellStart"/>
      <w:r>
        <w:t>wellness</w:t>
      </w:r>
      <w:proofErr w:type="spellEnd"/>
      <w:r>
        <w:t xml:space="preserve"> turizma kao specifične oblike turizma koji na svjetskom tržištu pokazuju tendenciju rasta i razvoja (prema nekim istraživanjima po godišnjoj stopi od 15%), a cijelo područje Gra</w:t>
      </w:r>
      <w:r>
        <w:t xml:space="preserve">da i otoka kao i cijeli </w:t>
      </w:r>
      <w:proofErr w:type="spellStart"/>
      <w:r>
        <w:t>akvatorij</w:t>
      </w:r>
      <w:proofErr w:type="spellEnd"/>
      <w:r>
        <w:t xml:space="preserve"> imaju prirodne resurse koji su neophodni za razvoj upravo ovakvih oblika turizma. Zdravstveni turizam produljio bi trajanje turističke sezone jer npr. najbolje vrijeme za liječenje astme je listopad i studeni, dok su za li</w:t>
      </w:r>
      <w:r>
        <w:t xml:space="preserve">ječenje nekih drugih oblika alergija najbolji mjeseci u godini ožujak i travanj. </w:t>
      </w:r>
    </w:p>
    <w:p w:rsidR="00A07D92" w:rsidRDefault="00495E63">
      <w:r>
        <w:t>Zahvaljujući blagosti mikroklime i ljekovitosti lošinjske flore, Lošinj je već prije stotinu godina prepoznat od strane svjetske javnosti i proglašen klimatskim lječilištem i</w:t>
      </w:r>
      <w:r>
        <w:t xml:space="preserve"> oporavilištem. Da zdravstveni turizam predstavlja veliki potencijal za otok govori i činjenica da ta vrsta djelatnosti godišnje ostvaruje porast od čak 15%, dok proizvodi zdravstvenog turizma danas predstavljaju jedan od najbrže rastućih segmenata svjetsk</w:t>
      </w:r>
      <w:r>
        <w:t xml:space="preserve">e turističke ponude. Tome pridonose ne samo demografske promjene, starenje sve većeg djela stanovništva razvijenih zemalja koja predstavlja najveći potrošački segment današnjice, već i opće promjene društvenih vrijednosti u sklopu kojih se sve veći značaj </w:t>
      </w:r>
      <w:r>
        <w:t>pridaje 'zdravom stilu života'.</w:t>
      </w:r>
    </w:p>
    <w:p w:rsidR="00A07D92" w:rsidRDefault="00495E63">
      <w:pPr>
        <w:rPr>
          <w:b/>
          <w:bCs/>
          <w:u w:val="single"/>
        </w:rPr>
      </w:pPr>
      <w:r>
        <w:rPr>
          <w:b/>
          <w:bCs/>
          <w:u w:val="single"/>
        </w:rPr>
        <w:t xml:space="preserve">Poljoprivreda </w:t>
      </w:r>
    </w:p>
    <w:p w:rsidR="00A07D92" w:rsidRDefault="00495E63">
      <w:r>
        <w:t xml:space="preserve">Prioritet Grada, prema Planu ukupnog razvoja između ostalog je i razvoj poljoprivrede, a samim time i razvoj prehrambenih proizvoda koji će se direktno prodavati na otoku. Upravo </w:t>
      </w:r>
      <w:r>
        <w:lastRenderedPageBreak/>
        <w:t>povoljni klimatski uvjeti, ned</w:t>
      </w:r>
      <w:r>
        <w:t>irnuta priroda te velik broj sunčanih dana u godini omogućuju ranije sazrijevanje proizvoda te duže vegetacijsko razdoblje što pogoduje razvoju poljoprivrede.</w:t>
      </w:r>
    </w:p>
    <w:p w:rsidR="00A07D92" w:rsidRDefault="00495E63">
      <w:r>
        <w:t xml:space="preserve"> Postojeći potencijal u poljoprivredi danas je prije svega poljoprivredno zemljište, iako je pret</w:t>
      </w:r>
      <w:r>
        <w:t xml:space="preserve">ežni dio zapušten, a zemljište je rascjepkano čime su i posjedi usitnjeni. Stoga bi Mali Lošinj trebao razvijati proizvodni model okrupnjivanja poljoprivrednog zemljišta gdje bi naglasak bio na potpunoj obradi uz poštivanje svih agrotehničkih mjera. Takav </w:t>
      </w:r>
      <w:r>
        <w:t xml:space="preserve">proizvodni model temeljio bi se na proizvodnji i preradi ekoloških proizvoda s ciljem plasiranja istih na lokalno tržište čime bi se zadovoljile potrebe ugostitelja i ostalih pružatelja usluga. </w:t>
      </w:r>
    </w:p>
    <w:p w:rsidR="00A07D92" w:rsidRDefault="00495E63">
      <w:r>
        <w:t>Najvrednija i najkvalitetnija poljoprivredna zemljišta nalaze</w:t>
      </w:r>
      <w:r>
        <w:t xml:space="preserve"> se u </w:t>
      </w:r>
      <w:proofErr w:type="spellStart"/>
      <w:r>
        <w:t>Ćunskom</w:t>
      </w:r>
      <w:proofErr w:type="spellEnd"/>
      <w:r>
        <w:t xml:space="preserve"> polju i Unijskom polju te Susku, a zatim na području iznad </w:t>
      </w:r>
      <w:proofErr w:type="spellStart"/>
      <w:r>
        <w:t>Nerezina</w:t>
      </w:r>
      <w:proofErr w:type="spellEnd"/>
      <w:r>
        <w:t xml:space="preserve"> te najužem dijelu otoka Lošinja i Iloviku.</w:t>
      </w:r>
    </w:p>
    <w:p w:rsidR="00A07D92" w:rsidRDefault="00495E63">
      <w:r>
        <w:t xml:space="preserve">Otočani imaju iskazani interes za poljoprivredu i to najviše u maslinarstvu, pčelarstvu i uzgoju ljekovitog bilja. Općenito stanje </w:t>
      </w:r>
      <w:r>
        <w:t>poljoprivrede na području Grada Malog Lošinja može se ocijeniti zadovoljavajućim, gospodarstva se bave tradicionalnim djelatnostima; ovčarstvom i maslinarstvom, koje predstavljaju dvije osnovne poljoprivredne grane na ovom području. Većina gospodarstava uz</w:t>
      </w:r>
      <w:r>
        <w:t>gaja i povrće, ali uglavnom za vlastite potrebe dok se svega nekoliko gospodarstava ozbiljno bavi povrtlarstvom. Maslinarstvo u posljednjih desetak godina doživljava svoj uspon u obnovi starih napuštenih maslinika kao i u sadnji novih, pri čemu je naročito</w:t>
      </w:r>
      <w:r>
        <w:t xml:space="preserve"> pridonijela popularnost visokokvalitetnog maslinovog ulja. Pčelarstvo je u stagnaciji, ali ima velikih potencijala u izradi kvalitetnog meda od kadulje. Posebnu perspektivu ima već postojeća tradicionalna poljoprivredna proizvodnja koju je potrebno očuvat</w:t>
      </w:r>
      <w:r>
        <w:t xml:space="preserve">i i usavršavati. Tu se prvenstveno misli na voćne vrste kao što su smokva i </w:t>
      </w:r>
      <w:proofErr w:type="spellStart"/>
      <w:r>
        <w:t>žižula</w:t>
      </w:r>
      <w:proofErr w:type="spellEnd"/>
      <w:r>
        <w:t xml:space="preserve"> koje nisu zahtjevne te trešnju, koje su vrlo popularne, ali se ne mogu naći u ponudi domaćih proizvoda.</w:t>
      </w:r>
    </w:p>
    <w:p w:rsidR="00A07D92" w:rsidRDefault="00495E63">
      <w:pPr>
        <w:rPr>
          <w:b/>
          <w:bCs/>
          <w:u w:val="single"/>
        </w:rPr>
      </w:pPr>
      <w:r>
        <w:rPr>
          <w:b/>
          <w:bCs/>
          <w:u w:val="single"/>
        </w:rPr>
        <w:t xml:space="preserve">Šumarstvo </w:t>
      </w:r>
      <w:r>
        <w:rPr>
          <w:rStyle w:val="Sidrofusnote"/>
          <w:b/>
          <w:bCs/>
          <w:u w:val="single"/>
        </w:rPr>
        <w:footnoteReference w:id="5"/>
      </w:r>
    </w:p>
    <w:p w:rsidR="00A07D92" w:rsidRDefault="00495E63">
      <w:r>
        <w:t xml:space="preserve">Šumsko područje prekriva </w:t>
      </w:r>
      <w:proofErr w:type="spellStart"/>
      <w:r>
        <w:t>cca</w:t>
      </w:r>
      <w:proofErr w:type="spellEnd"/>
      <w:r>
        <w:t xml:space="preserve"> 60 % površine otoka. Područj</w:t>
      </w:r>
      <w:r>
        <w:t xml:space="preserve">e Grada prekriveno je listopadnim </w:t>
      </w:r>
      <w:proofErr w:type="spellStart"/>
      <w:r>
        <w:t>submediteranskim</w:t>
      </w:r>
      <w:proofErr w:type="spellEnd"/>
      <w:r>
        <w:t xml:space="preserve"> i mediteranskim šumama (značajne su površine šume obrasle crnikom te grabom i hrastom) i kulturama i sastojinama četinjača. Sa stanovišta razmatranja zaštite od požara od posebnog interesa su sastojine i k</w:t>
      </w:r>
      <w:r>
        <w:t xml:space="preserve">ulture četinjača (poglavito crnog bora), područja obrasla crnikom te površine pod šikarom i makijom. Uprava šuma Buzet putem Šumarije Cres-Lošinj svake godine donosi poseban Operativni plan zaštite šuma od požara za područje šuma kojima gospodari. </w:t>
      </w:r>
    </w:p>
    <w:p w:rsidR="00A07D92" w:rsidRDefault="00495E63">
      <w:r>
        <w:t>Na veći</w:t>
      </w:r>
      <w:r>
        <w:t xml:space="preserve">ni površina u </w:t>
      </w:r>
      <w:proofErr w:type="spellStart"/>
      <w:r>
        <w:t>podstojnoj</w:t>
      </w:r>
      <w:proofErr w:type="spellEnd"/>
      <w:r>
        <w:t xml:space="preserve"> etaži nalazimo autohtonu vegetaciju (crnika, zelenika, planika, vrijes, </w:t>
      </w:r>
      <w:proofErr w:type="spellStart"/>
      <w:r>
        <w:t>šmrika</w:t>
      </w:r>
      <w:proofErr w:type="spellEnd"/>
      <w:r>
        <w:t xml:space="preserve">, </w:t>
      </w:r>
      <w:proofErr w:type="spellStart"/>
      <w:r>
        <w:t>tršlja</w:t>
      </w:r>
      <w:proofErr w:type="spellEnd"/>
      <w:r>
        <w:t>, mirta itd.). Šumskim površinama gospodari Šumarija, a razvrstane su u II, III i IV stupanj ugroženosti.</w:t>
      </w:r>
    </w:p>
    <w:p w:rsidR="00A07D92" w:rsidRDefault="00495E63">
      <w:pPr>
        <w:rPr>
          <w:b/>
          <w:bCs/>
          <w:u w:val="single"/>
        </w:rPr>
      </w:pPr>
      <w:r>
        <w:rPr>
          <w:b/>
          <w:bCs/>
          <w:u w:val="single"/>
        </w:rPr>
        <w:t xml:space="preserve">Ovčarstvo </w:t>
      </w:r>
    </w:p>
    <w:p w:rsidR="00A07D92" w:rsidRDefault="00495E63">
      <w:r>
        <w:t>Trend koji je evidentan u po</w:t>
      </w:r>
      <w:r>
        <w:t>sljednjih nekoliko godina ukazuje na kontinuirano opadanje ovčarske proizvodnje te prema podacima cresko-lošinjske udruge ovčara „Lesa“ broj grla je pao s 25.000 na otprilike 15.000 grla. Na području Malog Lošinja ukupno je 107 poljoprivrednih kućanstava p</w:t>
      </w:r>
      <w:r>
        <w:t xml:space="preserve">rema ukupnom broju ovaca i ovaca za rasplod, dok većina </w:t>
      </w:r>
      <w:r>
        <w:lastRenderedPageBreak/>
        <w:t>kućanstava posjeduje od 11 do 50 grla ovaca. Broj grla u ovčarstvu je u opadanju, a najveći problem predstavlja divlja svinja, odnosno ogromne štete na terenu koje ona uzrokuje.</w:t>
      </w:r>
    </w:p>
    <w:p w:rsidR="00A07D92" w:rsidRDefault="00495E63">
      <w:pPr>
        <w:rPr>
          <w:b/>
          <w:bCs/>
          <w:u w:val="single"/>
        </w:rPr>
      </w:pPr>
      <w:r>
        <w:rPr>
          <w:b/>
          <w:bCs/>
          <w:u w:val="single"/>
        </w:rPr>
        <w:t xml:space="preserve">Maslinarstvo </w:t>
      </w:r>
    </w:p>
    <w:p w:rsidR="00A07D92" w:rsidRDefault="00495E63">
      <w:r>
        <w:t>Revitalizacija proizvodnje maslina i maslinova ulja predstavlja značajan potencijal za razvitak života na otoku. Trend maslinarstva na Malom Lošinju ima uzlaznu putanju. Kvalitetnija organizacija samodostatne proizvodnje sadnica maslina, poglavito autohton</w:t>
      </w:r>
      <w:r>
        <w:t>ih sorata u postojećim, registriranim rasadnicima, ali i u novim rasadnicima dovest će do unapređenja i ove grane poljoprivrede.</w:t>
      </w:r>
    </w:p>
    <w:p w:rsidR="00A07D92" w:rsidRDefault="00495E63">
      <w:r>
        <w:t>Razvoj poljoprivrede uvelike je povezan s razvojem turizma. Trendovima potrošnje u turizmu prilagođavaju se i poljoprivredna go</w:t>
      </w:r>
      <w:r>
        <w:t>spodarstva, pogotovo unutar značajnih turističkih regija. Turizam i poljoprivreda imaju mnoge dodirne točke. Opskrba dovoljnim količinama poljoprivrednih proizvoda neophodnih za zadovoljenje potreba turista, najčešće zahtjevnijih od domicilnog stanovništva</w:t>
      </w:r>
      <w:r>
        <w:t>, može se osigurati na nekoliko načina: povećanjem i strukturnom prilagodbom domaće poljoprivredne proizvodnje ili iz uvoza. Upravo zbog prethodno navedene mogućnosti zadovoljavanja potreba iz uvoza, nužno je poticati razvoj poljoprivrede. A to je najjedno</w:t>
      </w:r>
      <w:r>
        <w:t>stavniji mogući način izvoza domaćih proizvoda. U dosadašnjem razvoju Općine poljoprivreda nije bila jedan od nositelja. Promjenom trendova u svijetu, kao i tržišnih zahtjeva, poljoprivreda postaje važan element razvoja.</w:t>
      </w:r>
    </w:p>
    <w:p w:rsidR="00A07D92" w:rsidRDefault="00495E63">
      <w:pPr>
        <w:rPr>
          <w:b/>
          <w:bCs/>
          <w:u w:val="single"/>
        </w:rPr>
      </w:pPr>
      <w:r>
        <w:rPr>
          <w:b/>
          <w:bCs/>
          <w:u w:val="single"/>
        </w:rPr>
        <w:t>Poduzetničke zone</w:t>
      </w:r>
    </w:p>
    <w:p w:rsidR="00A07D92" w:rsidRDefault="00495E63">
      <w:r>
        <w:t>Na području Grada</w:t>
      </w:r>
      <w:r>
        <w:t xml:space="preserve"> Malog Lošinja postoji jedna poduzetnička zona – zona Kalvarija – u kojoj posluju gospodarski subjekti na površini od 23,11 ha. Zona je u mješovitom vlasništvu: u vlasništvu Grada Mali Lošinj i u privatnom vlasništvu. Zona ima vodu i struju, dok je prometn</w:t>
      </w:r>
      <w:r>
        <w:t>ica samo dijelom izgrađena. Postoje izgrađene hale i poslovni prostori, pa je zona većim dijelom (70 %) u funkciji.</w:t>
      </w:r>
    </w:p>
    <w:p w:rsidR="00A07D92" w:rsidRDefault="00A07D92">
      <w:pPr>
        <w:rPr>
          <w:lang w:bidi="en-US"/>
        </w:rPr>
      </w:pPr>
    </w:p>
    <w:p w:rsidR="00A07D92" w:rsidRDefault="00495E63">
      <w:pPr>
        <w:pStyle w:val="Naslov3"/>
      </w:pPr>
      <w:bookmarkStart w:id="51" w:name="_Toc9596593"/>
      <w:r>
        <w:t>2.3.3 Objekti kritične infrastrukture</w:t>
      </w:r>
      <w:bookmarkStart w:id="52" w:name="_Toc136522791"/>
      <w:bookmarkEnd w:id="51"/>
      <w:bookmarkEnd w:id="52"/>
      <w:r>
        <w:rPr>
          <w:rStyle w:val="Sidrofusnote"/>
        </w:rPr>
        <w:footnoteReference w:id="6"/>
      </w:r>
    </w:p>
    <w:p w:rsidR="00A07D92" w:rsidRDefault="00495E63">
      <w:pPr>
        <w:rPr>
          <w:szCs w:val="22"/>
          <w:u w:val="single"/>
        </w:rPr>
      </w:pPr>
      <w:r>
        <w:rPr>
          <w:szCs w:val="22"/>
          <w:u w:val="single"/>
        </w:rPr>
        <w:t>Vodoopskrba i odvodnja</w:t>
      </w:r>
    </w:p>
    <w:p w:rsidR="00A07D92" w:rsidRDefault="00495E63">
      <w:pPr>
        <w:tabs>
          <w:tab w:val="left" w:pos="619"/>
        </w:tabs>
        <w:suppressAutoHyphens/>
        <w:spacing w:before="0" w:after="0"/>
        <w:ind w:left="19"/>
      </w:pPr>
      <w:r>
        <w:t>Iz Vranskog jezera je izgrađen vodovod za podmirenje potreba stanovništva oto</w:t>
      </w:r>
      <w:r>
        <w:t xml:space="preserve">ka Cresa i Lošinja. Izgradnja vodovoda aktualizirala je ekološki aspekt koji se manifestira u dva vida: </w:t>
      </w:r>
    </w:p>
    <w:p w:rsidR="00A07D92" w:rsidRDefault="00495E63">
      <w:pPr>
        <w:tabs>
          <w:tab w:val="left" w:pos="619"/>
        </w:tabs>
        <w:suppressAutoHyphens/>
        <w:spacing w:before="0" w:after="0"/>
        <w:ind w:left="19"/>
      </w:pPr>
      <w:r>
        <w:t xml:space="preserve">- problem maksimalno dopustive količine vode koja se smije crpiti a da se pri tome razina ne spusti ispod kritične točke, što bi moglo dovesti do poremećaja prirodne ravnoteže, te </w:t>
      </w:r>
    </w:p>
    <w:p w:rsidR="00A07D92" w:rsidRDefault="00495E63">
      <w:pPr>
        <w:tabs>
          <w:tab w:val="left" w:pos="619"/>
        </w:tabs>
        <w:suppressAutoHyphens/>
        <w:spacing w:before="0" w:after="0"/>
        <w:ind w:left="19"/>
      </w:pPr>
      <w:r>
        <w:t>- kao problem stroge zaštite jezera kako bi se trajno očuvala čistoća njego</w:t>
      </w:r>
      <w:r>
        <w:t xml:space="preserve">ve vode. </w:t>
      </w:r>
    </w:p>
    <w:p w:rsidR="00A07D92" w:rsidRDefault="00A07D92">
      <w:pPr>
        <w:tabs>
          <w:tab w:val="left" w:pos="619"/>
        </w:tabs>
        <w:suppressAutoHyphens/>
        <w:spacing w:before="0" w:after="0"/>
        <w:ind w:left="19"/>
      </w:pPr>
    </w:p>
    <w:p w:rsidR="00A07D92" w:rsidRDefault="00495E63">
      <w:pPr>
        <w:tabs>
          <w:tab w:val="left" w:pos="619"/>
        </w:tabs>
        <w:suppressAutoHyphens/>
        <w:spacing w:before="0" w:after="0"/>
        <w:ind w:left="19"/>
        <w:rPr>
          <w:rFonts w:cs="Times New Roman"/>
          <w:iCs/>
          <w:color w:val="auto"/>
          <w:kern w:val="2"/>
          <w:szCs w:val="22"/>
          <w:u w:val="single"/>
          <w:lang w:eastAsia="ar-SA"/>
        </w:rPr>
      </w:pPr>
      <w:r>
        <w:t>Problem količine vode (koju je moguće iskoristiti, a da to ne dovede do poremećaja prirodne ravnoteže) treba imati u vidu da se slatkovodno jezero nalazi na otoku i da je okruženo slanom morskom vodom. Izračunato je da bi se iz jezera moglo crps</w:t>
      </w:r>
      <w:r>
        <w:t>ti u kontinuiranoj eksploataciji oko 250 l/</w:t>
      </w:r>
      <w:proofErr w:type="spellStart"/>
      <w:r>
        <w:t>sek</w:t>
      </w:r>
      <w:proofErr w:type="spellEnd"/>
      <w:r>
        <w:t>, a da se ne bi došlo blizu opasnosti prodora mora u jezero. Jezero Vrana je golema prirodna akumulacija vode, koja bi se mogla trajno eksploatirati bilo za natapanje kultiviranih površina na Cresu i Lošinju, b</w:t>
      </w:r>
      <w:r>
        <w:t xml:space="preserve">ilo za opskrbu vodom susjednih područja, bilo za potrebe eventualne mjesne industrije. Zbog relativno teške pristupačnosti </w:t>
      </w:r>
      <w:r>
        <w:lastRenderedPageBreak/>
        <w:t>jezeru i rijetke naseljenosti oko njega, korištenje jezera za pitku vodu, ribolov i napajanje stoke nisu mogli narušiti prirodnu ravn</w:t>
      </w:r>
      <w:r>
        <w:t xml:space="preserve">otežu niti ugroziti njegovu čistoću. Otoci Susak, Ilovik, Unije i </w:t>
      </w:r>
      <w:proofErr w:type="spellStart"/>
      <w:r>
        <w:t>Srakane</w:t>
      </w:r>
      <w:proofErr w:type="spellEnd"/>
      <w:r>
        <w:t xml:space="preserve"> snabdijevaju se brodom </w:t>
      </w:r>
      <w:proofErr w:type="spellStart"/>
      <w:r>
        <w:t>vodonoscem</w:t>
      </w:r>
      <w:proofErr w:type="spellEnd"/>
      <w:r>
        <w:t xml:space="preserve">. Na otoku Susku postoji sustav hidrantske mreže s vodospremom i crpnom stanicom za prihvat vode s broda </w:t>
      </w:r>
      <w:proofErr w:type="spellStart"/>
      <w:r>
        <w:t>vodonosca</w:t>
      </w:r>
      <w:proofErr w:type="spellEnd"/>
      <w:r>
        <w:t>.</w:t>
      </w:r>
    </w:p>
    <w:p w:rsidR="00A07D92" w:rsidRDefault="00A07D92">
      <w:pPr>
        <w:spacing w:before="0" w:after="0"/>
        <w:rPr>
          <w:color w:val="C00000"/>
          <w:szCs w:val="22"/>
        </w:rPr>
      </w:pPr>
    </w:p>
    <w:p w:rsidR="00A07D92" w:rsidRDefault="00495E63">
      <w:pPr>
        <w:rPr>
          <w:i/>
          <w:u w:val="single"/>
        </w:rPr>
      </w:pPr>
      <w:r>
        <w:rPr>
          <w:i/>
          <w:u w:val="single"/>
        </w:rPr>
        <w:t>Odvodnja otpadnih voda</w:t>
      </w:r>
    </w:p>
    <w:p w:rsidR="00A07D92" w:rsidRDefault="00495E63">
      <w:pPr>
        <w:spacing w:before="0" w:after="0"/>
      </w:pPr>
      <w:r>
        <w:t>Otpadne v</w:t>
      </w:r>
      <w:r>
        <w:t xml:space="preserve">ode Malog Lošinja skupljaju se gravitacijskim kolektorima dužine 9.350 m preko crpne stanice tlačnim cjevovodom na lokaciju </w:t>
      </w:r>
      <w:proofErr w:type="spellStart"/>
      <w:r>
        <w:t>Kijac</w:t>
      </w:r>
      <w:proofErr w:type="spellEnd"/>
      <w:r>
        <w:t xml:space="preserve">. Na </w:t>
      </w:r>
      <w:proofErr w:type="spellStart"/>
      <w:r>
        <w:t>Kijcu</w:t>
      </w:r>
      <w:proofErr w:type="spellEnd"/>
      <w:r>
        <w:t xml:space="preserve"> se nalazi uređaj za pročišćavanje s finom rešetkom, mjernim uređajem, taložnicom i </w:t>
      </w:r>
      <w:proofErr w:type="spellStart"/>
      <w:r>
        <w:t>dozažnim</w:t>
      </w:r>
      <w:proofErr w:type="spellEnd"/>
      <w:r>
        <w:t xml:space="preserve"> sifonom. Podmorski ispus</w:t>
      </w:r>
      <w:r>
        <w:t xml:space="preserve">t je dužine 500 m na dubini od 69 m. Drugi dio Malog Lošinja, tj. turistički objekti (hoteli i autokamp) na predjelu </w:t>
      </w:r>
      <w:proofErr w:type="spellStart"/>
      <w:r>
        <w:t>Čikat</w:t>
      </w:r>
      <w:proofErr w:type="spellEnd"/>
      <w:r>
        <w:t xml:space="preserve"> spojeni su gravitacijskim cjevovodima dužine 1.100 m na dvije crpne stanice i podmorskim ispustom dužine 510 m upuštaju se u more na </w:t>
      </w:r>
      <w:r>
        <w:t xml:space="preserve">dubini od 45 m. Projektom „Jadran“ predviđeno je objedinjavanje sustava i izgradnja uređaja za pročišćavanje sanitarnih otpadnih voda visokog stupnja obrade. </w:t>
      </w:r>
    </w:p>
    <w:p w:rsidR="00A07D92" w:rsidRDefault="00495E63">
      <w:pPr>
        <w:spacing w:before="0" w:after="0"/>
      </w:pPr>
      <w:r>
        <w:t>U Velom Lošinju postoji sustav s grubom rešetkom, taložnicom, crpnom stanicom i podmorskim ispust</w:t>
      </w:r>
      <w:r>
        <w:t xml:space="preserve">om dužine 800 m na dubini od 63 m. Postojećim kolektorima u dužini 3760 m pridodati će se kolektori s crpnom stanicom predjela </w:t>
      </w:r>
      <w:proofErr w:type="spellStart"/>
      <w:r>
        <w:t>Rovenska</w:t>
      </w:r>
      <w:proofErr w:type="spellEnd"/>
      <w:r>
        <w:t xml:space="preserve"> koji je u tijeku izgradnje.</w:t>
      </w:r>
    </w:p>
    <w:p w:rsidR="00A07D92" w:rsidRDefault="00495E63">
      <w:pPr>
        <w:spacing w:before="0" w:after="0"/>
      </w:pPr>
      <w:r>
        <w:t xml:space="preserve">Na sustav naselja </w:t>
      </w:r>
      <w:proofErr w:type="spellStart"/>
      <w:r>
        <w:t>Nerezine</w:t>
      </w:r>
      <w:proofErr w:type="spellEnd"/>
      <w:r>
        <w:t xml:space="preserve"> s dvjema crpnim stanicama i podmorskim ispustom spojeno je i turi</w:t>
      </w:r>
      <w:r>
        <w:t xml:space="preserve">stičko naselje Bučanje preko dviju crpnih stanica. Ovaj sustav ima ukupno 3170 m kolektora i ispust dužine 350 m. </w:t>
      </w:r>
    </w:p>
    <w:p w:rsidR="00A07D92" w:rsidRDefault="00495E63">
      <w:pPr>
        <w:spacing w:before="0" w:after="0"/>
      </w:pPr>
      <w:r>
        <w:t>Na otoku Susku postoji vodovod i kanalizacija, ali je kolektor izgrađen na samoj plaži, iz kojeg se šire neugodni mirisi. U svim kućama posto</w:t>
      </w:r>
      <w:r>
        <w:t>ji podzemna cisterna u koju se slijevanja kišnica sa krova. Prije gradnje vodovoda to je bio jedini izvor vode. Novi vodovod nije izravno spojen na većinu kuća, već samo služi kao distribucijska mreža iz koje se pune postojeće cisterne. Izgrađen kanalizaci</w:t>
      </w:r>
      <w:r>
        <w:t xml:space="preserve">jski sustav koji uz kolektore dužine 2840 m i crpnu stanicu i ispust dužine 185 m na dubini 15 m sadrži i biološki uređaj za pročišćavanje otpadnih voda. </w:t>
      </w:r>
    </w:p>
    <w:p w:rsidR="00A07D92" w:rsidRDefault="00495E63">
      <w:pPr>
        <w:spacing w:before="0" w:after="0"/>
      </w:pPr>
      <w:r>
        <w:t>Sve otpadne vode prije puštanja u more redovito kontrolira Nastavni zavod za javno zdravstvo PGŽ. Ist</w:t>
      </w:r>
      <w:r>
        <w:t xml:space="preserve">o tako redovito se kontrolira i kvaliteta mora u blizini podmorskih ispusta. </w:t>
      </w:r>
    </w:p>
    <w:p w:rsidR="00A07D92" w:rsidRDefault="00495E63">
      <w:pPr>
        <w:spacing w:before="0" w:after="0"/>
      </w:pPr>
      <w:r>
        <w:t xml:space="preserve">Na području Malog Lošinja postoje razdjelni sustavi za odvodnju otpadnih voda i to u naselju </w:t>
      </w:r>
      <w:proofErr w:type="spellStart"/>
      <w:r>
        <w:t>Nerezine</w:t>
      </w:r>
      <w:proofErr w:type="spellEnd"/>
      <w:r>
        <w:t>, Mali Lošinj i Veli Lošinj, te na otoku Susku.</w:t>
      </w:r>
    </w:p>
    <w:p w:rsidR="00A07D92" w:rsidRDefault="00A07D92">
      <w:pPr>
        <w:spacing w:before="0" w:after="0"/>
      </w:pPr>
    </w:p>
    <w:p w:rsidR="00A07D92" w:rsidRDefault="00495E63">
      <w:pPr>
        <w:spacing w:before="0" w:after="0"/>
        <w:rPr>
          <w:u w:val="single"/>
        </w:rPr>
      </w:pPr>
      <w:r>
        <w:rPr>
          <w:u w:val="single"/>
        </w:rPr>
        <w:t>Gospodarenje otpadom</w:t>
      </w:r>
      <w:r>
        <w:rPr>
          <w:rStyle w:val="Sidrofusnote"/>
          <w:u w:val="single"/>
        </w:rPr>
        <w:footnoteReference w:id="7"/>
      </w:r>
    </w:p>
    <w:p w:rsidR="00A07D92" w:rsidRDefault="00495E63">
      <w:pPr>
        <w:spacing w:before="0" w:after="0"/>
      </w:pPr>
      <w:r>
        <w:t>Komuna</w:t>
      </w:r>
      <w:r>
        <w:t>lna tvrtka zadužena za sakupljanje otpada s područja Grada je komunalna tvrtka Komunalne usluge Cres Lošinj d.o.o.. Komunalna tvrtka svoje usluge pruža stanovnicima na području Grada Cresa i Grada Malog Lošinja.</w:t>
      </w:r>
    </w:p>
    <w:p w:rsidR="00A07D92" w:rsidRDefault="00495E63">
      <w:pPr>
        <w:spacing w:before="0" w:after="0"/>
      </w:pPr>
      <w:r>
        <w:t>Odlaganje sakupljenog komunalnog otpada na p</w:t>
      </w:r>
      <w:r>
        <w:t xml:space="preserve">odručju grada Malog Lošinja obavlja se na legalnom otočnom odlagalištu komunalnog otpada I. kategorije na predjelu Kalvarija koje se nalazi </w:t>
      </w:r>
      <w:proofErr w:type="spellStart"/>
      <w:r>
        <w:t>cca</w:t>
      </w:r>
      <w:proofErr w:type="spellEnd"/>
      <w:r>
        <w:t xml:space="preserve">. 1,5 km južno od grada Malog Lošinja u smjeru jugoistok, s prilazom s gradske obilaznice i odvojka koji vodi do </w:t>
      </w:r>
      <w:r>
        <w:t xml:space="preserve">industrijske zone grada Malog Lošinja i same lokacije odlagališta otpada. Organiziranim sakupljanjem, odvozom i odlaganjem komunalnog otpada obuhvaćeno je oko </w:t>
      </w:r>
      <w:proofErr w:type="spellStart"/>
      <w:r>
        <w:t>cca</w:t>
      </w:r>
      <w:proofErr w:type="spellEnd"/>
      <w:r>
        <w:t>. 100% stanovništva na području 9 naselja otoka Lošinja i pripadajućih 5 naseljenih otoka koji</w:t>
      </w:r>
      <w:r>
        <w:t xml:space="preserve"> gravitiraju prema gradu Malom Lošinju. Odlagalište </w:t>
      </w:r>
      <w:r>
        <w:lastRenderedPageBreak/>
        <w:t xml:space="preserve">komunalnog otpada je smješteno na predjelu Kalvarija po kojemu je i ono samo dobilo ime, isto je površine od </w:t>
      </w:r>
      <w:proofErr w:type="spellStart"/>
      <w:r>
        <w:t>cca</w:t>
      </w:r>
      <w:proofErr w:type="spellEnd"/>
      <w:r>
        <w:t>. 2,8 ha (28.000 m</w:t>
      </w:r>
      <w:r>
        <w:rPr>
          <w:vertAlign w:val="superscript"/>
        </w:rPr>
        <w:t>2</w:t>
      </w:r>
      <w:r>
        <w:t xml:space="preserve"> ).</w:t>
      </w:r>
    </w:p>
    <w:p w:rsidR="00A07D92" w:rsidRDefault="00495E63">
      <w:pPr>
        <w:spacing w:before="0" w:after="0"/>
      </w:pPr>
      <w:r>
        <w:t>Najznačajnija investicija komunalnog društva u gospodarenje otpadom j</w:t>
      </w:r>
      <w:r>
        <w:t xml:space="preserve">e sanacija odlagališta komunalnog otpada Kalvarija u Malom Lošinju koja je u tijeku. Na području Kalvarije izgrađena je ulazno-izlazna zona, upravna zgrada, pretovarna stanica, </w:t>
      </w:r>
      <w:proofErr w:type="spellStart"/>
      <w:r>
        <w:t>reciklažno</w:t>
      </w:r>
      <w:proofErr w:type="spellEnd"/>
      <w:r>
        <w:t xml:space="preserve"> dvorište i </w:t>
      </w:r>
      <w:proofErr w:type="spellStart"/>
      <w:r>
        <w:t>sortirnica</w:t>
      </w:r>
      <w:proofErr w:type="spellEnd"/>
      <w:r>
        <w:t>. Cjelokupnu investiciju sufinanciraju Grad Mal</w:t>
      </w:r>
      <w:r>
        <w:t>i Lošinj i Fond za zaštitu okoliša i energetsku učinkovitost.</w:t>
      </w:r>
    </w:p>
    <w:p w:rsidR="00A07D92" w:rsidRDefault="00A07D92">
      <w:pPr>
        <w:spacing w:before="0" w:after="0"/>
        <w:rPr>
          <w:szCs w:val="22"/>
          <w:u w:val="single"/>
        </w:rPr>
      </w:pPr>
    </w:p>
    <w:p w:rsidR="00A07D92" w:rsidRDefault="00495E63">
      <w:pPr>
        <w:rPr>
          <w:u w:val="single"/>
        </w:rPr>
      </w:pPr>
      <w:r>
        <w:rPr>
          <w:u w:val="single"/>
        </w:rPr>
        <w:t xml:space="preserve">Elektroopskrba </w:t>
      </w:r>
    </w:p>
    <w:p w:rsidR="00A07D92" w:rsidRDefault="00495E63">
      <w:pPr>
        <w:spacing w:before="0" w:after="0"/>
      </w:pPr>
      <w:r>
        <w:t>Za područje Grada Mali Lošinj najznačajniji elektroenergetski objekt obuhvata plana predstavlja trafostanica 110/35 kV Lošinj. Trafostanica je izvedena s vanjskim 110 kV postroj</w:t>
      </w:r>
      <w:r>
        <w:t>enjem, s dva transformatora 110/35 kV snage 2x20 MVA i zgradom u kojoj je smješteno 35 kV postrojenje, komandno-upravljački dio i pomoćna postrojenja trafostanice. Vršna opterećenja trafostanica postiže u ljetnim mjesecima, što znači da svojim sadašnjim ka</w:t>
      </w:r>
      <w:r>
        <w:t>pacitetom za dugi niz godina osigurava nesmetan prirast opterećenja uz osiguranje potpune rezerve u transformaciji 110/35 kV.</w:t>
      </w:r>
    </w:p>
    <w:p w:rsidR="00A07D92" w:rsidRDefault="00495E63">
      <w:pPr>
        <w:spacing w:before="0" w:after="0"/>
      </w:pPr>
      <w:r>
        <w:t>Niskonaponska mreža je u većim naseljima izvedena pretežno s podzemnim kabelima, a u preostalom dijelu, kao i manjim naseljima, ka</w:t>
      </w:r>
      <w:r>
        <w:t>o nadzemna, sa samonosivim kabelskim snopom razvedenim na betonskim ili drvenim stupovima, ili po fasadama zgrada.</w:t>
      </w:r>
    </w:p>
    <w:p w:rsidR="00A07D92" w:rsidRDefault="00495E63">
      <w:pPr>
        <w:spacing w:before="0" w:after="0"/>
        <w:rPr>
          <w:szCs w:val="22"/>
          <w:u w:val="single"/>
        </w:rPr>
      </w:pPr>
      <w:r>
        <w:t>Najveća potrošnja finalne energije u kućanstvima troši se za grijanje (preko 60%), zatim za pripremu tople vode, ne toplinske namjene i kuhan</w:t>
      </w:r>
      <w:r>
        <w:t xml:space="preserve">je. Za grijanje se najviše koriste ekstra lako lož ulje i drvo, oko 40%, zatim električna energija i ukapljeni naftni plin. U ukupnoj potrošnji finalne energije za sve namjene u kućanstvima, najveća je zastupljenost električne energije (33%), ekstra lakog </w:t>
      </w:r>
      <w:r>
        <w:t>lož ulja (32%), drva (27%), a zatim UNP-a (8%).</w:t>
      </w:r>
    </w:p>
    <w:p w:rsidR="00A07D92" w:rsidRDefault="00A07D92">
      <w:pPr>
        <w:rPr>
          <w:szCs w:val="22"/>
          <w:u w:val="single"/>
        </w:rPr>
      </w:pPr>
    </w:p>
    <w:p w:rsidR="00A07D92" w:rsidRDefault="00495E63">
      <w:pPr>
        <w:rPr>
          <w:szCs w:val="22"/>
          <w:u w:val="single"/>
        </w:rPr>
      </w:pPr>
      <w:bookmarkStart w:id="53" w:name="_Toc432401630"/>
      <w:bookmarkStart w:id="54" w:name="_Toc429396134"/>
      <w:r>
        <w:rPr>
          <w:szCs w:val="22"/>
          <w:u w:val="single"/>
        </w:rPr>
        <w:t>Pošta i telekomunikacijski sustav</w:t>
      </w:r>
      <w:bookmarkEnd w:id="53"/>
      <w:bookmarkEnd w:id="54"/>
    </w:p>
    <w:p w:rsidR="00A07D92" w:rsidRDefault="00495E63">
      <w:pPr>
        <w:spacing w:after="0"/>
        <w:rPr>
          <w:i/>
          <w:u w:val="single"/>
        </w:rPr>
      </w:pPr>
      <w:r>
        <w:rPr>
          <w:i/>
          <w:u w:val="single"/>
        </w:rPr>
        <w:t>Pošta</w:t>
      </w:r>
    </w:p>
    <w:p w:rsidR="00A07D92" w:rsidRDefault="00495E63">
      <w:pPr>
        <w:spacing w:before="0" w:after="0"/>
      </w:pPr>
      <w:r>
        <w:t xml:space="preserve">U naseljima na prostoru Grada posluju poštanski uredi; u </w:t>
      </w:r>
      <w:proofErr w:type="spellStart"/>
      <w:r>
        <w:t>Beleju</w:t>
      </w:r>
      <w:proofErr w:type="spellEnd"/>
      <w:r>
        <w:t xml:space="preserve">, Punta </w:t>
      </w:r>
      <w:proofErr w:type="spellStart"/>
      <w:r>
        <w:t>Križi</w:t>
      </w:r>
      <w:proofErr w:type="spellEnd"/>
      <w:r>
        <w:t xml:space="preserve">, </w:t>
      </w:r>
      <w:proofErr w:type="spellStart"/>
      <w:r>
        <w:t>Osoru</w:t>
      </w:r>
      <w:proofErr w:type="spellEnd"/>
      <w:r>
        <w:t xml:space="preserve">, </w:t>
      </w:r>
      <w:proofErr w:type="spellStart"/>
      <w:r>
        <w:t>Nerezinama</w:t>
      </w:r>
      <w:proofErr w:type="spellEnd"/>
      <w:r>
        <w:t xml:space="preserve">, </w:t>
      </w:r>
      <w:proofErr w:type="spellStart"/>
      <w:r>
        <w:t>Ćunskom</w:t>
      </w:r>
      <w:proofErr w:type="spellEnd"/>
      <w:r>
        <w:t xml:space="preserve">, Velom Lošinju, na Iloviku, Susku i Unijama posluju jedinice </w:t>
      </w:r>
      <w:r>
        <w:t>poštanske mreže dok u Malom Lošinju posluje poštanski centar.</w:t>
      </w:r>
    </w:p>
    <w:p w:rsidR="00A07D92" w:rsidRDefault="00495E63">
      <w:pPr>
        <w:spacing w:before="0" w:after="0"/>
      </w:pPr>
      <w:r>
        <w:t xml:space="preserve">S obzirom na udaljenost između pojedinih naselja te gustoću postojećih TT korisnika (stambenih objekata) unutar naselja kao i pripadajućih otoka, na području Grada Malog Lošinja instalirano je </w:t>
      </w:r>
      <w:r>
        <w:t>više lokalnih telefonskih centrala, odnosno dislociranih digitalnih pretplatničkih stupnjeva (UPS).</w:t>
      </w:r>
    </w:p>
    <w:p w:rsidR="00A07D92" w:rsidRDefault="00495E63">
      <w:pPr>
        <w:spacing w:before="0" w:after="0"/>
      </w:pPr>
      <w:r>
        <w:t>Povezivanje navedenih udaljenih digitalnih pretplatničkih stupnjeva, UPS-ova, na višu prometnu razinu (AXE Krk) realizirano je digitalnim sistemima prijenos</w:t>
      </w:r>
      <w:r>
        <w:t xml:space="preserve">a ovisno o raspoloživom prijenosnom mediju i to dijelom svjetlovodnim kabelima, dijelom po podzemnim simetričnim TK kabelima, a dijelom preko RR uređaja. </w:t>
      </w:r>
    </w:p>
    <w:p w:rsidR="00A07D92" w:rsidRDefault="00495E63">
      <w:pPr>
        <w:spacing w:before="0" w:after="0"/>
        <w:rPr>
          <w:i/>
        </w:rPr>
      </w:pPr>
      <w:r>
        <w:t>Pristupne telekomunikacijske mreže postojećih UPS-ova izgrađene su većim dijelom kao podzemne s kabel</w:t>
      </w:r>
      <w:r>
        <w:t>ima uvučenim u cijevi telekomunikacijske kanalizacije. Iznimku čine priključci pojedinih objekata ili izdvojenih manjih stambenih cjelina izvedeni samonosivim kabelima. Kapacitet prijenosnih uređaja, a s obzirom na postojeće stanje je zadovoljavajuće.</w:t>
      </w:r>
    </w:p>
    <w:p w:rsidR="00A07D92" w:rsidRDefault="00A07D92">
      <w:pPr>
        <w:spacing w:after="0"/>
        <w:rPr>
          <w:i/>
          <w:u w:val="single"/>
        </w:rPr>
      </w:pPr>
    </w:p>
    <w:p w:rsidR="00A07D92" w:rsidRDefault="00495E63">
      <w:pPr>
        <w:spacing w:after="0"/>
        <w:rPr>
          <w:i/>
          <w:u w:val="single"/>
        </w:rPr>
      </w:pPr>
      <w:r>
        <w:rPr>
          <w:i/>
          <w:u w:val="single"/>
        </w:rPr>
        <w:t>Pok</w:t>
      </w:r>
      <w:r>
        <w:rPr>
          <w:i/>
          <w:u w:val="single"/>
        </w:rPr>
        <w:t>retne telekomunikacije</w:t>
      </w:r>
    </w:p>
    <w:p w:rsidR="00A07D92" w:rsidRDefault="00495E63">
      <w:pPr>
        <w:spacing w:before="0" w:after="0"/>
        <w:rPr>
          <w:i/>
          <w:szCs w:val="22"/>
          <w:u w:val="single"/>
        </w:rPr>
      </w:pPr>
      <w:r>
        <w:lastRenderedPageBreak/>
        <w:t>Područje otoka Lošinja ima pokrivenost GSM signalom, uz manje poteškoće na pojedinim područjima otoka.</w:t>
      </w:r>
    </w:p>
    <w:p w:rsidR="00A07D92" w:rsidRDefault="00A07D92">
      <w:pPr>
        <w:rPr>
          <w:iCs/>
          <w:szCs w:val="22"/>
          <w:u w:val="single"/>
        </w:rPr>
      </w:pPr>
    </w:p>
    <w:p w:rsidR="00A07D92" w:rsidRDefault="00A07D92">
      <w:pPr>
        <w:rPr>
          <w:iCs/>
          <w:szCs w:val="22"/>
          <w:u w:val="single"/>
        </w:rPr>
      </w:pPr>
    </w:p>
    <w:p w:rsidR="00A07D92" w:rsidRDefault="00495E63">
      <w:pPr>
        <w:rPr>
          <w:iCs/>
          <w:szCs w:val="22"/>
          <w:u w:val="single"/>
        </w:rPr>
      </w:pPr>
      <w:r>
        <w:rPr>
          <w:iCs/>
          <w:szCs w:val="22"/>
          <w:u w:val="single"/>
        </w:rPr>
        <w:t>Prometna infrastruktura</w:t>
      </w:r>
    </w:p>
    <w:p w:rsidR="00A07D92" w:rsidRDefault="00495E63">
      <w:pPr>
        <w:spacing w:before="120" w:after="120"/>
        <w:rPr>
          <w:rFonts w:eastAsia="ArialNarrow"/>
        </w:rPr>
      </w:pPr>
      <w:r>
        <w:rPr>
          <w:rFonts w:eastAsia="ArialNarrow"/>
        </w:rPr>
        <w:t xml:space="preserve">Obrađeno u poglavlju </w:t>
      </w:r>
      <w:r>
        <w:rPr>
          <w:rFonts w:eastAsia="ArialNarrow"/>
          <w:i/>
        </w:rPr>
        <w:t>2.1.7 Prometna povezanost</w:t>
      </w:r>
      <w:r>
        <w:rPr>
          <w:rFonts w:eastAsia="ArialNarrow"/>
        </w:rPr>
        <w:t>.</w:t>
      </w:r>
    </w:p>
    <w:p w:rsidR="00A07D92" w:rsidRDefault="00A07D92">
      <w:pPr>
        <w:spacing w:before="120" w:after="0"/>
        <w:rPr>
          <w:rFonts w:eastAsia="ArialNarrow"/>
        </w:rPr>
      </w:pPr>
    </w:p>
    <w:p w:rsidR="00A07D92" w:rsidRDefault="00495E63">
      <w:pPr>
        <w:rPr>
          <w:iCs/>
          <w:szCs w:val="22"/>
          <w:u w:val="single"/>
        </w:rPr>
      </w:pPr>
      <w:bookmarkStart w:id="55" w:name="_Toc432401623"/>
      <w:bookmarkStart w:id="56" w:name="_Toc429396127"/>
      <w:r>
        <w:rPr>
          <w:iCs/>
          <w:szCs w:val="22"/>
          <w:u w:val="single"/>
        </w:rPr>
        <w:t>Poljoprivredne površine</w:t>
      </w:r>
      <w:bookmarkEnd w:id="55"/>
      <w:bookmarkEnd w:id="56"/>
    </w:p>
    <w:p w:rsidR="00A07D92" w:rsidRDefault="00495E63">
      <w:pPr>
        <w:tabs>
          <w:tab w:val="left" w:pos="284"/>
        </w:tabs>
        <w:spacing w:before="120" w:after="120"/>
        <w:rPr>
          <w:rFonts w:eastAsia="ArialNarrow"/>
          <w:i/>
          <w:iCs/>
        </w:rPr>
      </w:pPr>
      <w:r>
        <w:rPr>
          <w:rFonts w:eastAsia="ArialNarrow"/>
        </w:rPr>
        <w:t xml:space="preserve">Obrađeno u poglavlju 2.3.4 </w:t>
      </w:r>
      <w:r>
        <w:rPr>
          <w:rFonts w:eastAsia="ArialNarrow"/>
          <w:i/>
          <w:iCs/>
        </w:rPr>
        <w:t>Gosp</w:t>
      </w:r>
      <w:r>
        <w:rPr>
          <w:rFonts w:eastAsia="ArialNarrow"/>
          <w:i/>
          <w:iCs/>
        </w:rPr>
        <w:t>odarske grane</w:t>
      </w:r>
    </w:p>
    <w:p w:rsidR="00A07D92" w:rsidRDefault="00A07D92">
      <w:pPr>
        <w:tabs>
          <w:tab w:val="left" w:pos="284"/>
        </w:tabs>
        <w:spacing w:before="120" w:after="120"/>
        <w:rPr>
          <w:rFonts w:eastAsia="ArialNarrow"/>
        </w:rPr>
      </w:pPr>
    </w:p>
    <w:p w:rsidR="00A07D92" w:rsidRDefault="00495E63">
      <w:pPr>
        <w:pStyle w:val="Naslov3"/>
      </w:pPr>
      <w:bookmarkStart w:id="57" w:name="_Toc136522792"/>
      <w:bookmarkStart w:id="58" w:name="_Toc9596592"/>
      <w:r>
        <w:t>2.3.4 Velike gospodarske tvrtke</w:t>
      </w:r>
      <w:bookmarkEnd w:id="57"/>
      <w:bookmarkEnd w:id="58"/>
    </w:p>
    <w:p w:rsidR="00A07D92" w:rsidRDefault="00495E63">
      <w:r>
        <w:t>Na području grada Malog Lošinja posluju slijedeće velike tvrtke: Jadranka hoteli d.o.o. i Lošinjska plovidba – turizam d.o.o.</w:t>
      </w:r>
    </w:p>
    <w:p w:rsidR="00A07D92" w:rsidRDefault="00A07D92"/>
    <w:p w:rsidR="00A07D92" w:rsidRDefault="00495E63">
      <w:pPr>
        <w:pStyle w:val="Naslov2"/>
      </w:pPr>
      <w:bookmarkStart w:id="59" w:name="_Toc9596594"/>
      <w:bookmarkStart w:id="60" w:name="_Toc136522793"/>
      <w:r>
        <w:t>2.4 Prirodno – kulturni pokazatelji</w:t>
      </w:r>
      <w:bookmarkEnd w:id="59"/>
      <w:bookmarkEnd w:id="60"/>
    </w:p>
    <w:p w:rsidR="00A07D92" w:rsidRDefault="00495E63">
      <w:pPr>
        <w:pStyle w:val="Naslov3"/>
      </w:pPr>
      <w:bookmarkStart w:id="61" w:name="_Toc136522794"/>
      <w:r>
        <w:t>2.4.1 Zaštićena područja</w:t>
      </w:r>
      <w:bookmarkEnd w:id="61"/>
    </w:p>
    <w:p w:rsidR="00A07D92" w:rsidRDefault="00495E63">
      <w:r>
        <w:t>Prirodna baština čini</w:t>
      </w:r>
      <w:r>
        <w:t xml:space="preserve"> važan dio kulture koji obuhvaća ruralni i prirodni okoliš s pripadajućom florom i faunom što se u znanosti naziva bio raznolikost. Lokacija sa zaštićenom baštinom često služe kao važna komponenta u turističkoj industriji neke zemlje koja privlači mnogo do</w:t>
      </w:r>
      <w:r>
        <w:t xml:space="preserve">maćih i stranih posjetitelja. Prirodna baština otoka Lošinja je iznimno bogata, vrijedna i raznolika. Zaštićeni dijelovi prirode na otoku su: </w:t>
      </w:r>
    </w:p>
    <w:p w:rsidR="00A07D92" w:rsidRDefault="00495E63">
      <w:r>
        <w:t xml:space="preserve">- Park šume – </w:t>
      </w:r>
      <w:proofErr w:type="spellStart"/>
      <w:r>
        <w:t>Čikat</w:t>
      </w:r>
      <w:proofErr w:type="spellEnd"/>
      <w:r>
        <w:t xml:space="preserve"> i Pod Javori </w:t>
      </w:r>
    </w:p>
    <w:p w:rsidR="00A07D92" w:rsidRDefault="00495E63">
      <w:r>
        <w:t xml:space="preserve">- Spomenik </w:t>
      </w:r>
      <w:proofErr w:type="spellStart"/>
      <w:r>
        <w:t>parkovne</w:t>
      </w:r>
      <w:proofErr w:type="spellEnd"/>
      <w:r>
        <w:t xml:space="preserve"> arhitekture – pojedinačni primjerak drveća Pinija u uvali </w:t>
      </w:r>
      <w:proofErr w:type="spellStart"/>
      <w:r>
        <w:t>Ž</w:t>
      </w:r>
      <w:r>
        <w:t>alić</w:t>
      </w:r>
      <w:proofErr w:type="spellEnd"/>
      <w:r>
        <w:t xml:space="preserve"> </w:t>
      </w:r>
    </w:p>
    <w:p w:rsidR="00A07D92" w:rsidRDefault="00495E63">
      <w:r>
        <w:t xml:space="preserve">- Spomenik prirode – Lokva u naselju Unije </w:t>
      </w:r>
    </w:p>
    <w:p w:rsidR="00A07D92" w:rsidRDefault="00495E63">
      <w:r>
        <w:t xml:space="preserve">- Posebni rezervat – geomorfološki - Vele i Male Stine na Unijama </w:t>
      </w:r>
    </w:p>
    <w:p w:rsidR="00A07D92" w:rsidRDefault="00495E63">
      <w:r>
        <w:t xml:space="preserve">- Posebni rezervat šumske vegetacije – Šuma Liski kod </w:t>
      </w:r>
      <w:proofErr w:type="spellStart"/>
      <w:r>
        <w:t>Ćunskog</w:t>
      </w:r>
      <w:proofErr w:type="spellEnd"/>
      <w:r>
        <w:t xml:space="preserve"> </w:t>
      </w:r>
    </w:p>
    <w:p w:rsidR="00A07D92" w:rsidRDefault="00495E63">
      <w:r>
        <w:t xml:space="preserve">- Morski rezervat dupina – Posebni rezervat – rezervat u moru u lošinjskom </w:t>
      </w:r>
      <w:proofErr w:type="spellStart"/>
      <w:r>
        <w:t>akvatoriju</w:t>
      </w:r>
      <w:proofErr w:type="spellEnd"/>
      <w:r>
        <w:t xml:space="preserve">. </w:t>
      </w:r>
    </w:p>
    <w:p w:rsidR="00A07D92" w:rsidRDefault="00495E63">
      <w:r>
        <w:t>Tu je još niz većih i manjih posebnih otoka i otočića koji svojim ljepotama i vrijednošću nude svoju izvornu prirodnu očuvanost. Stoga ih je potrebno dodatno zaštiti, v</w:t>
      </w:r>
      <w:r>
        <w:t>rednovati i iskoristiti njihove prirodne resurse. Među brojnim uvalama nastalim potapanjem krških oblika najprostranija je i najznačajnija luka Mali Lošinj, jedna od najbolje zaštićenih prirodnih luka na Jadranu. Cijeli otok prepun je šetnica, biciklističk</w:t>
      </w:r>
      <w:r>
        <w:t>ih i planinarskih staza.</w:t>
      </w:r>
    </w:p>
    <w:p w:rsidR="00A07D92" w:rsidRDefault="00495E63">
      <w:r>
        <w:t xml:space="preserve">Na otoku </w:t>
      </w:r>
      <w:proofErr w:type="spellStart"/>
      <w:r>
        <w:t>lošinju</w:t>
      </w:r>
      <w:proofErr w:type="spellEnd"/>
      <w:r>
        <w:t xml:space="preserve"> obitava macaklin koji je zaštićena vrsta. Macaklini su gušteri iz porodice </w:t>
      </w:r>
      <w:proofErr w:type="spellStart"/>
      <w:r>
        <w:t>gekona</w:t>
      </w:r>
      <w:proofErr w:type="spellEnd"/>
      <w:r>
        <w:t xml:space="preserve">. Obično se kreću oko uličnih svjetiljki gdje ima puno mušica i leptira. Tijelo im je gotovo prozirno, brzi su dok love plijen te ga </w:t>
      </w:r>
      <w:r>
        <w:t xml:space="preserve">hvataju malim i čvrstim ugrizom. Zbog svojih čudnih nogu lako se penju po okomitim zidovima te preskaču velike udaljenosti. Nakon </w:t>
      </w:r>
      <w:r>
        <w:lastRenderedPageBreak/>
        <w:t>hranjenja oblizuju se preko cijelog lica i očiju koje nemaju očne kapke. Hladnoća ih usporava. Njihovo uništavanje je protuzak</w:t>
      </w:r>
      <w:r>
        <w:t>onito i kažnjivo, stoga ih je Državna uprava za zaštitu kulturne i prirodne baštine stavila na popis zaštićenih i ugroženih vrsta. Na području Cresko - lošinjske otočne skupine poznate su dvije vrste: kućni macaklin i zidni macaklin.</w:t>
      </w:r>
    </w:p>
    <w:p w:rsidR="00A07D92" w:rsidRDefault="00495E63">
      <w:pPr>
        <w:pStyle w:val="Naslov3"/>
      </w:pPr>
      <w:bookmarkStart w:id="62" w:name="_Toc9596595"/>
      <w:bookmarkStart w:id="63" w:name="_Toc136522795"/>
      <w:r>
        <w:t>2.4.2 Kulturno – povij</w:t>
      </w:r>
      <w:r>
        <w:t>esna baština</w:t>
      </w:r>
      <w:bookmarkEnd w:id="62"/>
      <w:bookmarkEnd w:id="63"/>
    </w:p>
    <w:p w:rsidR="00A07D92" w:rsidRDefault="00495E63">
      <w:pPr>
        <w:spacing w:before="0"/>
      </w:pPr>
      <w:r>
        <w:t>Otok Lošinj poznat je po izuzetno vrijednoj i bogatoj kulturno-povijesnoj baštini s dugom tradicijom. Na njemu se nalaze povijesna naselja i/ili dijelovi naselja koji imaju županijski značaj, zatim kulturno povijesne cjeline kao i arheološki k</w:t>
      </w:r>
      <w:r>
        <w:t>opneni i podvodni lokaliteti. Arheološke i hidro arheološke zone i lokaliteti ukazuju na burnu prošlost otoka na kojem se nalaze prapovijesne građevine, vile rustike, bizantske i venecijanske utvrde te olupine potopljenih brodova. Cijeli otok predstavlja n</w:t>
      </w:r>
      <w:r>
        <w:t xml:space="preserve">iz kulturnih dobara značajnijih za Županiju i sam otok Lošinj. U Palači Kvarner u tijeku je izgradnja Muzeja </w:t>
      </w:r>
      <w:proofErr w:type="spellStart"/>
      <w:r>
        <w:t>Apoksiomena</w:t>
      </w:r>
      <w:proofErr w:type="spellEnd"/>
      <w:r>
        <w:t xml:space="preserve"> gdje će biti trajno smješten kip </w:t>
      </w:r>
      <w:proofErr w:type="spellStart"/>
      <w:r>
        <w:t>Apoksiomena</w:t>
      </w:r>
      <w:proofErr w:type="spellEnd"/>
      <w:r>
        <w:t>, dragocjena skulptura nađena u lošinjskom podmorju.</w:t>
      </w:r>
    </w:p>
    <w:p w:rsidR="00A07D92" w:rsidRDefault="00495E63">
      <w:pPr>
        <w:spacing w:before="0"/>
      </w:pPr>
      <w:r>
        <w:t>Na otoku Lošinju postoje brojne kultur</w:t>
      </w:r>
      <w:r>
        <w:t xml:space="preserve">ne znamenitosti, kao što su: palača </w:t>
      </w:r>
      <w:proofErr w:type="spellStart"/>
      <w:r>
        <w:t>Fritzy</w:t>
      </w:r>
      <w:proofErr w:type="spellEnd"/>
      <w:r>
        <w:t xml:space="preserve"> - Lošinjski muzej sa stalnim postavom Umjetničkih zbirki </w:t>
      </w:r>
      <w:proofErr w:type="spellStart"/>
      <w:r>
        <w:t>Mihičić</w:t>
      </w:r>
      <w:proofErr w:type="spellEnd"/>
      <w:r>
        <w:t xml:space="preserve"> i </w:t>
      </w:r>
      <w:proofErr w:type="spellStart"/>
      <w:r>
        <w:t>Piperata</w:t>
      </w:r>
      <w:proofErr w:type="spellEnd"/>
      <w:r>
        <w:t xml:space="preserve"> i galerijskim prostorom za povremene izložbe, Pomorska škola u Malom Lošinju, Zvjezdarnica </w:t>
      </w:r>
      <w:proofErr w:type="spellStart"/>
      <w:r>
        <w:t>Manora</w:t>
      </w:r>
      <w:proofErr w:type="spellEnd"/>
      <w:r>
        <w:t xml:space="preserve">, spomenici u Malom Lošinju: Josipu </w:t>
      </w:r>
      <w:proofErr w:type="spellStart"/>
      <w:r>
        <w:t>Kašm</w:t>
      </w:r>
      <w:r>
        <w:t>anu</w:t>
      </w:r>
      <w:proofErr w:type="spellEnd"/>
      <w:r>
        <w:t xml:space="preserve">, Ambrozu </w:t>
      </w:r>
      <w:proofErr w:type="spellStart"/>
      <w:r>
        <w:t>Haračiću</w:t>
      </w:r>
      <w:proofErr w:type="spellEnd"/>
      <w:r>
        <w:t xml:space="preserve">, spomenik mornaru (oslobođenja Cresa i Lošinja) autora Dušana Džamonje, podvodnom ribolovcu, brodogradilište u Malom Lošinju, brodogradilište u </w:t>
      </w:r>
      <w:proofErr w:type="spellStart"/>
      <w:r>
        <w:t>Nerezinama</w:t>
      </w:r>
      <w:proofErr w:type="spellEnd"/>
      <w:r>
        <w:t xml:space="preserve">,Franjevački samostan </w:t>
      </w:r>
      <w:proofErr w:type="spellStart"/>
      <w:r>
        <w:t>Nerezine</w:t>
      </w:r>
      <w:proofErr w:type="spellEnd"/>
      <w:r>
        <w:t xml:space="preserve">, Mlin za </w:t>
      </w:r>
      <w:proofErr w:type="spellStart"/>
      <w:r>
        <w:t>maslineTourić</w:t>
      </w:r>
      <w:proofErr w:type="spellEnd"/>
      <w:r>
        <w:t xml:space="preserve"> </w:t>
      </w:r>
      <w:proofErr w:type="spellStart"/>
      <w:r>
        <w:t>Nerezine</w:t>
      </w:r>
      <w:proofErr w:type="spellEnd"/>
      <w:r>
        <w:t>, Mlin za masline-</w:t>
      </w:r>
      <w:r>
        <w:t xml:space="preserve"> </w:t>
      </w:r>
      <w:proofErr w:type="spellStart"/>
      <w:r>
        <w:t>Torać</w:t>
      </w:r>
      <w:proofErr w:type="spellEnd"/>
      <w:r>
        <w:t xml:space="preserve"> </w:t>
      </w:r>
      <w:proofErr w:type="spellStart"/>
      <w:r>
        <w:t>Ćunski</w:t>
      </w:r>
      <w:proofErr w:type="spellEnd"/>
      <w:r>
        <w:t xml:space="preserve">, </w:t>
      </w:r>
      <w:proofErr w:type="spellStart"/>
      <w:r>
        <w:t>Osorski</w:t>
      </w:r>
      <w:proofErr w:type="spellEnd"/>
      <w:r>
        <w:t xml:space="preserve"> bedemi, Arheološka zbirka </w:t>
      </w:r>
      <w:proofErr w:type="spellStart"/>
      <w:r>
        <w:t>Osor</w:t>
      </w:r>
      <w:proofErr w:type="spellEnd"/>
      <w:r>
        <w:t xml:space="preserve">, crkva </w:t>
      </w:r>
      <w:proofErr w:type="spellStart"/>
      <w:r>
        <w:t>sv.Petra</w:t>
      </w:r>
      <w:proofErr w:type="spellEnd"/>
      <w:r>
        <w:t xml:space="preserve">, </w:t>
      </w:r>
      <w:proofErr w:type="spellStart"/>
      <w:r>
        <w:t>Osor</w:t>
      </w:r>
      <w:proofErr w:type="spellEnd"/>
      <w:r>
        <w:t xml:space="preserve"> te brojne ostale znamenitosti.</w:t>
      </w:r>
    </w:p>
    <w:p w:rsidR="00A07D92" w:rsidRDefault="00495E63">
      <w:pPr>
        <w:spacing w:before="0"/>
      </w:pPr>
      <w:r>
        <w:t xml:space="preserve">U Malom Lošinju nalazi se Gradska knjižnica i čitaonica koja ima odjeljenja u Velom Lošinju, </w:t>
      </w:r>
      <w:proofErr w:type="spellStart"/>
      <w:r>
        <w:t>Ćunskom</w:t>
      </w:r>
      <w:proofErr w:type="spellEnd"/>
      <w:r>
        <w:t xml:space="preserve"> i Unijama. Kulturne, informativne i obrazovne us</w:t>
      </w:r>
      <w:r>
        <w:t xml:space="preserve">tanove na području otoka imaju specifične zadatke da putem raznih obrazovnih oblika pružaju opće, stručno obrazovanje i usavršavanje, kulturno umjetničko obrazovanje i informiranje. Od kulturnih događanja, mogu se navesti neke s višegodišnjim djelovanjem: </w:t>
      </w:r>
      <w:proofErr w:type="spellStart"/>
      <w:r>
        <w:t>Osorske</w:t>
      </w:r>
      <w:proofErr w:type="spellEnd"/>
      <w:r>
        <w:t xml:space="preserve"> glazbene večeri, međunarodni umjetnički projekt ŠKVER (likovni i multimedijalni projekt – brodogradilište i Mali </w:t>
      </w:r>
      <w:proofErr w:type="spellStart"/>
      <w:r>
        <w:t>lošinj</w:t>
      </w:r>
      <w:proofErr w:type="spellEnd"/>
      <w:r>
        <w:t xml:space="preserve">), </w:t>
      </w:r>
      <w:proofErr w:type="spellStart"/>
      <w:r>
        <w:t>Oskarfest</w:t>
      </w:r>
      <w:proofErr w:type="spellEnd"/>
      <w:r>
        <w:t xml:space="preserve"> (festival karikature u </w:t>
      </w:r>
      <w:proofErr w:type="spellStart"/>
      <w:r>
        <w:t>Osoru</w:t>
      </w:r>
      <w:proofErr w:type="spellEnd"/>
      <w:r>
        <w:t xml:space="preserve">), umjetnička fotografska tura (izložba umjetničke fotografije na više lokacija u malim </w:t>
      </w:r>
      <w:r>
        <w:t>mjestima), Dan glazbe (prvi dan ljeta – glazbena događanja u Malom Lošinju).</w:t>
      </w:r>
    </w:p>
    <w:p w:rsidR="00A07D92" w:rsidRDefault="00495E63">
      <w:pPr>
        <w:spacing w:before="0"/>
      </w:pPr>
      <w:r>
        <w:t>Muzejsko galerijski prostor Kula u Velom Lošinju svjedoči o pomorskoj tradiciji otoka. Stalni postav ima zadaću predočiti slojevitu povijest Lošinja, s posebnim težištem na slavno</w:t>
      </w:r>
      <w:r>
        <w:t>j pomorskoj prošlosti. Osim stalnog postava osiguran je i prostor za održavanje povremenih likovnih i muzejskih izložbi.</w:t>
      </w:r>
    </w:p>
    <w:p w:rsidR="00A07D92" w:rsidRDefault="00A07D92">
      <w:pPr>
        <w:sectPr w:rsidR="00A07D92">
          <w:pgSz w:w="11906" w:h="16838"/>
          <w:pgMar w:top="1418" w:right="1418" w:bottom="1418" w:left="1418" w:header="567" w:footer="0" w:gutter="0"/>
          <w:cols w:space="720"/>
          <w:formProt w:val="0"/>
          <w:titlePg/>
          <w:docGrid w:linePitch="360" w:charSpace="4096"/>
        </w:sectPr>
      </w:pPr>
    </w:p>
    <w:p w:rsidR="00A07D92" w:rsidRDefault="00495E63">
      <w:pPr>
        <w:spacing w:before="0"/>
        <w:jc w:val="center"/>
        <w:rPr>
          <w:rFonts w:eastAsia="Calibri"/>
          <w:bCs/>
          <w:color w:val="54883D"/>
          <w:sz w:val="20"/>
          <w:szCs w:val="20"/>
        </w:rPr>
      </w:pPr>
      <w:r>
        <w:rPr>
          <w:rFonts w:eastAsia="Calibri"/>
          <w:bCs/>
          <w:color w:val="54883D"/>
          <w:sz w:val="20"/>
          <w:szCs w:val="20"/>
        </w:rPr>
        <w:lastRenderedPageBreak/>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8</w:t>
      </w:r>
      <w:r>
        <w:rPr>
          <w:rFonts w:eastAsia="Calibri"/>
          <w:bCs/>
          <w:sz w:val="20"/>
          <w:szCs w:val="20"/>
        </w:rPr>
        <w:fldChar w:fldCharType="end"/>
      </w:r>
      <w:r>
        <w:rPr>
          <w:rFonts w:eastAsia="Calibri"/>
          <w:bCs/>
          <w:color w:val="54883D"/>
          <w:sz w:val="20"/>
          <w:szCs w:val="20"/>
        </w:rPr>
        <w:t xml:space="preserve">. </w:t>
      </w:r>
      <w:r>
        <w:rPr>
          <w:color w:val="54883D"/>
          <w:sz w:val="20"/>
          <w:szCs w:val="20"/>
        </w:rPr>
        <w:t>Kulturna dobra grada Malog Lošinja</w:t>
      </w:r>
    </w:p>
    <w:tbl>
      <w:tblPr>
        <w:tblStyle w:val="Reetkatablice12"/>
        <w:tblW w:w="10441" w:type="dxa"/>
        <w:jc w:val="center"/>
        <w:tblLook w:val="04A0" w:firstRow="1" w:lastRow="0" w:firstColumn="1" w:lastColumn="0" w:noHBand="0" w:noVBand="1"/>
      </w:tblPr>
      <w:tblGrid>
        <w:gridCol w:w="1304"/>
        <w:gridCol w:w="4429"/>
        <w:gridCol w:w="2724"/>
        <w:gridCol w:w="1984"/>
      </w:tblGrid>
      <w:tr w:rsidR="00A07D92">
        <w:trPr>
          <w:tblHeade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color w:val="auto"/>
                <w:sz w:val="20"/>
                <w:szCs w:val="20"/>
              </w:rPr>
            </w:pPr>
            <w:r>
              <w:rPr>
                <w:rFonts w:ascii="Times New Roman" w:hAnsi="Times New Roman" w:cs="Times New Roman"/>
                <w:b/>
                <w:color w:val="auto"/>
                <w:sz w:val="20"/>
                <w:szCs w:val="20"/>
                <w:lang w:eastAsia="hr-HR"/>
              </w:rPr>
              <w:t>OZNAKA</w:t>
            </w:r>
          </w:p>
        </w:tc>
        <w:tc>
          <w:tcPr>
            <w:tcW w:w="44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color w:val="auto"/>
                <w:sz w:val="20"/>
                <w:szCs w:val="20"/>
              </w:rPr>
            </w:pPr>
            <w:r>
              <w:rPr>
                <w:rFonts w:ascii="Times New Roman" w:hAnsi="Times New Roman" w:cs="Times New Roman"/>
                <w:b/>
                <w:color w:val="auto"/>
                <w:sz w:val="20"/>
                <w:szCs w:val="20"/>
                <w:lang w:eastAsia="hr-HR"/>
              </w:rPr>
              <w:t>NAZIV</w:t>
            </w:r>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line="240" w:lineRule="auto"/>
              <w:jc w:val="center"/>
              <w:rPr>
                <w:rFonts w:ascii="Times New Roman" w:hAnsi="Times New Roman" w:cs="Times New Roman"/>
                <w:b/>
                <w:color w:val="auto"/>
                <w:sz w:val="20"/>
                <w:szCs w:val="20"/>
                <w:lang w:eastAsia="hr-HR"/>
              </w:rPr>
            </w:pPr>
          </w:p>
          <w:p w:rsidR="00A07D92" w:rsidRDefault="00495E63">
            <w:pPr>
              <w:spacing w:before="0" w:after="0" w:line="240" w:lineRule="auto"/>
              <w:jc w:val="center"/>
              <w:rPr>
                <w:b/>
                <w:color w:val="auto"/>
                <w:sz w:val="20"/>
                <w:szCs w:val="20"/>
              </w:rPr>
            </w:pPr>
            <w:r>
              <w:rPr>
                <w:rFonts w:ascii="Times New Roman" w:hAnsi="Times New Roman" w:cs="Times New Roman"/>
                <w:b/>
                <w:color w:val="auto"/>
                <w:sz w:val="20"/>
                <w:szCs w:val="20"/>
                <w:lang w:eastAsia="hr-HR"/>
              </w:rPr>
              <w:t>MJESTO</w:t>
            </w:r>
          </w:p>
        </w:tc>
        <w:tc>
          <w:tcPr>
            <w:tcW w:w="198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color w:val="auto"/>
                <w:sz w:val="20"/>
                <w:szCs w:val="20"/>
              </w:rPr>
            </w:pPr>
            <w:r>
              <w:rPr>
                <w:rFonts w:ascii="Times New Roman" w:hAnsi="Times New Roman" w:cs="Times New Roman"/>
                <w:b/>
                <w:color w:val="auto"/>
                <w:sz w:val="20"/>
                <w:szCs w:val="20"/>
                <w:lang w:eastAsia="hr-HR"/>
              </w:rPr>
              <w:t>VRSTA KULTURNOG DOBRA</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RRI-0309</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35">
              <w:r>
                <w:rPr>
                  <w:rStyle w:val="Internetskapoveznica"/>
                  <w:rFonts w:ascii="Times New Roman" w:hAnsi="Times New Roman" w:cs="Times New Roman"/>
                  <w:color w:val="auto"/>
                  <w:sz w:val="24"/>
                  <w:u w:val="none"/>
                  <w:lang w:eastAsia="hr-HR"/>
                </w:rPr>
                <w:t>Podmorsko arheološko nalazište poluotok Kolo</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r>
              <w:rPr>
                <w:rStyle w:val="pre-line-span"/>
                <w:rFonts w:ascii="Times New Roman" w:hAnsi="Times New Roman" w:cs="Times New Roman"/>
                <w:color w:val="auto"/>
                <w:sz w:val="24"/>
                <w:lang w:eastAsia="hr-HR"/>
              </w:rPr>
              <w:t>,</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rStyle w:val="pre-line-span"/>
                <w:color w:val="auto"/>
                <w:sz w:val="20"/>
                <w:szCs w:val="20"/>
              </w:rPr>
            </w:pPr>
            <w:r>
              <w:rPr>
                <w:rStyle w:val="pre-line-span"/>
                <w:rFonts w:ascii="Times New Roman" w:hAnsi="Times New Roman" w:cs="Times New Roman"/>
                <w:color w:val="auto"/>
                <w:sz w:val="24"/>
                <w:lang w:eastAsia="hr-HR"/>
              </w:rPr>
              <w:t>Z-47</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36">
              <w:r>
                <w:rPr>
                  <w:rStyle w:val="Internetskapoveznica"/>
                  <w:rFonts w:ascii="Times New Roman" w:hAnsi="Times New Roman" w:cs="Times New Roman"/>
                  <w:color w:val="auto"/>
                  <w:sz w:val="24"/>
                  <w:u w:val="none"/>
                  <w:lang w:eastAsia="hr-HR"/>
                </w:rPr>
                <w:t>Antički brodolom</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rStyle w:val="pre-line-span"/>
                <w:color w:val="auto"/>
                <w:sz w:val="20"/>
                <w:szCs w:val="20"/>
              </w:rPr>
            </w:pPr>
            <w:r>
              <w:rPr>
                <w:rStyle w:val="pre-line-span"/>
                <w:rFonts w:ascii="Times New Roman" w:hAnsi="Times New Roman" w:cs="Times New Roman"/>
                <w:color w:val="auto"/>
                <w:sz w:val="24"/>
                <w:lang w:eastAsia="hr-HR"/>
              </w:rPr>
              <w:t>Ilovik</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Z-49</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37">
              <w:r>
                <w:rPr>
                  <w:rStyle w:val="Internetskapoveznica"/>
                  <w:rFonts w:ascii="Times New Roman" w:hAnsi="Times New Roman" w:cs="Times New Roman"/>
                  <w:color w:val="auto"/>
                  <w:sz w:val="24"/>
                  <w:u w:val="none"/>
                  <w:lang w:eastAsia="hr-HR"/>
                </w:rPr>
                <w:t xml:space="preserve">Ostaci </w:t>
              </w:r>
              <w:proofErr w:type="spellStart"/>
              <w:r>
                <w:rPr>
                  <w:rStyle w:val="Internetskapoveznica"/>
                  <w:rFonts w:ascii="Times New Roman" w:hAnsi="Times New Roman" w:cs="Times New Roman"/>
                  <w:color w:val="auto"/>
                  <w:sz w:val="24"/>
                  <w:u w:val="none"/>
                  <w:lang w:eastAsia="hr-HR"/>
                </w:rPr>
                <w:t>tegula</w:t>
              </w:r>
              <w:proofErr w:type="spellEnd"/>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Mali Lošinj</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Z-22</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38">
              <w:r>
                <w:rPr>
                  <w:rStyle w:val="Internetskapoveznica"/>
                  <w:rFonts w:ascii="Times New Roman" w:hAnsi="Times New Roman" w:cs="Times New Roman"/>
                  <w:color w:val="auto"/>
                  <w:sz w:val="24"/>
                  <w:u w:val="none"/>
                  <w:lang w:eastAsia="hr-HR"/>
                </w:rPr>
                <w:t>Antički brodolom s teretom građevinskog materijala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Susak</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Z-36</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39">
              <w:r>
                <w:rPr>
                  <w:rStyle w:val="Internetskapoveznica"/>
                  <w:rFonts w:ascii="Times New Roman" w:hAnsi="Times New Roman" w:cs="Times New Roman"/>
                  <w:color w:val="auto"/>
                  <w:sz w:val="24"/>
                  <w:u w:val="none"/>
                  <w:lang w:eastAsia="hr-HR"/>
                </w:rPr>
                <w:t>Antički brodolom</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Unije</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Z-2349</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40">
              <w:r>
                <w:rPr>
                  <w:rStyle w:val="Internetskapoveznica"/>
                  <w:rFonts w:ascii="Times New Roman" w:hAnsi="Times New Roman" w:cs="Times New Roman"/>
                  <w:color w:val="auto"/>
                  <w:sz w:val="24"/>
                  <w:u w:val="none"/>
                  <w:lang w:eastAsia="hr-HR"/>
                </w:rPr>
                <w:t xml:space="preserve">Arheološka zona </w:t>
              </w:r>
              <w:proofErr w:type="spellStart"/>
              <w:r>
                <w:rPr>
                  <w:rStyle w:val="Internetskapoveznica"/>
                  <w:rFonts w:ascii="Times New Roman" w:hAnsi="Times New Roman" w:cs="Times New Roman"/>
                  <w:color w:val="auto"/>
                  <w:sz w:val="24"/>
                  <w:u w:val="none"/>
                  <w:lang w:eastAsia="hr-HR"/>
                </w:rPr>
                <w:t>Oruda</w:t>
              </w:r>
              <w:proofErr w:type="spellEnd"/>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Veli Lošinj,</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Z-2350</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41">
              <w:r>
                <w:rPr>
                  <w:rStyle w:val="Internetskapoveznica"/>
                  <w:rFonts w:ascii="Times New Roman" w:hAnsi="Times New Roman" w:cs="Times New Roman"/>
                  <w:color w:val="auto"/>
                  <w:sz w:val="24"/>
                  <w:u w:val="none"/>
                  <w:lang w:eastAsia="hr-HR"/>
                </w:rPr>
                <w:t xml:space="preserve">Arheološka zona </w:t>
              </w:r>
              <w:proofErr w:type="spellStart"/>
              <w:r>
                <w:rPr>
                  <w:rStyle w:val="Internetskapoveznica"/>
                  <w:rFonts w:ascii="Times New Roman" w:hAnsi="Times New Roman" w:cs="Times New Roman"/>
                  <w:color w:val="auto"/>
                  <w:sz w:val="24"/>
                  <w:u w:val="none"/>
                  <w:lang w:eastAsia="hr-HR"/>
                </w:rPr>
                <w:t>Palacol</w:t>
              </w:r>
              <w:proofErr w:type="spellEnd"/>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Veli Lošinj,</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w:t>
            </w:r>
            <w:r>
              <w:rPr>
                <w:rStyle w:val="pre-line-span"/>
                <w:rFonts w:ascii="Times New Roman" w:hAnsi="Times New Roman" w:cs="Times New Roman"/>
                <w:color w:val="auto"/>
                <w:sz w:val="24"/>
                <w:lang w:eastAsia="hr-HR"/>
              </w:rPr>
              <w:t xml:space="preserve">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Z-48</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42">
              <w:r>
                <w:rPr>
                  <w:rStyle w:val="Internetskapoveznica"/>
                  <w:rFonts w:ascii="Times New Roman" w:hAnsi="Times New Roman" w:cs="Times New Roman"/>
                  <w:color w:val="auto"/>
                  <w:sz w:val="24"/>
                  <w:u w:val="none"/>
                  <w:lang w:eastAsia="hr-HR"/>
                </w:rPr>
                <w:t xml:space="preserve">Nalazište okamenjenih antičkih amfora, posuđa i </w:t>
              </w:r>
              <w:proofErr w:type="spellStart"/>
              <w:r>
                <w:rPr>
                  <w:rStyle w:val="Internetskapoveznica"/>
                  <w:rFonts w:ascii="Times New Roman" w:hAnsi="Times New Roman" w:cs="Times New Roman"/>
                  <w:color w:val="auto"/>
                  <w:sz w:val="24"/>
                  <w:u w:val="none"/>
                  <w:lang w:eastAsia="hr-HR"/>
                </w:rPr>
                <w:t>tegula</w:t>
              </w:r>
              <w:proofErr w:type="spellEnd"/>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r>
              <w:rPr>
                <w:rStyle w:val="pre-line-span"/>
                <w:rFonts w:ascii="Times New Roman" w:hAnsi="Times New Roman" w:cs="Times New Roman"/>
                <w:color w:val="auto"/>
                <w:sz w:val="24"/>
                <w:lang w:eastAsia="hr-HR"/>
              </w:rPr>
              <w:t>,</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Z-836</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43">
              <w:r>
                <w:rPr>
                  <w:rStyle w:val="Internetskapoveznica"/>
                  <w:rFonts w:ascii="Times New Roman" w:hAnsi="Times New Roman" w:cs="Times New Roman"/>
                  <w:color w:val="auto"/>
                  <w:sz w:val="24"/>
                  <w:u w:val="none"/>
                  <w:lang w:eastAsia="hr-HR"/>
                </w:rPr>
                <w:t>Arheološko nalazište</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Punta Križa</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Z-3110</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44">
              <w:r>
                <w:rPr>
                  <w:rStyle w:val="Internetskapoveznica"/>
                  <w:rFonts w:ascii="Times New Roman" w:hAnsi="Times New Roman" w:cs="Times New Roman"/>
                  <w:color w:val="auto"/>
                  <w:sz w:val="24"/>
                  <w:u w:val="none"/>
                  <w:lang w:eastAsia="hr-HR"/>
                </w:rPr>
                <w:t>Arheološko nalazište sv. Platon</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Z-77</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45">
              <w:r>
                <w:rPr>
                  <w:rStyle w:val="Internetskapoveznica"/>
                  <w:rFonts w:ascii="Times New Roman" w:hAnsi="Times New Roman" w:cs="Times New Roman"/>
                  <w:color w:val="auto"/>
                  <w:sz w:val="24"/>
                  <w:u w:val="none"/>
                  <w:lang w:eastAsia="hr-HR"/>
                </w:rPr>
                <w:t>Ostaci antičke keramike i građevnog materijala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Z-3210</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46">
              <w:r>
                <w:rPr>
                  <w:rStyle w:val="Internetskapoveznica"/>
                  <w:rFonts w:ascii="Times New Roman" w:hAnsi="Times New Roman" w:cs="Times New Roman"/>
                  <w:color w:val="auto"/>
                  <w:sz w:val="24"/>
                  <w:u w:val="none"/>
                  <w:lang w:eastAsia="hr-HR"/>
                </w:rPr>
                <w:t>Arheološko nalazište Jami na Sredi</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Punta Križa,</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Z-50</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47">
              <w:r>
                <w:rPr>
                  <w:rStyle w:val="Internetskapoveznica"/>
                  <w:rFonts w:ascii="Times New Roman" w:hAnsi="Times New Roman" w:cs="Times New Roman"/>
                  <w:color w:val="auto"/>
                  <w:sz w:val="24"/>
                  <w:u w:val="none"/>
                  <w:lang w:eastAsia="hr-HR"/>
                </w:rPr>
                <w:t>Parobrod "</w:t>
              </w:r>
              <w:proofErr w:type="spellStart"/>
              <w:r>
                <w:rPr>
                  <w:rStyle w:val="Internetskapoveznica"/>
                  <w:rFonts w:ascii="Times New Roman" w:hAnsi="Times New Roman" w:cs="Times New Roman"/>
                  <w:color w:val="auto"/>
                  <w:sz w:val="24"/>
                  <w:u w:val="none"/>
                  <w:lang w:eastAsia="hr-HR"/>
                </w:rPr>
                <w:t>Tihany</w:t>
              </w:r>
              <w:proofErr w:type="spellEnd"/>
              <w:r>
                <w:rPr>
                  <w:rStyle w:val="Internetskapoveznica"/>
                  <w:rFonts w:ascii="Times New Roman" w:hAnsi="Times New Roman" w:cs="Times New Roman"/>
                  <w:color w:val="auto"/>
                  <w:sz w:val="24"/>
                  <w:u w:val="none"/>
                  <w:lang w:eastAsia="hr-HR"/>
                </w:rPr>
                <w:t>"</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Unije</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Z-6994</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48">
              <w:r>
                <w:rPr>
                  <w:rStyle w:val="Internetskapoveznica"/>
                  <w:rFonts w:ascii="Times New Roman" w:hAnsi="Times New Roman" w:cs="Times New Roman"/>
                  <w:color w:val="auto"/>
                  <w:sz w:val="24"/>
                  <w:u w:val="none"/>
                  <w:lang w:eastAsia="hr-HR"/>
                </w:rPr>
                <w:t>Urbanistička cjelina grada Maloga Lošinja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Mali Lošinj</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Z-5541</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49">
              <w:r>
                <w:rPr>
                  <w:rStyle w:val="Internetskapoveznica"/>
                  <w:rFonts w:ascii="Times New Roman" w:hAnsi="Times New Roman" w:cs="Times New Roman"/>
                  <w:color w:val="auto"/>
                  <w:sz w:val="24"/>
                  <w:u w:val="none"/>
                  <w:lang w:eastAsia="hr-HR"/>
                </w:rPr>
                <w:t>Ruralna kulturno-povijesna cjelina naselja Susak</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Susak</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RRI-0210-1969.</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50">
              <w:r>
                <w:rPr>
                  <w:rStyle w:val="Internetskapoveznica"/>
                  <w:rFonts w:ascii="Times New Roman" w:hAnsi="Times New Roman" w:cs="Times New Roman"/>
                  <w:color w:val="auto"/>
                  <w:sz w:val="24"/>
                  <w:u w:val="none"/>
                  <w:lang w:eastAsia="hr-HR"/>
                </w:rPr>
                <w:t xml:space="preserve">Urbana cjelina </w:t>
              </w:r>
              <w:proofErr w:type="spellStart"/>
              <w:r>
                <w:rPr>
                  <w:rStyle w:val="Internetskapoveznica"/>
                  <w:rFonts w:ascii="Times New Roman" w:hAnsi="Times New Roman" w:cs="Times New Roman"/>
                  <w:color w:val="auto"/>
                  <w:sz w:val="24"/>
                  <w:u w:val="none"/>
                  <w:lang w:eastAsia="hr-HR"/>
                </w:rPr>
                <w:t>Velog</w:t>
              </w:r>
              <w:proofErr w:type="spellEnd"/>
              <w:r>
                <w:rPr>
                  <w:rStyle w:val="Internetskapoveznica"/>
                  <w:rFonts w:ascii="Times New Roman" w:hAnsi="Times New Roman" w:cs="Times New Roman"/>
                  <w:color w:val="auto"/>
                  <w:sz w:val="24"/>
                  <w:u w:val="none"/>
                  <w:lang w:eastAsia="hr-HR"/>
                </w:rPr>
                <w:t xml:space="preserve"> Lošinja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Veli Lošinj</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Z-3081</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51">
              <w:r>
                <w:rPr>
                  <w:rStyle w:val="Internetskapoveznica"/>
                  <w:rFonts w:ascii="Times New Roman" w:hAnsi="Times New Roman" w:cs="Times New Roman"/>
                  <w:color w:val="auto"/>
                  <w:sz w:val="24"/>
                  <w:u w:val="none"/>
                  <w:lang w:eastAsia="hr-HR"/>
                </w:rPr>
                <w:t xml:space="preserve">Kulturno-povijesna urbana cjelina naselja </w:t>
              </w:r>
              <w:proofErr w:type="spellStart"/>
              <w:r>
                <w:rPr>
                  <w:rStyle w:val="Internetskapoveznica"/>
                  <w:rFonts w:ascii="Times New Roman" w:hAnsi="Times New Roman" w:cs="Times New Roman"/>
                  <w:color w:val="auto"/>
                  <w:sz w:val="24"/>
                  <w:u w:val="none"/>
                  <w:lang w:eastAsia="hr-HR"/>
                </w:rPr>
                <w:t>Osor</w:t>
              </w:r>
              <w:proofErr w:type="spellEnd"/>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Z-3953</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52">
              <w:r>
                <w:rPr>
                  <w:rStyle w:val="Internetskapoveznica"/>
                  <w:rFonts w:ascii="Times New Roman" w:hAnsi="Times New Roman" w:cs="Times New Roman"/>
                  <w:color w:val="auto"/>
                  <w:sz w:val="24"/>
                  <w:u w:val="none"/>
                  <w:lang w:eastAsia="hr-HR"/>
                </w:rPr>
                <w:t xml:space="preserve">Kulturno-povijesna cjelina zaselka Veli </w:t>
              </w:r>
              <w:proofErr w:type="spellStart"/>
              <w:r>
                <w:rPr>
                  <w:rStyle w:val="Internetskapoveznica"/>
                  <w:rFonts w:ascii="Times New Roman" w:hAnsi="Times New Roman" w:cs="Times New Roman"/>
                  <w:color w:val="auto"/>
                  <w:sz w:val="24"/>
                  <w:u w:val="none"/>
                  <w:lang w:eastAsia="hr-HR"/>
                </w:rPr>
                <w:t>Tržić</w:t>
              </w:r>
              <w:proofErr w:type="spellEnd"/>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Z-3404</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53">
              <w:r>
                <w:rPr>
                  <w:rStyle w:val="Internetskapoveznica"/>
                  <w:rFonts w:ascii="Times New Roman" w:hAnsi="Times New Roman" w:cs="Times New Roman"/>
                  <w:color w:val="auto"/>
                  <w:sz w:val="24"/>
                  <w:u w:val="none"/>
                  <w:lang w:eastAsia="hr-HR"/>
                </w:rPr>
                <w:t>Govor otoka Suska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Susak</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Z-2348</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54">
              <w:proofErr w:type="spellStart"/>
              <w:r>
                <w:rPr>
                  <w:rStyle w:val="Internetskapoveznica"/>
                  <w:rFonts w:ascii="Times New Roman" w:hAnsi="Times New Roman" w:cs="Times New Roman"/>
                  <w:color w:val="auto"/>
                  <w:sz w:val="24"/>
                  <w:u w:val="none"/>
                  <w:lang w:eastAsia="hr-HR"/>
                </w:rPr>
                <w:t>Torać</w:t>
              </w:r>
              <w:proofErr w:type="spellEnd"/>
              <w:r>
                <w:rPr>
                  <w:rStyle w:val="Internetskapoveznica"/>
                  <w:rFonts w:ascii="Times New Roman" w:hAnsi="Times New Roman" w:cs="Times New Roman"/>
                  <w:color w:val="auto"/>
                  <w:sz w:val="24"/>
                  <w:u w:val="none"/>
                  <w:lang w:eastAsia="hr-HR"/>
                </w:rPr>
                <w:t>-mlin za masline</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Ćunski</w:t>
            </w:r>
            <w:proofErr w:type="spellEnd"/>
            <w:r>
              <w:rPr>
                <w:rStyle w:val="pre-line-span"/>
                <w:rFonts w:ascii="Times New Roman" w:hAnsi="Times New Roman" w:cs="Times New Roman"/>
                <w:color w:val="auto"/>
                <w:sz w:val="24"/>
                <w:lang w:eastAsia="hr-HR"/>
              </w:rPr>
              <w:t>, ĆUNSKI 11</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lastRenderedPageBreak/>
              <w:t>Z-3109</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55">
              <w:r>
                <w:rPr>
                  <w:rStyle w:val="Internetskapoveznica"/>
                  <w:rFonts w:ascii="Times New Roman" w:hAnsi="Times New Roman" w:cs="Times New Roman"/>
                  <w:color w:val="auto"/>
                  <w:sz w:val="24"/>
                  <w:u w:val="none"/>
                  <w:lang w:eastAsia="hr-HR"/>
                </w:rPr>
                <w:t>Mletačka kula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Ilovik, ILOVIK 17a</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Z-119</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56">
              <w:r>
                <w:rPr>
                  <w:rStyle w:val="Internetskapoveznica"/>
                  <w:rFonts w:ascii="Times New Roman" w:hAnsi="Times New Roman" w:cs="Times New Roman"/>
                  <w:color w:val="auto"/>
                  <w:sz w:val="24"/>
                  <w:u w:val="none"/>
                  <w:lang w:eastAsia="hr-HR"/>
                </w:rPr>
                <w:t>Ranokršćanski kompleks uz crkvu sv. Marije</w:t>
              </w:r>
              <w:r>
                <w:rPr>
                  <w:rStyle w:val="Internetskapoveznica"/>
                  <w:rFonts w:ascii="Times New Roman" w:hAnsi="Times New Roman" w:cs="Times New Roman"/>
                  <w:color w:val="auto"/>
                  <w:sz w:val="24"/>
                  <w:u w:val="none"/>
                  <w:lang w:eastAsia="hr-HR"/>
                </w:rPr>
                <w:t xml:space="preserve"> od Anđela na groblju</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r>
              <w:rPr>
                <w:rStyle w:val="pre-line-span"/>
                <w:rFonts w:ascii="Times New Roman" w:hAnsi="Times New Roman" w:cs="Times New Roman"/>
                <w:color w:val="auto"/>
                <w:sz w:val="24"/>
                <w:lang w:eastAsia="hr-HR"/>
              </w:rPr>
              <w:t>, OSOR</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Z-120</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57">
              <w:r>
                <w:rPr>
                  <w:rStyle w:val="Internetskapoveznica"/>
                  <w:rFonts w:ascii="Times New Roman" w:hAnsi="Times New Roman" w:cs="Times New Roman"/>
                  <w:color w:val="auto"/>
                  <w:sz w:val="24"/>
                  <w:u w:val="none"/>
                  <w:lang w:eastAsia="hr-HR"/>
                </w:rPr>
                <w:t>Gradska vijećnica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r>
              <w:rPr>
                <w:rStyle w:val="pre-line-span"/>
                <w:rFonts w:ascii="Times New Roman" w:hAnsi="Times New Roman" w:cs="Times New Roman"/>
                <w:color w:val="auto"/>
                <w:sz w:val="24"/>
                <w:lang w:eastAsia="hr-HR"/>
              </w:rPr>
              <w:t xml:space="preserve">, OSOR 45 , </w:t>
            </w:r>
            <w:proofErr w:type="spellStart"/>
            <w:r>
              <w:rPr>
                <w:rStyle w:val="pre-line-span"/>
                <w:rFonts w:ascii="Times New Roman" w:hAnsi="Times New Roman" w:cs="Times New Roman"/>
                <w:color w:val="auto"/>
                <w:sz w:val="24"/>
                <w:lang w:eastAsia="hr-HR"/>
              </w:rPr>
              <w:t>Osor</w:t>
            </w:r>
            <w:proofErr w:type="spellEnd"/>
            <w:r>
              <w:rPr>
                <w:rStyle w:val="pre-line-span"/>
                <w:rFonts w:ascii="Times New Roman" w:hAnsi="Times New Roman" w:cs="Times New Roman"/>
                <w:color w:val="auto"/>
                <w:sz w:val="24"/>
                <w:lang w:eastAsia="hr-HR"/>
              </w:rPr>
              <w:t>, OSOR 80</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Z-121</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58">
              <w:r>
                <w:rPr>
                  <w:rStyle w:val="Internetskapoveznica"/>
                  <w:rFonts w:ascii="Times New Roman" w:hAnsi="Times New Roman" w:cs="Times New Roman"/>
                  <w:color w:val="auto"/>
                  <w:sz w:val="24"/>
                  <w:u w:val="none"/>
                  <w:lang w:eastAsia="hr-HR"/>
                </w:rPr>
                <w:t xml:space="preserve">Crkva sv. </w:t>
              </w:r>
              <w:proofErr w:type="spellStart"/>
              <w:r>
                <w:rPr>
                  <w:rStyle w:val="Internetskapoveznica"/>
                  <w:rFonts w:ascii="Times New Roman" w:hAnsi="Times New Roman" w:cs="Times New Roman"/>
                  <w:color w:val="auto"/>
                  <w:sz w:val="24"/>
                  <w:u w:val="none"/>
                  <w:lang w:eastAsia="hr-HR"/>
                </w:rPr>
                <w:t>Gaudencija</w:t>
              </w:r>
              <w:proofErr w:type="spellEnd"/>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r>
              <w:rPr>
                <w:rStyle w:val="pre-line-span"/>
                <w:rFonts w:ascii="Times New Roman" w:hAnsi="Times New Roman" w:cs="Times New Roman"/>
                <w:color w:val="auto"/>
                <w:sz w:val="24"/>
                <w:lang w:eastAsia="hr-HR"/>
              </w:rPr>
              <w:t>, OSOR</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Z-122</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59">
              <w:r>
                <w:rPr>
                  <w:rStyle w:val="Internetskapoveznica"/>
                  <w:rFonts w:ascii="Times New Roman" w:hAnsi="Times New Roman" w:cs="Times New Roman"/>
                  <w:color w:val="auto"/>
                  <w:sz w:val="24"/>
                  <w:u w:val="none"/>
                  <w:lang w:eastAsia="hr-HR"/>
                </w:rPr>
                <w:t>Crkva sv. Marije</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r>
              <w:rPr>
                <w:rStyle w:val="pre-line-span"/>
                <w:rFonts w:ascii="Times New Roman" w:hAnsi="Times New Roman" w:cs="Times New Roman"/>
                <w:color w:val="auto"/>
                <w:sz w:val="24"/>
                <w:lang w:eastAsia="hr-HR"/>
              </w:rPr>
              <w:t>, OSOR</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Z-123</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60">
              <w:r>
                <w:rPr>
                  <w:rStyle w:val="Internetskapoveznica"/>
                  <w:rFonts w:ascii="Times New Roman" w:hAnsi="Times New Roman" w:cs="Times New Roman"/>
                  <w:color w:val="auto"/>
                  <w:sz w:val="24"/>
                  <w:u w:val="none"/>
                  <w:lang w:eastAsia="hr-HR"/>
                </w:rPr>
                <w:t>Biskupski dvori (Župna kuća)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Više adresa</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Z-124</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61">
              <w:r>
                <w:rPr>
                  <w:rStyle w:val="Internetskapoveznica"/>
                  <w:rFonts w:ascii="Times New Roman" w:hAnsi="Times New Roman" w:cs="Times New Roman"/>
                  <w:color w:val="auto"/>
                  <w:sz w:val="24"/>
                  <w:u w:val="none"/>
                  <w:lang w:eastAsia="hr-HR"/>
                </w:rPr>
                <w:t xml:space="preserve">Ruševine crkve sv. Marije i samostana na </w:t>
              </w:r>
              <w:proofErr w:type="spellStart"/>
              <w:r>
                <w:rPr>
                  <w:rStyle w:val="Internetskapoveznica"/>
                  <w:rFonts w:ascii="Times New Roman" w:hAnsi="Times New Roman" w:cs="Times New Roman"/>
                  <w:color w:val="auto"/>
                  <w:sz w:val="24"/>
                  <w:u w:val="none"/>
                  <w:lang w:eastAsia="hr-HR"/>
                </w:rPr>
                <w:t>Bijaru</w:t>
              </w:r>
              <w:proofErr w:type="spellEnd"/>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r>
              <w:rPr>
                <w:rStyle w:val="pre-line-span"/>
                <w:rFonts w:ascii="Times New Roman" w:hAnsi="Times New Roman" w:cs="Times New Roman"/>
                <w:color w:val="auto"/>
                <w:sz w:val="24"/>
                <w:lang w:eastAsia="hr-HR"/>
              </w:rPr>
              <w:t>, OSOR 83</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Z-3418</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62">
              <w:r>
                <w:rPr>
                  <w:rStyle w:val="Internetskapoveznica"/>
                  <w:rFonts w:ascii="Times New Roman" w:hAnsi="Times New Roman" w:cs="Times New Roman"/>
                  <w:color w:val="auto"/>
                  <w:sz w:val="24"/>
                  <w:u w:val="none"/>
                  <w:lang w:eastAsia="hr-HR"/>
                </w:rPr>
                <w:t>Kaštel</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Mali Lošinj, KAŠTEL</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Z-87</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63">
              <w:r>
                <w:rPr>
                  <w:rStyle w:val="Internetskapoveznica"/>
                  <w:rFonts w:ascii="Times New Roman" w:hAnsi="Times New Roman" w:cs="Times New Roman"/>
                  <w:color w:val="auto"/>
                  <w:sz w:val="24"/>
                  <w:u w:val="none"/>
                  <w:lang w:eastAsia="hr-HR"/>
                </w:rPr>
                <w:t>Zgrada zbirke "</w:t>
              </w:r>
              <w:proofErr w:type="spellStart"/>
              <w:r>
                <w:rPr>
                  <w:rStyle w:val="Internetskapoveznica"/>
                  <w:rFonts w:ascii="Times New Roman" w:hAnsi="Times New Roman" w:cs="Times New Roman"/>
                  <w:color w:val="auto"/>
                  <w:sz w:val="24"/>
                  <w:u w:val="none"/>
                  <w:lang w:eastAsia="hr-HR"/>
                </w:rPr>
                <w:t>Piperata</w:t>
              </w:r>
              <w:proofErr w:type="spellEnd"/>
              <w:r>
                <w:rPr>
                  <w:rStyle w:val="Internetskapoveznica"/>
                  <w:rFonts w:ascii="Times New Roman" w:hAnsi="Times New Roman" w:cs="Times New Roman"/>
                  <w:color w:val="auto"/>
                  <w:sz w:val="24"/>
                  <w:u w:val="none"/>
                  <w:lang w:eastAsia="hr-HR"/>
                </w:rPr>
                <w:t>"</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Mali Lošinj, VLADIMIRA GORTANA 35</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Z-3107</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64">
              <w:r>
                <w:rPr>
                  <w:rStyle w:val="Internetskapoveznica"/>
                  <w:rFonts w:ascii="Times New Roman" w:hAnsi="Times New Roman" w:cs="Times New Roman"/>
                  <w:color w:val="auto"/>
                  <w:sz w:val="24"/>
                  <w:u w:val="none"/>
                  <w:lang w:eastAsia="hr-HR"/>
                </w:rPr>
                <w:t>Kula Kolana Draže</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Nerezine</w:t>
            </w:r>
            <w:proofErr w:type="spellEnd"/>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Z-3954</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65">
              <w:r>
                <w:rPr>
                  <w:rStyle w:val="Internetskapoveznica"/>
                  <w:rFonts w:ascii="Times New Roman" w:hAnsi="Times New Roman" w:cs="Times New Roman"/>
                  <w:color w:val="auto"/>
                  <w:sz w:val="24"/>
                  <w:u w:val="none"/>
                  <w:lang w:eastAsia="hr-HR"/>
                </w:rPr>
                <w:t>Mlin za masline - "</w:t>
              </w:r>
              <w:proofErr w:type="spellStart"/>
              <w:r>
                <w:rPr>
                  <w:rStyle w:val="Internetskapoveznica"/>
                  <w:rFonts w:ascii="Times New Roman" w:hAnsi="Times New Roman" w:cs="Times New Roman"/>
                  <w:color w:val="auto"/>
                  <w:sz w:val="24"/>
                  <w:u w:val="none"/>
                  <w:lang w:eastAsia="hr-HR"/>
                </w:rPr>
                <w:t>tuorić</w:t>
              </w:r>
              <w:proofErr w:type="spellEnd"/>
              <w:r>
                <w:rPr>
                  <w:rStyle w:val="Internetskapoveznica"/>
                  <w:rFonts w:ascii="Times New Roman" w:hAnsi="Times New Roman" w:cs="Times New Roman"/>
                  <w:color w:val="auto"/>
                  <w:sz w:val="24"/>
                  <w:u w:val="none"/>
                  <w:lang w:eastAsia="hr-HR"/>
                </w:rPr>
                <w:t>"</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Nerezine</w:t>
            </w:r>
            <w:proofErr w:type="spellEnd"/>
            <w:r>
              <w:rPr>
                <w:rStyle w:val="pre-line-span"/>
                <w:rFonts w:ascii="Times New Roman" w:hAnsi="Times New Roman" w:cs="Times New Roman"/>
                <w:color w:val="auto"/>
                <w:sz w:val="24"/>
                <w:lang w:eastAsia="hr-HR"/>
              </w:rPr>
              <w:t>, OBALA NEREZINSKIH POMORACA</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Z-3420</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66">
              <w:r>
                <w:rPr>
                  <w:rStyle w:val="Internetskapoveznica"/>
                  <w:rFonts w:ascii="Times New Roman" w:hAnsi="Times New Roman" w:cs="Times New Roman"/>
                  <w:color w:val="auto"/>
                  <w:sz w:val="24"/>
                  <w:u w:val="none"/>
                  <w:lang w:eastAsia="hr-HR"/>
                </w:rPr>
                <w:t>Gradski bedemi</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r>
              <w:rPr>
                <w:rStyle w:val="pre-line-span"/>
                <w:rFonts w:ascii="Times New Roman" w:hAnsi="Times New Roman" w:cs="Times New Roman"/>
                <w:color w:val="auto"/>
                <w:sz w:val="24"/>
                <w:lang w:eastAsia="hr-HR"/>
              </w:rPr>
              <w:t>, OSOR</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Z-785</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67">
              <w:r>
                <w:rPr>
                  <w:rStyle w:val="Internetskapoveznica"/>
                  <w:rFonts w:ascii="Times New Roman" w:hAnsi="Times New Roman" w:cs="Times New Roman"/>
                  <w:color w:val="auto"/>
                  <w:sz w:val="24"/>
                  <w:u w:val="none"/>
                  <w:lang w:eastAsia="hr-HR"/>
                </w:rPr>
                <w:t>Ruševine opatije sv. Petra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proofErr w:type="spellStart"/>
            <w:r>
              <w:rPr>
                <w:rStyle w:val="pre-line-span"/>
                <w:rFonts w:ascii="Times New Roman" w:hAnsi="Times New Roman" w:cs="Times New Roman"/>
                <w:color w:val="auto"/>
                <w:sz w:val="24"/>
                <w:lang w:eastAsia="hr-HR"/>
              </w:rPr>
              <w:t>Osor</w:t>
            </w:r>
            <w:proofErr w:type="spellEnd"/>
            <w:r>
              <w:rPr>
                <w:rStyle w:val="pre-line-span"/>
                <w:rFonts w:ascii="Times New Roman" w:hAnsi="Times New Roman" w:cs="Times New Roman"/>
                <w:color w:val="auto"/>
                <w:sz w:val="24"/>
                <w:lang w:eastAsia="hr-HR"/>
              </w:rPr>
              <w:t>, OSOR</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Z-838</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68">
              <w:r>
                <w:rPr>
                  <w:rStyle w:val="Internetskapoveznica"/>
                  <w:rFonts w:ascii="Times New Roman" w:hAnsi="Times New Roman" w:cs="Times New Roman"/>
                  <w:color w:val="auto"/>
                  <w:sz w:val="24"/>
                  <w:u w:val="none"/>
                  <w:lang w:eastAsia="hr-HR"/>
                </w:rPr>
                <w:t>Kompleks zgrada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Više adresa</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Z-3108</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69">
              <w:r>
                <w:rPr>
                  <w:rStyle w:val="Internetskapoveznica"/>
                  <w:rFonts w:ascii="Times New Roman" w:hAnsi="Times New Roman" w:cs="Times New Roman"/>
                  <w:color w:val="auto"/>
                  <w:sz w:val="24"/>
                  <w:u w:val="none"/>
                  <w:lang w:eastAsia="hr-HR"/>
                </w:rPr>
                <w:t>Gospodarsko -</w:t>
              </w:r>
              <w:r>
                <w:rPr>
                  <w:rStyle w:val="Internetskapoveznica"/>
                  <w:rFonts w:ascii="Times New Roman" w:hAnsi="Times New Roman" w:cs="Times New Roman"/>
                  <w:color w:val="auto"/>
                  <w:sz w:val="24"/>
                  <w:u w:val="none"/>
                  <w:lang w:eastAsia="hr-HR"/>
                </w:rPr>
                <w:t xml:space="preserve"> ladanjski kompleks obitelji </w:t>
              </w:r>
              <w:proofErr w:type="spellStart"/>
              <w:r>
                <w:rPr>
                  <w:rStyle w:val="Internetskapoveznica"/>
                  <w:rFonts w:ascii="Times New Roman" w:hAnsi="Times New Roman" w:cs="Times New Roman"/>
                  <w:color w:val="auto"/>
                  <w:sz w:val="24"/>
                  <w:u w:val="none"/>
                  <w:lang w:eastAsia="hr-HR"/>
                </w:rPr>
                <w:t>Antoniazzo</w:t>
              </w:r>
              <w:proofErr w:type="spellEnd"/>
              <w:r>
                <w:rPr>
                  <w:rStyle w:val="Internetskapoveznica"/>
                  <w:rFonts w:ascii="Times New Roman" w:hAnsi="Times New Roman" w:cs="Times New Roman"/>
                  <w:color w:val="auto"/>
                  <w:sz w:val="24"/>
                  <w:u w:val="none"/>
                  <w:lang w:eastAsia="hr-HR"/>
                </w:rPr>
                <w:t xml:space="preserve"> de </w:t>
              </w:r>
              <w:proofErr w:type="spellStart"/>
              <w:r>
                <w:rPr>
                  <w:rStyle w:val="Internetskapoveznica"/>
                  <w:rFonts w:ascii="Times New Roman" w:hAnsi="Times New Roman" w:cs="Times New Roman"/>
                  <w:color w:val="auto"/>
                  <w:sz w:val="24"/>
                  <w:u w:val="none"/>
                  <w:lang w:eastAsia="hr-HR"/>
                </w:rPr>
                <w:t>Bocchina</w:t>
              </w:r>
              <w:proofErr w:type="spellEnd"/>
              <w:r>
                <w:rPr>
                  <w:rStyle w:val="Internetskapoveznica"/>
                  <w:rFonts w:ascii="Times New Roman" w:hAnsi="Times New Roman" w:cs="Times New Roman"/>
                  <w:color w:val="auto"/>
                  <w:sz w:val="24"/>
                  <w:u w:val="none"/>
                  <w:lang w:eastAsia="hr-HR"/>
                </w:rPr>
                <w:t xml:space="preserve"> s kapelom sv. Antuna Opata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Punta Križa, PUNTA KRIŽA</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Z-3419</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70">
              <w:r>
                <w:rPr>
                  <w:rStyle w:val="Internetskapoveznica"/>
                  <w:rFonts w:ascii="Times New Roman" w:hAnsi="Times New Roman" w:cs="Times New Roman"/>
                  <w:color w:val="auto"/>
                  <w:sz w:val="24"/>
                  <w:u w:val="none"/>
                  <w:lang w:eastAsia="hr-HR"/>
                </w:rPr>
                <w:t>Kula</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Veli Lošinj, KAŠTEL</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Zaštićeno kulturno dobro</w:t>
            </w:r>
          </w:p>
        </w:tc>
      </w:tr>
      <w:tr w:rsidR="00A07D92">
        <w:trPr>
          <w:jc w:val="center"/>
        </w:trPr>
        <w:tc>
          <w:tcPr>
            <w:tcW w:w="130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rPr>
                <w:color w:val="auto"/>
                <w:sz w:val="20"/>
                <w:szCs w:val="20"/>
              </w:rPr>
            </w:pPr>
            <w:r>
              <w:rPr>
                <w:rStyle w:val="pre-line-span"/>
                <w:rFonts w:ascii="Times New Roman" w:hAnsi="Times New Roman" w:cs="Times New Roman"/>
                <w:color w:val="auto"/>
                <w:sz w:val="24"/>
                <w:lang w:eastAsia="hr-HR"/>
              </w:rPr>
              <w:t>L-29</w:t>
            </w:r>
          </w:p>
        </w:tc>
        <w:tc>
          <w:tcPr>
            <w:tcW w:w="44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hyperlink r:id="rId71">
              <w:r>
                <w:rPr>
                  <w:rStyle w:val="Internetskapoveznica"/>
                  <w:rFonts w:ascii="Times New Roman" w:hAnsi="Times New Roman" w:cs="Times New Roman"/>
                  <w:color w:val="auto"/>
                  <w:sz w:val="24"/>
                  <w:u w:val="none"/>
                  <w:lang w:eastAsia="hr-HR"/>
                </w:rPr>
                <w:t>Zgrada bivše zvjezdarnice "</w:t>
              </w:r>
              <w:proofErr w:type="spellStart"/>
              <w:r>
                <w:rPr>
                  <w:rStyle w:val="Internetskapoveznica"/>
                  <w:rFonts w:ascii="Times New Roman" w:hAnsi="Times New Roman" w:cs="Times New Roman"/>
                  <w:color w:val="auto"/>
                  <w:sz w:val="24"/>
                  <w:u w:val="none"/>
                  <w:lang w:eastAsia="hr-HR"/>
                </w:rPr>
                <w:t>Manora</w:t>
              </w:r>
              <w:proofErr w:type="spellEnd"/>
              <w:r>
                <w:rPr>
                  <w:rStyle w:val="Internetskapoveznica"/>
                  <w:rFonts w:ascii="Times New Roman" w:hAnsi="Times New Roman" w:cs="Times New Roman"/>
                  <w:color w:val="auto"/>
                  <w:sz w:val="24"/>
                  <w:u w:val="none"/>
                  <w:lang w:eastAsia="hr-HR"/>
                </w:rPr>
                <w:t>"</w:t>
              </w:r>
            </w:hyperlink>
          </w:p>
        </w:tc>
        <w:tc>
          <w:tcPr>
            <w:tcW w:w="27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Mali Lošinj</w:t>
            </w:r>
          </w:p>
        </w:tc>
        <w:tc>
          <w:tcPr>
            <w:tcW w:w="198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sz w:val="20"/>
                <w:szCs w:val="20"/>
              </w:rPr>
            </w:pPr>
            <w:r>
              <w:rPr>
                <w:rStyle w:val="pre-line-span"/>
                <w:rFonts w:ascii="Times New Roman" w:hAnsi="Times New Roman" w:cs="Times New Roman"/>
                <w:color w:val="auto"/>
                <w:sz w:val="24"/>
                <w:lang w:eastAsia="hr-HR"/>
              </w:rPr>
              <w:t>Dobro od lokalnog značenja</w:t>
            </w:r>
          </w:p>
        </w:tc>
      </w:tr>
    </w:tbl>
    <w:p w:rsidR="00A07D92" w:rsidRDefault="00495E63">
      <w:pPr>
        <w:jc w:val="center"/>
        <w:rPr>
          <w:color w:val="54883D"/>
          <w:sz w:val="20"/>
        </w:rPr>
      </w:pPr>
      <w:r>
        <w:rPr>
          <w:color w:val="54883D"/>
          <w:sz w:val="20"/>
        </w:rPr>
        <w:t>Izvor: Registar kulturnih dobara Republike Hrvatske</w:t>
      </w:r>
    </w:p>
    <w:p w:rsidR="00A07D92" w:rsidRDefault="00A07D92">
      <w:pPr>
        <w:jc w:val="center"/>
        <w:rPr>
          <w:color w:val="54883D"/>
          <w:sz w:val="20"/>
        </w:rPr>
      </w:pPr>
    </w:p>
    <w:p w:rsidR="00A07D92" w:rsidRDefault="00495E63">
      <w:pPr>
        <w:pStyle w:val="Naslov2"/>
      </w:pPr>
      <w:bookmarkStart w:id="64" w:name="_Toc136522796"/>
      <w:bookmarkStart w:id="65" w:name="_Toc9596596"/>
      <w:r>
        <w:lastRenderedPageBreak/>
        <w:t>2.5 Povijesni pokazatelji</w:t>
      </w:r>
      <w:bookmarkEnd w:id="64"/>
      <w:bookmarkEnd w:id="65"/>
    </w:p>
    <w:p w:rsidR="00A07D92" w:rsidRDefault="00495E63">
      <w:pPr>
        <w:pStyle w:val="Naslov3"/>
      </w:pPr>
      <w:bookmarkStart w:id="66" w:name="_Toc136522797"/>
      <w:bookmarkStart w:id="67" w:name="_Toc9596597"/>
      <w:r>
        <w:t>2.5.1 Štete uslijed prijašnjih događaja</w:t>
      </w:r>
      <w:bookmarkEnd w:id="66"/>
      <w:bookmarkEnd w:id="67"/>
    </w:p>
    <w:p w:rsidR="00A07D92" w:rsidRDefault="00495E63">
      <w:pPr>
        <w:tabs>
          <w:tab w:val="left" w:pos="2445"/>
        </w:tabs>
        <w:rPr>
          <w:color w:val="auto"/>
        </w:rPr>
      </w:pPr>
      <w:r>
        <w:rPr>
          <w:color w:val="auto"/>
        </w:rPr>
        <w:t xml:space="preserve">Prijašnji događaji na </w:t>
      </w:r>
      <w:r>
        <w:rPr>
          <w:color w:val="auto"/>
        </w:rPr>
        <w:t>području grada Malog Lošinja zajedno s materijalnom štetom koja je nastala prikazani su u slijedećoj tablici:</w:t>
      </w:r>
    </w:p>
    <w:p w:rsidR="00A07D92" w:rsidRDefault="00A07D92">
      <w:pPr>
        <w:tabs>
          <w:tab w:val="left" w:pos="2445"/>
        </w:tabs>
        <w:rPr>
          <w:color w:val="auto"/>
        </w:rPr>
      </w:pPr>
    </w:p>
    <w:p w:rsidR="00A07D92" w:rsidRDefault="00495E63">
      <w:pPr>
        <w:spacing w:before="0"/>
        <w:jc w:val="center"/>
        <w:rPr>
          <w:rFonts w:eastAsia="Calibri"/>
          <w:bCs/>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9</w:t>
      </w:r>
      <w:r>
        <w:rPr>
          <w:rFonts w:eastAsia="Calibri"/>
          <w:bCs/>
          <w:sz w:val="20"/>
          <w:szCs w:val="20"/>
        </w:rPr>
        <w:fldChar w:fldCharType="end"/>
      </w:r>
      <w:r>
        <w:rPr>
          <w:rFonts w:eastAsia="Calibri"/>
          <w:bCs/>
          <w:color w:val="54883D"/>
          <w:sz w:val="20"/>
          <w:szCs w:val="20"/>
        </w:rPr>
        <w:t xml:space="preserve">.  </w:t>
      </w:r>
      <w:r>
        <w:rPr>
          <w:color w:val="54883D"/>
          <w:sz w:val="20"/>
          <w:szCs w:val="20"/>
        </w:rPr>
        <w:t>Prijašnji događaji i štete uslijed prijašnjih događaja</w:t>
      </w:r>
    </w:p>
    <w:tbl>
      <w:tblPr>
        <w:tblStyle w:val="Reetkatablice9"/>
        <w:tblW w:w="9351" w:type="dxa"/>
        <w:tblLook w:val="04A0" w:firstRow="1" w:lastRow="0" w:firstColumn="1" w:lastColumn="0" w:noHBand="0" w:noVBand="1"/>
      </w:tblPr>
      <w:tblGrid>
        <w:gridCol w:w="1831"/>
        <w:gridCol w:w="1039"/>
        <w:gridCol w:w="1705"/>
        <w:gridCol w:w="4776"/>
      </w:tblGrid>
      <w:tr w:rsidR="00A07D92">
        <w:trPr>
          <w:tblHeader/>
        </w:trPr>
        <w:tc>
          <w:tcPr>
            <w:tcW w:w="183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2445"/>
              </w:tabs>
              <w:spacing w:after="0" w:line="240" w:lineRule="auto"/>
              <w:jc w:val="center"/>
              <w:rPr>
                <w:b/>
                <w:sz w:val="20"/>
                <w:szCs w:val="20"/>
              </w:rPr>
            </w:pPr>
            <w:r>
              <w:rPr>
                <w:rFonts w:ascii="Times New Roman" w:hAnsi="Times New Roman" w:cs="Times New Roman"/>
                <w:b/>
                <w:sz w:val="20"/>
                <w:szCs w:val="20"/>
                <w:lang w:eastAsia="hr-HR"/>
              </w:rPr>
              <w:t>PRIRODNA NEPOGODA</w:t>
            </w:r>
          </w:p>
        </w:tc>
        <w:tc>
          <w:tcPr>
            <w:tcW w:w="101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2445"/>
              </w:tabs>
              <w:spacing w:after="0" w:line="240" w:lineRule="auto"/>
              <w:jc w:val="center"/>
              <w:rPr>
                <w:b/>
                <w:sz w:val="20"/>
                <w:szCs w:val="20"/>
              </w:rPr>
            </w:pPr>
            <w:r>
              <w:rPr>
                <w:rFonts w:ascii="Times New Roman" w:hAnsi="Times New Roman" w:cs="Times New Roman"/>
                <w:b/>
                <w:sz w:val="20"/>
                <w:szCs w:val="20"/>
                <w:lang w:eastAsia="hr-HR"/>
              </w:rPr>
              <w:t>GODINA</w:t>
            </w:r>
          </w:p>
        </w:tc>
        <w:tc>
          <w:tcPr>
            <w:tcW w:w="167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2445"/>
              </w:tabs>
              <w:spacing w:after="0" w:line="240" w:lineRule="auto"/>
              <w:jc w:val="center"/>
              <w:rPr>
                <w:b/>
                <w:sz w:val="20"/>
                <w:szCs w:val="20"/>
              </w:rPr>
            </w:pPr>
            <w:r>
              <w:rPr>
                <w:rFonts w:ascii="Times New Roman" w:hAnsi="Times New Roman" w:cs="Times New Roman"/>
                <w:b/>
                <w:sz w:val="20"/>
                <w:szCs w:val="20"/>
                <w:lang w:eastAsia="hr-HR"/>
              </w:rPr>
              <w:t>MATERIJALNA ŠTETA</w:t>
            </w:r>
          </w:p>
        </w:tc>
        <w:tc>
          <w:tcPr>
            <w:tcW w:w="482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2445"/>
              </w:tabs>
              <w:spacing w:after="0" w:line="240" w:lineRule="auto"/>
              <w:jc w:val="center"/>
              <w:rPr>
                <w:b/>
                <w:sz w:val="20"/>
                <w:szCs w:val="20"/>
              </w:rPr>
            </w:pPr>
            <w:r>
              <w:rPr>
                <w:rFonts w:ascii="Times New Roman" w:hAnsi="Times New Roman" w:cs="Times New Roman"/>
                <w:b/>
                <w:sz w:val="20"/>
                <w:szCs w:val="20"/>
                <w:lang w:eastAsia="hr-HR"/>
              </w:rPr>
              <w:t>OPIS</w:t>
            </w:r>
          </w:p>
        </w:tc>
      </w:tr>
      <w:tr w:rsidR="00A07D92">
        <w:tc>
          <w:tcPr>
            <w:tcW w:w="183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2445"/>
              </w:tabs>
              <w:spacing w:after="0" w:line="240" w:lineRule="auto"/>
              <w:jc w:val="center"/>
              <w:rPr>
                <w:sz w:val="20"/>
                <w:szCs w:val="20"/>
              </w:rPr>
            </w:pPr>
            <w:r>
              <w:rPr>
                <w:rFonts w:ascii="Times New Roman" w:hAnsi="Times New Roman" w:cs="Times New Roman"/>
                <w:sz w:val="20"/>
                <w:szCs w:val="20"/>
                <w:lang w:eastAsia="hr-HR"/>
              </w:rPr>
              <w:t>Poplava</w:t>
            </w:r>
          </w:p>
        </w:tc>
        <w:tc>
          <w:tcPr>
            <w:tcW w:w="101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2445"/>
              </w:tabs>
              <w:spacing w:after="0" w:line="240" w:lineRule="auto"/>
              <w:jc w:val="center"/>
              <w:rPr>
                <w:sz w:val="20"/>
                <w:szCs w:val="20"/>
              </w:rPr>
            </w:pPr>
            <w:r>
              <w:rPr>
                <w:rFonts w:ascii="Times New Roman" w:hAnsi="Times New Roman" w:cs="Times New Roman"/>
                <w:sz w:val="20"/>
                <w:szCs w:val="20"/>
                <w:lang w:eastAsia="hr-HR"/>
              </w:rPr>
              <w:t>2017.</w:t>
            </w:r>
          </w:p>
        </w:tc>
        <w:tc>
          <w:tcPr>
            <w:tcW w:w="167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2445"/>
              </w:tabs>
              <w:spacing w:after="0" w:line="240" w:lineRule="auto"/>
              <w:jc w:val="center"/>
              <w:rPr>
                <w:sz w:val="20"/>
                <w:szCs w:val="20"/>
              </w:rPr>
            </w:pPr>
            <w:r>
              <w:rPr>
                <w:rFonts w:ascii="Times New Roman" w:hAnsi="Times New Roman" w:cs="Times New Roman"/>
                <w:sz w:val="20"/>
                <w:szCs w:val="20"/>
                <w:lang w:eastAsia="hr-HR"/>
              </w:rPr>
              <w:t>740.343,07 kuna</w:t>
            </w:r>
          </w:p>
        </w:tc>
        <w:tc>
          <w:tcPr>
            <w:tcW w:w="482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2445"/>
              </w:tabs>
              <w:spacing w:after="0" w:line="240" w:lineRule="auto"/>
              <w:rPr>
                <w:sz w:val="20"/>
                <w:szCs w:val="20"/>
              </w:rPr>
            </w:pPr>
            <w:r>
              <w:rPr>
                <w:rFonts w:ascii="Times New Roman" w:hAnsi="Times New Roman" w:cs="Times New Roman"/>
                <w:sz w:val="20"/>
                <w:szCs w:val="20"/>
                <w:lang w:eastAsia="hr-HR"/>
              </w:rPr>
              <w:t xml:space="preserve">Snažno grmljavinsko nevrijeme popraćeno snažnim pljuskom i plimnim valom, podizanjem razine mora koje je poplavilo čitav obalni dio grada te su uslijed podizanja razine mora i </w:t>
            </w:r>
            <w:proofErr w:type="spellStart"/>
            <w:r>
              <w:rPr>
                <w:rFonts w:ascii="Times New Roman" w:hAnsi="Times New Roman" w:cs="Times New Roman"/>
                <w:sz w:val="20"/>
                <w:szCs w:val="20"/>
                <w:lang w:eastAsia="hr-HR"/>
              </w:rPr>
              <w:t>poplavljanja</w:t>
            </w:r>
            <w:proofErr w:type="spellEnd"/>
            <w:r>
              <w:rPr>
                <w:rFonts w:ascii="Times New Roman" w:hAnsi="Times New Roman" w:cs="Times New Roman"/>
                <w:sz w:val="20"/>
                <w:szCs w:val="20"/>
                <w:lang w:eastAsia="hr-HR"/>
              </w:rPr>
              <w:t xml:space="preserve"> obalnog dijela grada nastala oštećenj</w:t>
            </w:r>
            <w:r>
              <w:rPr>
                <w:rFonts w:ascii="Times New Roman" w:hAnsi="Times New Roman" w:cs="Times New Roman"/>
                <w:sz w:val="20"/>
                <w:szCs w:val="20"/>
                <w:lang w:eastAsia="hr-HR"/>
              </w:rPr>
              <w:t>a nekretnina, uglavnom poslovnih prostora koji su u neposrednoj blizini obale</w:t>
            </w:r>
          </w:p>
        </w:tc>
      </w:tr>
    </w:tbl>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495E63">
      <w:pPr>
        <w:pStyle w:val="Naslov2"/>
      </w:pPr>
      <w:bookmarkStart w:id="68" w:name="_Toc136522798"/>
      <w:bookmarkStart w:id="69" w:name="_Toc9596599"/>
      <w:r>
        <w:t>2.6 Pokazatelji operativne sposobnosti</w:t>
      </w:r>
      <w:bookmarkEnd w:id="68"/>
      <w:bookmarkEnd w:id="69"/>
    </w:p>
    <w:p w:rsidR="00A07D92" w:rsidRDefault="00495E63">
      <w:pPr>
        <w:pStyle w:val="Naslov3"/>
      </w:pPr>
      <w:bookmarkStart w:id="70" w:name="_Toc136522799"/>
      <w:bookmarkStart w:id="71" w:name="_Toc9596600"/>
      <w:r>
        <w:t>2.6.1 Popis operativnih snaga</w:t>
      </w:r>
      <w:bookmarkEnd w:id="70"/>
      <w:bookmarkEnd w:id="71"/>
    </w:p>
    <w:p w:rsidR="00A07D92" w:rsidRDefault="00495E63">
      <w:pPr>
        <w:rPr>
          <w:color w:val="auto"/>
          <w:szCs w:val="22"/>
        </w:rPr>
      </w:pPr>
      <w:r>
        <w:rPr>
          <w:color w:val="auto"/>
          <w:u w:val="single"/>
        </w:rPr>
        <w:t xml:space="preserve">Operativne snage civilne </w:t>
      </w:r>
      <w:r>
        <w:rPr>
          <w:color w:val="auto"/>
          <w:szCs w:val="22"/>
          <w:u w:val="single"/>
        </w:rPr>
        <w:t>zaštite</w:t>
      </w:r>
    </w:p>
    <w:p w:rsidR="00A07D92" w:rsidRDefault="00495E63">
      <w:pPr>
        <w:pStyle w:val="Odlomakpopisa"/>
        <w:numPr>
          <w:ilvl w:val="0"/>
          <w:numId w:val="20"/>
        </w:numPr>
        <w:spacing w:line="276" w:lineRule="auto"/>
        <w:rPr>
          <w:rFonts w:eastAsia="Calibri"/>
          <w:sz w:val="22"/>
        </w:rPr>
      </w:pPr>
      <w:r>
        <w:rPr>
          <w:rFonts w:eastAsia="Calibri"/>
          <w:sz w:val="22"/>
        </w:rPr>
        <w:t>Stožer civilne zaštite Grada Malog Lošinja</w:t>
      </w:r>
    </w:p>
    <w:p w:rsidR="00A07D92" w:rsidRDefault="00495E63">
      <w:pPr>
        <w:pStyle w:val="Odlomakpopisa"/>
        <w:numPr>
          <w:ilvl w:val="0"/>
          <w:numId w:val="20"/>
        </w:numPr>
        <w:spacing w:line="276" w:lineRule="auto"/>
        <w:rPr>
          <w:rFonts w:eastAsia="Calibri"/>
          <w:sz w:val="22"/>
        </w:rPr>
      </w:pPr>
      <w:r>
        <w:rPr>
          <w:rFonts w:eastAsia="Calibri"/>
          <w:sz w:val="22"/>
        </w:rPr>
        <w:t xml:space="preserve">Povjerenici i </w:t>
      </w:r>
      <w:r>
        <w:rPr>
          <w:rFonts w:eastAsia="Calibri"/>
          <w:sz w:val="22"/>
        </w:rPr>
        <w:t>zamjenici povjerenika civilne zaštite,</w:t>
      </w:r>
    </w:p>
    <w:p w:rsidR="00A07D92" w:rsidRDefault="00495E63">
      <w:pPr>
        <w:pStyle w:val="Odlomakpopisa"/>
        <w:numPr>
          <w:ilvl w:val="0"/>
          <w:numId w:val="20"/>
        </w:numPr>
        <w:spacing w:line="276" w:lineRule="auto"/>
        <w:rPr>
          <w:rFonts w:eastAsia="Calibri"/>
          <w:sz w:val="22"/>
        </w:rPr>
      </w:pPr>
      <w:r>
        <w:rPr>
          <w:rFonts w:eastAsia="Calibri"/>
          <w:sz w:val="22"/>
        </w:rPr>
        <w:t>JVP Mali Lošinj,</w:t>
      </w:r>
    </w:p>
    <w:p w:rsidR="00A07D92" w:rsidRDefault="00495E63">
      <w:pPr>
        <w:pStyle w:val="Odlomakpopisa"/>
        <w:numPr>
          <w:ilvl w:val="0"/>
          <w:numId w:val="20"/>
        </w:numPr>
        <w:spacing w:line="276" w:lineRule="auto"/>
        <w:rPr>
          <w:rFonts w:eastAsia="Calibri"/>
          <w:sz w:val="22"/>
        </w:rPr>
      </w:pPr>
      <w:r>
        <w:rPr>
          <w:rFonts w:eastAsia="Calibri"/>
          <w:sz w:val="22"/>
        </w:rPr>
        <w:t>DVD „Lošinj“,</w:t>
      </w:r>
    </w:p>
    <w:p w:rsidR="00A07D92" w:rsidRDefault="00495E63">
      <w:pPr>
        <w:pStyle w:val="Odlomakpopisa"/>
        <w:numPr>
          <w:ilvl w:val="0"/>
          <w:numId w:val="20"/>
        </w:numPr>
        <w:spacing w:line="276" w:lineRule="auto"/>
        <w:rPr>
          <w:rFonts w:eastAsia="Calibri"/>
          <w:sz w:val="22"/>
        </w:rPr>
      </w:pPr>
      <w:r>
        <w:rPr>
          <w:rFonts w:eastAsia="Calibri"/>
          <w:sz w:val="22"/>
        </w:rPr>
        <w:t>DVD „Susak“</w:t>
      </w:r>
    </w:p>
    <w:p w:rsidR="00A07D92" w:rsidRDefault="00495E63">
      <w:pPr>
        <w:pStyle w:val="Odlomakpopisa"/>
        <w:numPr>
          <w:ilvl w:val="0"/>
          <w:numId w:val="20"/>
        </w:numPr>
        <w:spacing w:line="276" w:lineRule="auto"/>
        <w:rPr>
          <w:rFonts w:eastAsia="Calibri"/>
          <w:sz w:val="22"/>
        </w:rPr>
      </w:pPr>
      <w:r>
        <w:rPr>
          <w:rFonts w:eastAsia="Calibri"/>
          <w:sz w:val="22"/>
        </w:rPr>
        <w:t>Postrojba civilne zaštite</w:t>
      </w:r>
    </w:p>
    <w:p w:rsidR="00A07D92" w:rsidRDefault="00495E63">
      <w:pPr>
        <w:pStyle w:val="Odlomakpopisa"/>
        <w:numPr>
          <w:ilvl w:val="0"/>
          <w:numId w:val="20"/>
        </w:numPr>
        <w:spacing w:line="276" w:lineRule="auto"/>
        <w:rPr>
          <w:rFonts w:eastAsia="Calibri"/>
          <w:sz w:val="22"/>
        </w:rPr>
      </w:pPr>
      <w:r>
        <w:rPr>
          <w:rFonts w:eastAsia="Calibri"/>
          <w:sz w:val="22"/>
        </w:rPr>
        <w:t>Koordinatori na lokaciji</w:t>
      </w:r>
    </w:p>
    <w:p w:rsidR="00A07D92" w:rsidRDefault="00495E63">
      <w:pPr>
        <w:pStyle w:val="Odlomakpopisa"/>
        <w:numPr>
          <w:ilvl w:val="0"/>
          <w:numId w:val="20"/>
        </w:numPr>
        <w:spacing w:line="276" w:lineRule="auto"/>
        <w:rPr>
          <w:rFonts w:eastAsia="Calibri"/>
          <w:sz w:val="22"/>
        </w:rPr>
      </w:pPr>
      <w:r>
        <w:rPr>
          <w:rFonts w:eastAsia="Calibri"/>
          <w:sz w:val="22"/>
        </w:rPr>
        <w:lastRenderedPageBreak/>
        <w:t>Hrvatska gorska služba spašavanja Stanica Rijeka,</w:t>
      </w:r>
    </w:p>
    <w:p w:rsidR="00A07D92" w:rsidRDefault="00495E63">
      <w:pPr>
        <w:pStyle w:val="Odlomakpopisa"/>
        <w:numPr>
          <w:ilvl w:val="0"/>
          <w:numId w:val="20"/>
        </w:numPr>
        <w:spacing w:line="276" w:lineRule="auto"/>
        <w:rPr>
          <w:rFonts w:eastAsia="Calibri"/>
          <w:sz w:val="22"/>
        </w:rPr>
      </w:pPr>
      <w:r>
        <w:rPr>
          <w:rFonts w:eastAsia="Calibri"/>
          <w:sz w:val="22"/>
        </w:rPr>
        <w:t>Gradsko društvo Crvenog križa Mali Lošinj,</w:t>
      </w:r>
    </w:p>
    <w:p w:rsidR="00A07D92" w:rsidRDefault="00A07D92">
      <w:pPr>
        <w:ind w:left="360"/>
        <w:rPr>
          <w:rFonts w:eastAsia="Calibri"/>
        </w:rPr>
      </w:pPr>
    </w:p>
    <w:p w:rsidR="00A07D92" w:rsidRDefault="00495E63">
      <w:pPr>
        <w:rPr>
          <w:rFonts w:eastAsia="Calibri"/>
          <w:u w:val="single"/>
        </w:rPr>
      </w:pPr>
      <w:r>
        <w:rPr>
          <w:u w:val="single"/>
        </w:rPr>
        <w:t xml:space="preserve">Pravne osobe i udruge od </w:t>
      </w:r>
      <w:r>
        <w:rPr>
          <w:u w:val="single"/>
        </w:rPr>
        <w:t>interesa za sustav civilne zaštite Grada Malog Lošinja:</w:t>
      </w:r>
    </w:p>
    <w:p w:rsidR="00A07D92" w:rsidRDefault="00495E63">
      <w:pPr>
        <w:pStyle w:val="Odlomakpopisa"/>
        <w:numPr>
          <w:ilvl w:val="0"/>
          <w:numId w:val="21"/>
        </w:numPr>
        <w:spacing w:line="276" w:lineRule="auto"/>
        <w:rPr>
          <w:rFonts w:eastAsia="Calibri"/>
          <w:sz w:val="22"/>
        </w:rPr>
      </w:pPr>
      <w:r>
        <w:rPr>
          <w:rFonts w:eastAsia="Calibri"/>
          <w:sz w:val="22"/>
        </w:rPr>
        <w:t>Komunalne usluge Cres-Lošinj d.o.o.</w:t>
      </w:r>
    </w:p>
    <w:p w:rsidR="00A07D92" w:rsidRDefault="00495E63">
      <w:pPr>
        <w:pStyle w:val="Odlomakpopisa"/>
        <w:numPr>
          <w:ilvl w:val="0"/>
          <w:numId w:val="21"/>
        </w:numPr>
        <w:spacing w:line="276" w:lineRule="auto"/>
        <w:rPr>
          <w:rFonts w:eastAsia="Calibri"/>
          <w:sz w:val="22"/>
        </w:rPr>
      </w:pPr>
      <w:r>
        <w:rPr>
          <w:rFonts w:eastAsia="Calibri"/>
          <w:sz w:val="22"/>
        </w:rPr>
        <w:t>Vodoopskrba i odvodnja Cres-Lošinj d.o.o.</w:t>
      </w:r>
    </w:p>
    <w:p w:rsidR="00A07D92" w:rsidRDefault="00495E63">
      <w:pPr>
        <w:pStyle w:val="Odlomakpopisa"/>
        <w:numPr>
          <w:ilvl w:val="0"/>
          <w:numId w:val="21"/>
        </w:numPr>
        <w:spacing w:line="276" w:lineRule="auto"/>
        <w:rPr>
          <w:rFonts w:eastAsia="Calibri"/>
          <w:sz w:val="22"/>
        </w:rPr>
      </w:pPr>
      <w:r>
        <w:rPr>
          <w:rFonts w:eastAsia="Calibri"/>
          <w:sz w:val="22"/>
        </w:rPr>
        <w:t>Elektro -voda d.o.o. Cres</w:t>
      </w:r>
    </w:p>
    <w:p w:rsidR="00A07D92" w:rsidRDefault="00495E63">
      <w:pPr>
        <w:pStyle w:val="Odlomakpopisa"/>
        <w:numPr>
          <w:ilvl w:val="0"/>
          <w:numId w:val="21"/>
        </w:numPr>
        <w:spacing w:line="276" w:lineRule="auto"/>
        <w:rPr>
          <w:rFonts w:eastAsia="Calibri"/>
          <w:sz w:val="22"/>
        </w:rPr>
      </w:pPr>
      <w:r>
        <w:rPr>
          <w:rFonts w:eastAsia="Calibri"/>
          <w:sz w:val="22"/>
        </w:rPr>
        <w:t>Lječilište Veli Lošinj</w:t>
      </w:r>
    </w:p>
    <w:p w:rsidR="00A07D92" w:rsidRDefault="00495E63">
      <w:pPr>
        <w:pStyle w:val="Odlomakpopisa"/>
        <w:numPr>
          <w:ilvl w:val="0"/>
          <w:numId w:val="21"/>
        </w:numPr>
        <w:spacing w:line="276" w:lineRule="auto"/>
        <w:rPr>
          <w:rFonts w:eastAsia="Calibri"/>
          <w:sz w:val="22"/>
        </w:rPr>
      </w:pPr>
      <w:r>
        <w:rPr>
          <w:rFonts w:eastAsia="Calibri"/>
          <w:sz w:val="22"/>
        </w:rPr>
        <w:t>Građevinski obrt Lošinj-Beton d.o.o.</w:t>
      </w:r>
    </w:p>
    <w:p w:rsidR="00A07D92" w:rsidRDefault="00495E63">
      <w:pPr>
        <w:pStyle w:val="Odlomakpopisa"/>
        <w:numPr>
          <w:ilvl w:val="0"/>
          <w:numId w:val="21"/>
        </w:numPr>
        <w:spacing w:line="276" w:lineRule="auto"/>
        <w:rPr>
          <w:rFonts w:eastAsia="Calibri"/>
          <w:sz w:val="22"/>
        </w:rPr>
      </w:pPr>
      <w:r>
        <w:rPr>
          <w:rFonts w:eastAsia="Calibri"/>
          <w:sz w:val="22"/>
        </w:rPr>
        <w:t xml:space="preserve">Kamenolom Brdo </w:t>
      </w:r>
      <w:proofErr w:type="spellStart"/>
      <w:r>
        <w:rPr>
          <w:rFonts w:eastAsia="Calibri"/>
          <w:sz w:val="22"/>
        </w:rPr>
        <w:t>Kušč</w:t>
      </w:r>
      <w:proofErr w:type="spellEnd"/>
      <w:r>
        <w:rPr>
          <w:rFonts w:eastAsia="Calibri"/>
          <w:sz w:val="22"/>
        </w:rPr>
        <w:t xml:space="preserve"> d.o.o.</w:t>
      </w:r>
    </w:p>
    <w:p w:rsidR="00A07D92" w:rsidRDefault="00495E63">
      <w:pPr>
        <w:pStyle w:val="Odlomakpopisa"/>
        <w:numPr>
          <w:ilvl w:val="0"/>
          <w:numId w:val="21"/>
        </w:numPr>
        <w:spacing w:line="276" w:lineRule="auto"/>
        <w:rPr>
          <w:rFonts w:eastAsia="Calibri"/>
          <w:sz w:val="22"/>
        </w:rPr>
      </w:pPr>
      <w:r>
        <w:rPr>
          <w:rFonts w:eastAsia="Calibri"/>
          <w:sz w:val="22"/>
        </w:rPr>
        <w:t>Veterinar</w:t>
      </w:r>
      <w:r>
        <w:rPr>
          <w:rFonts w:eastAsia="Calibri"/>
          <w:sz w:val="22"/>
        </w:rPr>
        <w:t>ska stanica Rijeka -ambulanta u Malom Lošinju</w:t>
      </w:r>
    </w:p>
    <w:p w:rsidR="00A07D92" w:rsidRDefault="00495E63">
      <w:pPr>
        <w:pStyle w:val="Odlomakpopisa"/>
        <w:numPr>
          <w:ilvl w:val="0"/>
          <w:numId w:val="21"/>
        </w:numPr>
        <w:spacing w:line="276" w:lineRule="auto"/>
        <w:rPr>
          <w:rFonts w:eastAsia="Calibri"/>
          <w:sz w:val="22"/>
        </w:rPr>
      </w:pPr>
      <w:r>
        <w:rPr>
          <w:rFonts w:eastAsia="Calibri"/>
          <w:sz w:val="22"/>
        </w:rPr>
        <w:t>Jadranka trgovina d.o.o.</w:t>
      </w:r>
    </w:p>
    <w:p w:rsidR="00A07D92" w:rsidRDefault="00495E63">
      <w:pPr>
        <w:pStyle w:val="Odlomakpopisa"/>
        <w:numPr>
          <w:ilvl w:val="0"/>
          <w:numId w:val="21"/>
        </w:numPr>
        <w:spacing w:line="276" w:lineRule="auto"/>
        <w:rPr>
          <w:rFonts w:eastAsia="Calibri"/>
          <w:sz w:val="22"/>
        </w:rPr>
      </w:pPr>
      <w:r>
        <w:rPr>
          <w:rFonts w:eastAsia="Calibri"/>
          <w:sz w:val="22"/>
        </w:rPr>
        <w:t>Radio Jadranka Mali Lošinj</w:t>
      </w:r>
    </w:p>
    <w:p w:rsidR="00A07D92" w:rsidRDefault="00495E63">
      <w:pPr>
        <w:pStyle w:val="Odlomakpopisa"/>
        <w:numPr>
          <w:ilvl w:val="0"/>
          <w:numId w:val="21"/>
        </w:numPr>
        <w:spacing w:line="276" w:lineRule="auto"/>
        <w:rPr>
          <w:rFonts w:eastAsia="Calibri"/>
          <w:sz w:val="22"/>
        </w:rPr>
      </w:pPr>
      <w:r>
        <w:rPr>
          <w:rFonts w:eastAsia="Calibri"/>
          <w:sz w:val="22"/>
        </w:rPr>
        <w:t>Institut Plavi svijet</w:t>
      </w:r>
    </w:p>
    <w:p w:rsidR="00A07D92" w:rsidRDefault="00495E63">
      <w:pPr>
        <w:pStyle w:val="Odlomakpopisa"/>
        <w:numPr>
          <w:ilvl w:val="0"/>
          <w:numId w:val="21"/>
        </w:numPr>
        <w:spacing w:line="276" w:lineRule="auto"/>
        <w:rPr>
          <w:rFonts w:eastAsia="Calibri"/>
          <w:sz w:val="22"/>
        </w:rPr>
      </w:pPr>
      <w:r>
        <w:rPr>
          <w:rFonts w:eastAsia="Calibri"/>
          <w:sz w:val="22"/>
        </w:rPr>
        <w:t>Lovačko društvo „Kamenjarka“</w:t>
      </w:r>
    </w:p>
    <w:p w:rsidR="00A07D92" w:rsidRDefault="00495E63">
      <w:pPr>
        <w:pStyle w:val="Odlomakpopisa"/>
        <w:numPr>
          <w:ilvl w:val="0"/>
          <w:numId w:val="21"/>
        </w:numPr>
        <w:spacing w:line="276" w:lineRule="auto"/>
        <w:rPr>
          <w:rFonts w:eastAsia="Calibri"/>
          <w:sz w:val="22"/>
        </w:rPr>
      </w:pPr>
      <w:r>
        <w:rPr>
          <w:rFonts w:eastAsia="Calibri"/>
          <w:sz w:val="22"/>
        </w:rPr>
        <w:t>Planinarski klub „</w:t>
      </w:r>
      <w:proofErr w:type="spellStart"/>
      <w:r>
        <w:rPr>
          <w:rFonts w:eastAsia="Calibri"/>
          <w:sz w:val="22"/>
        </w:rPr>
        <w:t>Osorščica</w:t>
      </w:r>
      <w:proofErr w:type="spellEnd"/>
      <w:r>
        <w:rPr>
          <w:rFonts w:eastAsia="Calibri"/>
          <w:sz w:val="22"/>
        </w:rPr>
        <w:t>“</w:t>
      </w:r>
      <w:bookmarkStart w:id="72" w:name="_Hlk135822806"/>
      <w:bookmarkEnd w:id="72"/>
    </w:p>
    <w:p w:rsidR="00A07D92" w:rsidRDefault="00A07D92">
      <w:pPr>
        <w:rPr>
          <w:u w:val="single"/>
        </w:rPr>
      </w:pPr>
    </w:p>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495E63">
      <w:pPr>
        <w:pStyle w:val="Naslov1"/>
        <w:numPr>
          <w:ilvl w:val="0"/>
          <w:numId w:val="2"/>
        </w:numPr>
      </w:pPr>
      <w:bookmarkStart w:id="73" w:name="_Toc136522800"/>
      <w:bookmarkStart w:id="74" w:name="_Toc9596602"/>
      <w:bookmarkStart w:id="75" w:name="_Toc496179670"/>
      <w:r>
        <w:t>Identifikacija prijetnji i rizika</w:t>
      </w:r>
      <w:bookmarkEnd w:id="73"/>
      <w:bookmarkEnd w:id="74"/>
      <w:bookmarkEnd w:id="75"/>
    </w:p>
    <w:p w:rsidR="00A07D92" w:rsidRDefault="00495E63">
      <w:pPr>
        <w:pStyle w:val="Naslov2"/>
      </w:pPr>
      <w:bookmarkStart w:id="76" w:name="_Toc136522801"/>
      <w:bookmarkStart w:id="77" w:name="_Toc9596603"/>
      <w:bookmarkStart w:id="78" w:name="_Toc496179671"/>
      <w:r>
        <w:t xml:space="preserve">3.1 Popis identificiranih </w:t>
      </w:r>
      <w:r>
        <w:t>prijetnji i rizika</w:t>
      </w:r>
      <w:bookmarkEnd w:id="76"/>
      <w:bookmarkEnd w:id="77"/>
      <w:bookmarkEnd w:id="78"/>
    </w:p>
    <w:p w:rsidR="00A07D92" w:rsidRDefault="00495E63">
      <w:pPr>
        <w:jc w:val="left"/>
      </w:pPr>
      <w:r>
        <w:t xml:space="preserve">Na području grada Malog Lošinja </w:t>
      </w:r>
      <w:r>
        <w:rPr>
          <w:color w:val="auto"/>
        </w:rPr>
        <w:t xml:space="preserve">identificirano je 9 rizika </w:t>
      </w:r>
      <w:r>
        <w:t xml:space="preserve">koji predstavljaju potencijalnu ugrozu za stanovništvo, materijalna i kulturna dobra te okoliš. </w:t>
      </w:r>
    </w:p>
    <w:p w:rsidR="00A07D92" w:rsidRDefault="00495E63">
      <w:pPr>
        <w:jc w:val="left"/>
      </w:pPr>
      <w:r>
        <w:t>U sljedećoj tablici dan je popis identificiranih prijetnji na području grada Malo</w:t>
      </w:r>
      <w:r>
        <w:t>g Lošinja.</w:t>
      </w: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pPr>
    </w:p>
    <w:p w:rsidR="00A07D92" w:rsidRDefault="00A07D92">
      <w:pPr>
        <w:jc w:val="left"/>
        <w:sectPr w:rsidR="00A07D92">
          <w:pgSz w:w="11906" w:h="16838"/>
          <w:pgMar w:top="1418" w:right="1418" w:bottom="1418" w:left="1418" w:header="567" w:footer="0" w:gutter="0"/>
          <w:cols w:space="720"/>
          <w:formProt w:val="0"/>
          <w:titlePg/>
          <w:docGrid w:linePitch="360" w:charSpace="4096"/>
        </w:sectPr>
      </w:pPr>
    </w:p>
    <w:p w:rsidR="00A07D92" w:rsidRDefault="00495E63">
      <w:pPr>
        <w:spacing w:before="0"/>
        <w:jc w:val="center"/>
        <w:rPr>
          <w:rFonts w:eastAsia="Calibri"/>
          <w:bCs/>
          <w:color w:val="54883D"/>
          <w:sz w:val="20"/>
          <w:szCs w:val="20"/>
        </w:rPr>
      </w:pPr>
      <w:r>
        <w:rPr>
          <w:rFonts w:eastAsia="Calibri"/>
          <w:bCs/>
          <w:color w:val="54883D"/>
          <w:sz w:val="20"/>
          <w:szCs w:val="20"/>
        </w:rPr>
        <w:lastRenderedPageBreak/>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10</w:t>
      </w:r>
      <w:r>
        <w:rPr>
          <w:rFonts w:eastAsia="Calibri"/>
          <w:bCs/>
          <w:sz w:val="20"/>
          <w:szCs w:val="20"/>
        </w:rPr>
        <w:fldChar w:fldCharType="end"/>
      </w:r>
      <w:r>
        <w:rPr>
          <w:rFonts w:eastAsia="Calibri"/>
          <w:bCs/>
          <w:color w:val="54883D"/>
          <w:sz w:val="20"/>
          <w:szCs w:val="20"/>
        </w:rPr>
        <w:t xml:space="preserve">. </w:t>
      </w:r>
      <w:r>
        <w:rPr>
          <w:color w:val="54883D"/>
          <w:sz w:val="20"/>
          <w:szCs w:val="20"/>
        </w:rPr>
        <w:t xml:space="preserve"> Identifikacija prijetnji</w:t>
      </w:r>
    </w:p>
    <w:tbl>
      <w:tblPr>
        <w:tblStyle w:val="ivopisnatablicareetke6-isticanje31"/>
        <w:tblW w:w="16631" w:type="dxa"/>
        <w:jc w:val="center"/>
        <w:tblLook w:val="04A0" w:firstRow="1" w:lastRow="0" w:firstColumn="1" w:lastColumn="0" w:noHBand="0" w:noVBand="1"/>
      </w:tblPr>
      <w:tblGrid>
        <w:gridCol w:w="762"/>
        <w:gridCol w:w="1602"/>
        <w:gridCol w:w="5142"/>
        <w:gridCol w:w="2293"/>
        <w:gridCol w:w="3952"/>
        <w:gridCol w:w="2880"/>
      </w:tblGrid>
      <w:tr w:rsidR="00A07D92" w:rsidTr="00A07D92">
        <w:trPr>
          <w:cnfStyle w:val="100000000000" w:firstRow="1" w:lastRow="0" w:firstColumn="0" w:lastColumn="0" w:oddVBand="0" w:evenVBand="0" w:oddHBand="0" w:evenHBand="0" w:firstRowFirstColumn="0" w:firstRowLastColumn="0" w:lastRowFirstColumn="0" w:lastRowLastColumn="0"/>
          <w:trHeight w:val="64"/>
          <w:tblHeader/>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auto"/>
                <w:sz w:val="20"/>
                <w:szCs w:val="20"/>
              </w:rPr>
            </w:pPr>
            <w:r>
              <w:rPr>
                <w:color w:val="76923C" w:themeColor="accent3" w:themeShade="BF"/>
                <w:sz w:val="20"/>
                <w:szCs w:val="20"/>
              </w:rPr>
              <w:t>R.BR.</w:t>
            </w:r>
          </w:p>
        </w:tc>
        <w:tc>
          <w:tcPr>
            <w:tcW w:w="16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PRIJETNJA</w:t>
            </w:r>
          </w:p>
        </w:tc>
        <w:tc>
          <w:tcPr>
            <w:tcW w:w="514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KRATAK OPIS SCENARIJA</w:t>
            </w:r>
          </w:p>
        </w:tc>
        <w:tc>
          <w:tcPr>
            <w:tcW w:w="229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UTJECAJ NA DRUŠTVENE VRIJEDNOSTI</w:t>
            </w:r>
          </w:p>
        </w:tc>
        <w:tc>
          <w:tcPr>
            <w:tcW w:w="39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PREVENTIVNE MJERE</w:t>
            </w:r>
          </w:p>
        </w:tc>
        <w:tc>
          <w:tcPr>
            <w:tcW w:w="28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MJERE ODGOVORA</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line="240" w:lineRule="auto"/>
              <w:jc w:val="center"/>
              <w:rPr>
                <w:sz w:val="20"/>
                <w:szCs w:val="20"/>
              </w:rPr>
            </w:pPr>
            <w:r>
              <w:rPr>
                <w:color w:val="76923C" w:themeColor="accent3" w:themeShade="BF"/>
                <w:sz w:val="20"/>
                <w:szCs w:val="20"/>
              </w:rPr>
              <w:t>1.</w:t>
            </w:r>
          </w:p>
        </w:tc>
        <w:tc>
          <w:tcPr>
            <w:tcW w:w="16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spacing w:after="160"/>
              <w:ind w:left="102" w:right="162"/>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color w:val="76923C" w:themeColor="accent3" w:themeShade="BF"/>
                <w:spacing w:val="-1"/>
                <w:sz w:val="20"/>
                <w:szCs w:val="20"/>
                <w:lang w:val="hr-HR"/>
              </w:rPr>
              <w:t>Potres</w:t>
            </w:r>
          </w:p>
        </w:tc>
        <w:tc>
          <w:tcPr>
            <w:tcW w:w="514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Bezproreda"/>
              <w:spacing w:before="80" w:after="12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color w:val="76923C" w:themeColor="accent3" w:themeShade="BF"/>
                <w:sz w:val="20"/>
                <w:szCs w:val="20"/>
              </w:rPr>
              <w:t xml:space="preserve">Potres je elementarna nepogoda do kojeg dolazi uslijed pomicanja </w:t>
            </w:r>
            <w:hyperlink r:id="rId74" w:tgtFrame="Tektonska ploča">
              <w:r>
                <w:rPr>
                  <w:rStyle w:val="Internetskapoveznica"/>
                  <w:rFonts w:cs="Arial"/>
                  <w:color w:val="76923C" w:themeColor="accent3" w:themeShade="BF"/>
                  <w:sz w:val="20"/>
                  <w:szCs w:val="20"/>
                  <w:u w:val="none"/>
                </w:rPr>
                <w:t>tektonskih ploča</w:t>
              </w:r>
            </w:hyperlink>
            <w:r>
              <w:rPr>
                <w:rFonts w:cs="Arial"/>
                <w:color w:val="76923C" w:themeColor="accent3" w:themeShade="BF"/>
                <w:sz w:val="20"/>
                <w:szCs w:val="20"/>
              </w:rPr>
              <w:t xml:space="preserve">, a posljedica je podrhtavanje </w:t>
            </w:r>
            <w:hyperlink r:id="rId75" w:tgtFrame="Zemljina kora">
              <w:r>
                <w:rPr>
                  <w:rStyle w:val="Internetskapoveznica"/>
                  <w:rFonts w:cs="Arial"/>
                  <w:color w:val="76923C" w:themeColor="accent3" w:themeShade="BF"/>
                  <w:sz w:val="20"/>
                  <w:szCs w:val="20"/>
                  <w:u w:val="none"/>
                </w:rPr>
                <w:t>Zemljine kore</w:t>
              </w:r>
            </w:hyperlink>
            <w:r>
              <w:rPr>
                <w:rFonts w:cs="Arial"/>
                <w:color w:val="76923C" w:themeColor="accent3" w:themeShade="BF"/>
                <w:sz w:val="20"/>
                <w:szCs w:val="20"/>
              </w:rPr>
              <w:t xml:space="preserve"> zbog oslobađanja velike količine </w:t>
            </w:r>
            <w:hyperlink r:id="rId76" w:tgtFrame="Energija">
              <w:r>
                <w:rPr>
                  <w:rStyle w:val="Internetskapoveznica"/>
                  <w:rFonts w:cs="Arial"/>
                  <w:color w:val="76923C" w:themeColor="accent3" w:themeShade="BF"/>
                  <w:sz w:val="20"/>
                  <w:szCs w:val="20"/>
                  <w:u w:val="none"/>
                </w:rPr>
                <w:t>energije</w:t>
              </w:r>
            </w:hyperlink>
            <w:r>
              <w:rPr>
                <w:rFonts w:cs="Arial"/>
                <w:color w:val="76923C" w:themeColor="accent3" w:themeShade="BF"/>
                <w:sz w:val="20"/>
                <w:szCs w:val="20"/>
              </w:rPr>
              <w:t xml:space="preserve">. Nastaju velikom brzinom, događaju se u bilo koje </w:t>
            </w:r>
            <w:r>
              <w:rPr>
                <w:rFonts w:cs="Arial"/>
                <w:color w:val="76923C" w:themeColor="accent3" w:themeShade="BF"/>
                <w:sz w:val="20"/>
                <w:szCs w:val="20"/>
              </w:rPr>
              <w:t>doba i bez upozorenja. Potresi su vjerojatno najveći uzrok smrtnosti uzrokovane prirodnim katastrofama.</w:t>
            </w:r>
          </w:p>
          <w:p w:rsidR="00A07D92" w:rsidRDefault="00495E63">
            <w:pPr>
              <w:pStyle w:val="TableParagraph"/>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ascii="Arial" w:eastAsia="Times New Roman" w:hAnsi="Arial" w:cs="Arial"/>
                <w:color w:val="76923C" w:themeColor="accent3" w:themeShade="BF"/>
                <w:sz w:val="20"/>
                <w:szCs w:val="20"/>
                <w:lang w:val="hr-HR"/>
              </w:rPr>
              <w:t>Područje Grada Malog Lošinja ugroženo je intenzitetom potresa jačine VI</w:t>
            </w:r>
            <w:r>
              <w:rPr>
                <w:rFonts w:ascii="Symbol" w:eastAsia="Symbol" w:hAnsi="Symbol" w:cs="Symbol"/>
                <w:bCs/>
                <w:color w:val="76923C" w:themeColor="accent3" w:themeShade="BF"/>
                <w:sz w:val="20"/>
                <w:szCs w:val="20"/>
                <w:lang w:val="hr-HR"/>
              </w:rPr>
              <w:t></w:t>
            </w:r>
            <w:r>
              <w:rPr>
                <w:rFonts w:ascii="Arial" w:eastAsia="Times New Roman" w:hAnsi="Arial" w:cs="Arial"/>
                <w:bCs/>
                <w:color w:val="76923C" w:themeColor="accent3" w:themeShade="BF"/>
                <w:sz w:val="20"/>
                <w:szCs w:val="20"/>
                <w:lang w:val="hr-HR"/>
              </w:rPr>
              <w:t xml:space="preserve"> MCS ljestvice.</w:t>
            </w:r>
          </w:p>
        </w:tc>
        <w:tc>
          <w:tcPr>
            <w:tcW w:w="229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1. Život i zdravlje ljudi</w:t>
            </w:r>
          </w:p>
          <w:p w:rsidR="00A07D92" w:rsidRDefault="00495E63">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2. Gospodarstvo</w:t>
            </w:r>
          </w:p>
          <w:p w:rsidR="00A07D92" w:rsidRDefault="00495E63">
            <w:pPr>
              <w:pStyle w:val="TableParagraph"/>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Pr>
                <w:rFonts w:ascii="Arial" w:eastAsia="Times New Roman" w:hAnsi="Arial" w:cs="Arial"/>
                <w:color w:val="76923C" w:themeColor="accent3" w:themeShade="BF"/>
                <w:sz w:val="20"/>
                <w:szCs w:val="20"/>
                <w:lang w:val="hr-HR"/>
              </w:rPr>
              <w:t xml:space="preserve">3. Društvena </w:t>
            </w:r>
            <w:r>
              <w:rPr>
                <w:rFonts w:ascii="Arial" w:eastAsia="Times New Roman" w:hAnsi="Arial" w:cs="Arial"/>
                <w:color w:val="76923C" w:themeColor="accent3" w:themeShade="BF"/>
                <w:sz w:val="20"/>
                <w:szCs w:val="20"/>
                <w:lang w:val="hr-HR"/>
              </w:rPr>
              <w:t>stabilnost i politika</w:t>
            </w:r>
          </w:p>
        </w:tc>
        <w:tc>
          <w:tcPr>
            <w:tcW w:w="39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 praćenje seizmičke aktivnosti</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 protupotresno planiranje, projektiranje i gradnja sukladno odgovarajućim tehničkim propisima i hrvatskim/europskim normama</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 xml:space="preserve">- edukacija i osposobljavanje operativnih snaga sustava civilne  zaštite </w:t>
            </w:r>
          </w:p>
        </w:tc>
        <w:tc>
          <w:tcPr>
            <w:tcW w:w="28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76923C" w:themeColor="accent3" w:themeShade="BF"/>
              </w:rPr>
            </w:pPr>
            <w:r>
              <w:rPr>
                <w:color w:val="76923C" w:themeColor="accent3" w:themeShade="BF"/>
                <w:sz w:val="20"/>
              </w:rPr>
              <w:t>uzbunjivanje i obavješćivanje, evakuacija, zbrinjavanje, sklanjanje, spašavanje, pružanje prve pomoći</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szCs w:val="20"/>
              </w:rPr>
            </w:pPr>
            <w:r>
              <w:rPr>
                <w:color w:val="76923C" w:themeColor="accent3" w:themeShade="BF"/>
                <w:sz w:val="20"/>
                <w:szCs w:val="20"/>
              </w:rPr>
              <w:t>2.</w:t>
            </w:r>
          </w:p>
        </w:tc>
        <w:tc>
          <w:tcPr>
            <w:tcW w:w="16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ind w:left="102" w:right="162"/>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color w:val="76923C" w:themeColor="accent3" w:themeShade="BF"/>
                <w:spacing w:val="-1"/>
                <w:sz w:val="20"/>
                <w:szCs w:val="20"/>
                <w:lang w:val="hr-HR"/>
              </w:rPr>
              <w:t>Požar otvorenog prostora</w:t>
            </w:r>
          </w:p>
        </w:tc>
        <w:tc>
          <w:tcPr>
            <w:tcW w:w="514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Područje Primorsko-goranske županija ima dobru organizaciju vatrogasnih postrojbi. Veći požari otvorenog tipa ne </w:t>
            </w:r>
            <w:r>
              <w:rPr>
                <w:color w:val="76923C" w:themeColor="accent3" w:themeShade="BF"/>
                <w:sz w:val="20"/>
                <w:szCs w:val="20"/>
              </w:rPr>
              <w:t>predstavljaju visok ili vrlo visok rizik za županiju.</w:t>
            </w:r>
          </w:p>
          <w:p w:rsidR="00A07D92" w:rsidRDefault="00A07D92">
            <w:pPr>
              <w:pStyle w:val="TableParagraph"/>
              <w:jc w:val="both"/>
              <w:cnfStyle w:val="000000000000" w:firstRow="0" w:lastRow="0" w:firstColumn="0" w:lastColumn="0" w:oddVBand="0" w:evenVBand="0" w:oddHBand="0" w:evenHBand="0" w:firstRowFirstColumn="0" w:firstRowLastColumn="0" w:lastRowFirstColumn="0" w:lastRowLastColumn="0"/>
              <w:rPr>
                <w:rFonts w:ascii="Arial" w:hAnsi="Arial" w:cs="Arial"/>
                <w:color w:val="76923C" w:themeColor="accent3" w:themeShade="BF"/>
                <w:sz w:val="20"/>
                <w:lang w:val="hr-HR"/>
              </w:rPr>
            </w:pPr>
          </w:p>
        </w:tc>
        <w:tc>
          <w:tcPr>
            <w:tcW w:w="229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76923C" w:themeColor="accent3" w:themeShade="BF"/>
              </w:rPr>
            </w:pPr>
            <w:r>
              <w:rPr>
                <w:color w:val="76923C" w:themeColor="accent3" w:themeShade="BF"/>
                <w:sz w:val="20"/>
                <w:szCs w:val="20"/>
              </w:rPr>
              <w:t>ne očekuju se veći zastoji u obavljanju aktivnosti</w:t>
            </w:r>
          </w:p>
        </w:tc>
        <w:tc>
          <w:tcPr>
            <w:tcW w:w="39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 osposobljavanje i opremanje vatrogasnih snaga</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 xml:space="preserve">- edukacija i osposobljavanje operativnih snaga sustava civilne  </w:t>
            </w:r>
          </w:p>
        </w:tc>
        <w:tc>
          <w:tcPr>
            <w:tcW w:w="28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uzbunjivanje i obavješćivanje, evaku</w:t>
            </w:r>
            <w:r>
              <w:rPr>
                <w:color w:val="76923C" w:themeColor="accent3" w:themeShade="BF"/>
                <w:sz w:val="20"/>
              </w:rPr>
              <w:t xml:space="preserve">acija, zbrinjavanje, sklanjanje, pružanje prve pomoći </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line="240" w:lineRule="auto"/>
              <w:jc w:val="center"/>
              <w:rPr>
                <w:sz w:val="20"/>
                <w:szCs w:val="20"/>
              </w:rPr>
            </w:pPr>
            <w:r>
              <w:rPr>
                <w:color w:val="76923C" w:themeColor="accent3" w:themeShade="BF"/>
                <w:sz w:val="20"/>
                <w:szCs w:val="20"/>
              </w:rPr>
              <w:t>2.</w:t>
            </w:r>
          </w:p>
        </w:tc>
        <w:tc>
          <w:tcPr>
            <w:tcW w:w="16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spacing w:after="160"/>
              <w:ind w:left="102" w:right="162"/>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color w:val="76923C" w:themeColor="accent3" w:themeShade="BF"/>
                <w:spacing w:val="-1"/>
                <w:sz w:val="20"/>
                <w:szCs w:val="20"/>
                <w:lang w:val="hr-HR"/>
              </w:rPr>
              <w:t>Poplava – plimni val</w:t>
            </w:r>
          </w:p>
        </w:tc>
        <w:tc>
          <w:tcPr>
            <w:tcW w:w="514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p>
          <w:p w:rsidR="00A07D92" w:rsidRDefault="00495E63">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Poplave su prirodni fenomen čija se pojava ne može izbjeći, ali se poduzimanjem različitih preventivnih mjera rizici od poplavljivanja mogu sniziti na prihvatljivu razinu.</w:t>
            </w:r>
          </w:p>
          <w:p w:rsidR="00A07D92" w:rsidRDefault="00495E63">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 xml:space="preserve">Uspori se javljaju pod utjecajem tlaka zraka i jakog juga </w:t>
            </w:r>
            <w:proofErr w:type="spellStart"/>
            <w:r>
              <w:rPr>
                <w:color w:val="76923C" w:themeColor="accent3" w:themeShade="BF"/>
                <w:sz w:val="20"/>
                <w:szCs w:val="20"/>
              </w:rPr>
              <w:t>kojie</w:t>
            </w:r>
            <w:proofErr w:type="spellEnd"/>
            <w:r>
              <w:rPr>
                <w:color w:val="76923C" w:themeColor="accent3" w:themeShade="BF"/>
                <w:sz w:val="20"/>
                <w:szCs w:val="20"/>
              </w:rPr>
              <w:t xml:space="preserve"> potiskuje vodene mase prema zatvorenom kraju bazena te tako podiže razinu mora i uzrokuje plavljenje obalnog područja</w:t>
            </w:r>
          </w:p>
        </w:tc>
        <w:tc>
          <w:tcPr>
            <w:tcW w:w="229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1. Život i zdravlje ljudi</w:t>
            </w:r>
          </w:p>
          <w:p w:rsidR="00A07D92" w:rsidRDefault="00495E63">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2. Gospodarstvo</w:t>
            </w:r>
          </w:p>
          <w:p w:rsidR="00A07D92" w:rsidRDefault="00495E63">
            <w:pPr>
              <w:spacing w:before="120" w:after="12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3. Društvena stabilnost i politi</w:t>
            </w:r>
            <w:r>
              <w:rPr>
                <w:color w:val="76923C" w:themeColor="accent3" w:themeShade="BF"/>
                <w:sz w:val="20"/>
                <w:szCs w:val="20"/>
              </w:rPr>
              <w:t>ka</w:t>
            </w:r>
          </w:p>
        </w:tc>
        <w:tc>
          <w:tcPr>
            <w:tcW w:w="39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 xml:space="preserve">- građenje, tehničko i gospodarsko održavanje regulacijskih i zaštitnih vodnih građevina i vodnih građevina za melioracijsku odvodnju, tehničko i gospodarsko održavanje vodotoka i vodnog dobra i drugi radovi kojima se omogućuju kontrolirani i </w:t>
            </w:r>
            <w:r>
              <w:rPr>
                <w:color w:val="76923C" w:themeColor="accent3" w:themeShade="BF"/>
                <w:sz w:val="20"/>
              </w:rPr>
              <w:t>neškodljivi protoci voda i njihovo namjensko korištenje</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 izgradnja sustava ranog upozoravanja</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 edukacija i osposobljavanje operativnih snaga sustava civilne  zaštite Grada Malog Lošinja</w:t>
            </w:r>
          </w:p>
        </w:tc>
        <w:tc>
          <w:tcPr>
            <w:tcW w:w="28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uzbunjivanje i obavješćivanje, evakuacija, zbrinjavanje, sklanjanje,</w:t>
            </w:r>
            <w:r>
              <w:rPr>
                <w:color w:val="76923C" w:themeColor="accent3" w:themeShade="BF"/>
                <w:sz w:val="20"/>
              </w:rPr>
              <w:t xml:space="preserve"> spašavanje, pružanje prve pomoći</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line="240" w:lineRule="auto"/>
              <w:jc w:val="center"/>
              <w:rPr>
                <w:sz w:val="20"/>
                <w:szCs w:val="20"/>
              </w:rPr>
            </w:pPr>
            <w:r>
              <w:rPr>
                <w:color w:val="76923C" w:themeColor="accent3" w:themeShade="BF"/>
                <w:sz w:val="20"/>
                <w:szCs w:val="20"/>
              </w:rPr>
              <w:t>4.</w:t>
            </w:r>
          </w:p>
        </w:tc>
        <w:tc>
          <w:tcPr>
            <w:tcW w:w="16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spacing w:after="160"/>
              <w:ind w:left="102" w:right="162"/>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color w:val="76923C" w:themeColor="accent3" w:themeShade="BF"/>
                <w:spacing w:val="-1"/>
                <w:sz w:val="20"/>
                <w:szCs w:val="20"/>
                <w:lang w:val="hr-HR"/>
              </w:rPr>
              <w:t xml:space="preserve"> Epidemije i </w:t>
            </w:r>
            <w:proofErr w:type="spellStart"/>
            <w:r>
              <w:rPr>
                <w:rFonts w:ascii="Arial" w:eastAsia="Times New Roman" w:hAnsi="Arial" w:cs="Arial"/>
                <w:color w:val="76923C" w:themeColor="accent3" w:themeShade="BF"/>
                <w:spacing w:val="-1"/>
                <w:sz w:val="20"/>
                <w:szCs w:val="20"/>
                <w:lang w:val="hr-HR"/>
              </w:rPr>
              <w:t>pandemije</w:t>
            </w:r>
            <w:proofErr w:type="spellEnd"/>
          </w:p>
        </w:tc>
        <w:tc>
          <w:tcPr>
            <w:tcW w:w="514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 xml:space="preserve">Epidemija je neobično često pojavljivanje jedne bolesti u jednoj populaciji. </w:t>
            </w:r>
            <w:proofErr w:type="spellStart"/>
            <w:r>
              <w:rPr>
                <w:color w:val="76923C" w:themeColor="accent3" w:themeShade="BF"/>
                <w:sz w:val="20"/>
                <w:szCs w:val="20"/>
              </w:rPr>
              <w:t>Pandemija</w:t>
            </w:r>
            <w:proofErr w:type="spellEnd"/>
            <w:r>
              <w:rPr>
                <w:color w:val="76923C" w:themeColor="accent3" w:themeShade="BF"/>
                <w:sz w:val="20"/>
                <w:szCs w:val="20"/>
              </w:rPr>
              <w:t xml:space="preserve"> označava širenje infekcijske bolesti u širokim zemljopisnim regijama, </w:t>
            </w:r>
            <w:r>
              <w:rPr>
                <w:color w:val="76923C" w:themeColor="accent3" w:themeShade="BF"/>
                <w:sz w:val="20"/>
                <w:szCs w:val="20"/>
              </w:rPr>
              <w:lastRenderedPageBreak/>
              <w:t>kontinentalnih ili globalnih razmjera.</w:t>
            </w:r>
            <w:r>
              <w:rPr>
                <w:color w:val="76923C" w:themeColor="accent3" w:themeShade="BF"/>
                <w:sz w:val="20"/>
                <w:szCs w:val="20"/>
              </w:rPr>
              <w:t xml:space="preserve"> Mogućnost pojave epidemije predstavlja realnu opasnost za  stanovništvo  bilo kojeg područja pa tako i za stanovnike Primorsko-goranske županije i Grada Malog Lošinja</w:t>
            </w:r>
          </w:p>
        </w:tc>
        <w:tc>
          <w:tcPr>
            <w:tcW w:w="229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lastRenderedPageBreak/>
              <w:t>1. Život i zdravlje ljudi</w:t>
            </w:r>
          </w:p>
          <w:p w:rsidR="00A07D92" w:rsidRDefault="00495E63">
            <w:pPr>
              <w:pStyle w:val="TableParagraph"/>
              <w:spacing w:after="160"/>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ascii="Arial" w:hAnsi="Arial" w:cs="Arial"/>
                <w:color w:val="76923C" w:themeColor="accent3" w:themeShade="BF"/>
                <w:sz w:val="20"/>
                <w:szCs w:val="20"/>
              </w:rPr>
              <w:lastRenderedPageBreak/>
              <w:t xml:space="preserve">2. </w:t>
            </w:r>
            <w:proofErr w:type="spellStart"/>
            <w:r>
              <w:rPr>
                <w:rFonts w:ascii="Arial" w:hAnsi="Arial" w:cs="Arial"/>
                <w:color w:val="76923C" w:themeColor="accent3" w:themeShade="BF"/>
                <w:sz w:val="20"/>
                <w:szCs w:val="20"/>
              </w:rPr>
              <w:t>Gospodarstvo</w:t>
            </w:r>
            <w:proofErr w:type="spellEnd"/>
          </w:p>
        </w:tc>
        <w:tc>
          <w:tcPr>
            <w:tcW w:w="39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lastRenderedPageBreak/>
              <w:t>- protuepidemijske mjere i liječenje kojima će</w:t>
            </w:r>
            <w:r>
              <w:rPr>
                <w:color w:val="76923C" w:themeColor="accent3" w:themeShade="BF"/>
                <w:sz w:val="20"/>
              </w:rPr>
              <w:t xml:space="preserve"> se smanjiti rizik od širenja </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lastRenderedPageBreak/>
              <w:t>brze intervencije higijensko epidemiološke djelatnosti u suradnji s ostalim    djelatnostima Nastavnog zavoda za javno zdravstvo Primorsko-goranske županije i sanitarne inspekcije.</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 xml:space="preserve">- edukacija stanovništva </w:t>
            </w:r>
          </w:p>
        </w:tc>
        <w:tc>
          <w:tcPr>
            <w:tcW w:w="28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lastRenderedPageBreak/>
              <w:t>obavješćivanje, ed</w:t>
            </w:r>
            <w:r>
              <w:rPr>
                <w:color w:val="76923C" w:themeColor="accent3" w:themeShade="BF"/>
                <w:sz w:val="20"/>
              </w:rPr>
              <w:t xml:space="preserve">ukacija, cijepljenje, DDD mjere, higijensko epidemiološka </w:t>
            </w:r>
            <w:r>
              <w:rPr>
                <w:color w:val="76923C" w:themeColor="accent3" w:themeShade="BF"/>
                <w:sz w:val="20"/>
              </w:rPr>
              <w:lastRenderedPageBreak/>
              <w:t>djelatnost, zaštita vode</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line="240" w:lineRule="auto"/>
              <w:jc w:val="center"/>
              <w:rPr>
                <w:sz w:val="20"/>
                <w:szCs w:val="20"/>
              </w:rPr>
            </w:pPr>
            <w:r>
              <w:rPr>
                <w:color w:val="76923C" w:themeColor="accent3" w:themeShade="BF"/>
                <w:sz w:val="20"/>
                <w:szCs w:val="20"/>
              </w:rPr>
              <w:lastRenderedPageBreak/>
              <w:t>5.</w:t>
            </w:r>
          </w:p>
        </w:tc>
        <w:tc>
          <w:tcPr>
            <w:tcW w:w="16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spacing w:after="160"/>
              <w:ind w:left="102" w:right="162"/>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color w:val="76923C" w:themeColor="accent3" w:themeShade="BF"/>
                <w:spacing w:val="-1"/>
                <w:sz w:val="20"/>
                <w:szCs w:val="20"/>
                <w:lang w:val="hr-HR"/>
              </w:rPr>
              <w:t>Tehničko-tehnološke nesreće s opasnim tvarima (industrijske nesreće)</w:t>
            </w:r>
          </w:p>
        </w:tc>
        <w:tc>
          <w:tcPr>
            <w:tcW w:w="514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ascii="Arial" w:hAnsi="Arial" w:cs="Arial"/>
                <w:color w:val="76923C" w:themeColor="accent3" w:themeShade="BF"/>
                <w:sz w:val="20"/>
                <w:szCs w:val="20"/>
                <w:lang w:val="hr-HR"/>
              </w:rPr>
              <w:t xml:space="preserve">Nesreće s opasnim tvarima imale bi značajan utjecaj na ružu vjetrova, podzemne vodotoke te </w:t>
            </w:r>
            <w:r>
              <w:rPr>
                <w:rFonts w:ascii="Arial" w:hAnsi="Arial" w:cs="Arial"/>
                <w:color w:val="76923C" w:themeColor="accent3" w:themeShade="BF"/>
                <w:sz w:val="20"/>
                <w:szCs w:val="20"/>
                <w:lang w:val="hr-HR"/>
              </w:rPr>
              <w:t>koncentraciju i razmještaj turista (ukoliko bi došlo do nesreće tijekom sezone)</w:t>
            </w:r>
          </w:p>
        </w:tc>
        <w:tc>
          <w:tcPr>
            <w:tcW w:w="229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olor w:val="auto"/>
                <w:sz w:val="20"/>
                <w:szCs w:val="20"/>
              </w:rPr>
            </w:pPr>
            <w:r>
              <w:rPr>
                <w:rFonts w:eastAsiaTheme="minorHAnsi"/>
                <w:color w:val="76923C" w:themeColor="accent3" w:themeShade="BF"/>
                <w:sz w:val="20"/>
                <w:szCs w:val="20"/>
              </w:rPr>
              <w:t>1. Život i zdravlje ljudi</w:t>
            </w:r>
          </w:p>
          <w:p w:rsidR="00A07D92" w:rsidRDefault="00495E63">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olor w:val="auto"/>
                <w:sz w:val="20"/>
                <w:szCs w:val="20"/>
              </w:rPr>
            </w:pPr>
            <w:r>
              <w:rPr>
                <w:rFonts w:eastAsiaTheme="minorHAnsi"/>
                <w:color w:val="76923C" w:themeColor="accent3" w:themeShade="BF"/>
                <w:sz w:val="20"/>
                <w:szCs w:val="20"/>
              </w:rPr>
              <w:t>2. Gospodarstvo</w:t>
            </w:r>
          </w:p>
          <w:p w:rsidR="00A07D92" w:rsidRDefault="00495E63">
            <w:pPr>
              <w:pStyle w:val="TableParagraph"/>
              <w:spacing w:after="160"/>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ascii="Arial" w:hAnsi="Arial" w:cs="Arial"/>
                <w:color w:val="76923C" w:themeColor="accent3" w:themeShade="BF"/>
                <w:sz w:val="20"/>
                <w:szCs w:val="20"/>
                <w:lang w:val="hr-HR"/>
              </w:rPr>
              <w:t>3. Društvena stabilnost i politika</w:t>
            </w:r>
          </w:p>
        </w:tc>
        <w:tc>
          <w:tcPr>
            <w:tcW w:w="39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 xml:space="preserve">- osiguravanje sigurnog i stabilnog poslovanja postrojenja kako bi se na najmanju moguću mjeru </w:t>
            </w:r>
            <w:r>
              <w:rPr>
                <w:color w:val="76923C" w:themeColor="accent3" w:themeShade="BF"/>
                <w:sz w:val="20"/>
              </w:rPr>
              <w:t>smanjilo mogućnost iznenadnog događaja s neželjenim posljedicama te ograničavanje posljedica uslijed takovog događaja (redovni i izvanredni pregledi i ispitivanja postrojenja, sustav nadzora rada, osposobljavanje djelatnika, provođenje vježbi, ...)</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 eduka</w:t>
            </w:r>
            <w:r>
              <w:rPr>
                <w:color w:val="76923C" w:themeColor="accent3" w:themeShade="BF"/>
                <w:sz w:val="20"/>
              </w:rPr>
              <w:t>cija i osposobljavanje operativnih snaga civilne zaštite Grada Malog Lošinja</w:t>
            </w:r>
          </w:p>
        </w:tc>
        <w:tc>
          <w:tcPr>
            <w:tcW w:w="28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uzbunjivanje i obavješćivanje, evakuacija, zbrinjavanje, sklanjanje, spašavanje, pružanje prve pomoći</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line="240" w:lineRule="auto"/>
              <w:jc w:val="center"/>
              <w:rPr>
                <w:sz w:val="20"/>
                <w:szCs w:val="20"/>
              </w:rPr>
            </w:pPr>
            <w:r>
              <w:rPr>
                <w:color w:val="76923C" w:themeColor="accent3" w:themeShade="BF"/>
                <w:sz w:val="20"/>
                <w:szCs w:val="20"/>
              </w:rPr>
              <w:t>6.</w:t>
            </w:r>
          </w:p>
        </w:tc>
        <w:tc>
          <w:tcPr>
            <w:tcW w:w="16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spacing w:after="160"/>
              <w:ind w:left="102" w:right="162"/>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color w:val="76923C" w:themeColor="accent3" w:themeShade="BF"/>
                <w:spacing w:val="-1"/>
                <w:sz w:val="20"/>
                <w:szCs w:val="20"/>
                <w:lang w:val="hr-HR"/>
              </w:rPr>
              <w:t>Vjetar</w:t>
            </w:r>
          </w:p>
        </w:tc>
        <w:tc>
          <w:tcPr>
            <w:tcW w:w="514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ascii="Arial" w:hAnsi="Arial" w:cs="Arial"/>
                <w:color w:val="76923C" w:themeColor="accent3" w:themeShade="BF"/>
                <w:sz w:val="20"/>
                <w:szCs w:val="20"/>
                <w:lang w:val="hr-HR"/>
              </w:rPr>
              <w:t xml:space="preserve">Područje Primorsko-goranske županije izloženo je učincima </w:t>
            </w:r>
            <w:r>
              <w:rPr>
                <w:rFonts w:ascii="Arial" w:hAnsi="Arial" w:cs="Arial"/>
                <w:color w:val="76923C" w:themeColor="accent3" w:themeShade="BF"/>
                <w:sz w:val="20"/>
                <w:szCs w:val="20"/>
                <w:lang w:val="hr-HR"/>
              </w:rPr>
              <w:t>olujnog/orkanskog i jakog vjetra, koje je često praćeno jakom kišom i tučom. Olujno ili orkansko nevrijeme i jak vjetar na objektima kritične infrastrukture (elektroenergetika, telekomunikacije, vodoopskrba) mogu učiniti znatne materijalne štete. Nedostata</w:t>
            </w:r>
            <w:r>
              <w:rPr>
                <w:rFonts w:ascii="Arial" w:hAnsi="Arial" w:cs="Arial"/>
                <w:color w:val="76923C" w:themeColor="accent3" w:themeShade="BF"/>
                <w:sz w:val="20"/>
                <w:szCs w:val="20"/>
                <w:lang w:val="hr-HR"/>
              </w:rPr>
              <w:t>k energenata kod stanovništva stvara probleme u svakodnevnim aktivnostima (u prehrani, higijeni, zagrijavanju prostora), održavanju poslovnih prostora i narušava cjelokupno funkcioniranje društva. Učinci olujnog/orkanskog i jakog vjetra u Gradu mogu izazva</w:t>
            </w:r>
            <w:r>
              <w:rPr>
                <w:rFonts w:ascii="Arial" w:hAnsi="Arial" w:cs="Arial"/>
                <w:color w:val="76923C" w:themeColor="accent3" w:themeShade="BF"/>
                <w:sz w:val="20"/>
                <w:szCs w:val="20"/>
                <w:lang w:val="hr-HR"/>
              </w:rPr>
              <w:t>ti otežano odvijanje cestovnog prometa.</w:t>
            </w:r>
          </w:p>
        </w:tc>
        <w:tc>
          <w:tcPr>
            <w:tcW w:w="229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spacing w:before="80" w:after="160"/>
              <w:ind w:left="104" w:right="151"/>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ascii="Arial" w:hAnsi="Arial" w:cs="Arial"/>
                <w:color w:val="76923C" w:themeColor="accent3" w:themeShade="BF"/>
                <w:spacing w:val="-1"/>
                <w:sz w:val="20"/>
                <w:szCs w:val="20"/>
                <w:lang w:val="hr-HR"/>
              </w:rPr>
              <w:t>1.Život i zdravlje ljudi</w:t>
            </w:r>
          </w:p>
          <w:p w:rsidR="00A07D92" w:rsidRDefault="00495E63">
            <w:pPr>
              <w:pStyle w:val="TableParagraph"/>
              <w:spacing w:before="80" w:after="160"/>
              <w:ind w:left="104" w:right="151"/>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ascii="Arial" w:hAnsi="Arial" w:cs="Arial"/>
                <w:color w:val="76923C" w:themeColor="accent3" w:themeShade="BF"/>
                <w:spacing w:val="-1"/>
                <w:sz w:val="20"/>
                <w:szCs w:val="20"/>
                <w:lang w:val="hr-HR"/>
              </w:rPr>
              <w:t>2.Gospodarstvo</w:t>
            </w:r>
          </w:p>
          <w:p w:rsidR="00A07D92" w:rsidRDefault="00495E63">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olor w:val="auto"/>
                <w:sz w:val="20"/>
                <w:szCs w:val="20"/>
              </w:rPr>
            </w:pPr>
            <w:r>
              <w:rPr>
                <w:color w:val="76923C" w:themeColor="accent3" w:themeShade="BF"/>
                <w:spacing w:val="-1"/>
                <w:sz w:val="20"/>
                <w:szCs w:val="20"/>
              </w:rPr>
              <w:t>3. Društvena stabilnost i politika</w:t>
            </w:r>
          </w:p>
        </w:tc>
        <w:tc>
          <w:tcPr>
            <w:tcW w:w="39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Poštivanjem urbanističkih mjera u izgradnji objekata smanjiti će se posljedice uzrokovane navedenim prirodnim uzrocima.</w:t>
            </w:r>
          </w:p>
        </w:tc>
        <w:tc>
          <w:tcPr>
            <w:tcW w:w="28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 xml:space="preserve">Redovne operativne </w:t>
            </w:r>
            <w:r>
              <w:rPr>
                <w:color w:val="76923C" w:themeColor="accent3" w:themeShade="BF"/>
                <w:sz w:val="20"/>
              </w:rPr>
              <w:t>snage sustava civilne zaštite raspolažu s dovoljnim ljudskim i materijalnim potencijalima za otklanjanje posljedica uzrokovanih ovom vrstom prirodne nepogode.</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line="240" w:lineRule="auto"/>
              <w:jc w:val="center"/>
              <w:rPr>
                <w:sz w:val="20"/>
                <w:szCs w:val="20"/>
              </w:rPr>
            </w:pPr>
            <w:r>
              <w:rPr>
                <w:color w:val="76923C" w:themeColor="accent3" w:themeShade="BF"/>
                <w:sz w:val="20"/>
                <w:szCs w:val="20"/>
              </w:rPr>
              <w:t>7.</w:t>
            </w:r>
          </w:p>
        </w:tc>
        <w:tc>
          <w:tcPr>
            <w:tcW w:w="16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spacing w:after="160"/>
              <w:ind w:left="102" w:right="162"/>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color w:val="76923C" w:themeColor="accent3" w:themeShade="BF"/>
                <w:spacing w:val="-1"/>
                <w:sz w:val="20"/>
                <w:szCs w:val="20"/>
                <w:lang w:val="hr-HR"/>
              </w:rPr>
              <w:t>Tehničko-tehnološke nesreće u prometu</w:t>
            </w:r>
          </w:p>
        </w:tc>
        <w:tc>
          <w:tcPr>
            <w:tcW w:w="514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ascii="Arial" w:hAnsi="Arial" w:cs="Arial"/>
                <w:color w:val="76923C" w:themeColor="accent3" w:themeShade="BF"/>
                <w:sz w:val="20"/>
                <w:szCs w:val="20"/>
                <w:lang w:val="hr-HR"/>
              </w:rPr>
              <w:t xml:space="preserve">Tehničko-tehnološke nesreće u prometu mogu nastati u </w:t>
            </w:r>
            <w:r>
              <w:rPr>
                <w:rFonts w:ascii="Arial" w:hAnsi="Arial" w:cs="Arial"/>
                <w:color w:val="76923C" w:themeColor="accent3" w:themeShade="BF"/>
                <w:sz w:val="20"/>
                <w:szCs w:val="20"/>
                <w:lang w:val="hr-HR"/>
              </w:rPr>
              <w:t xml:space="preserve">slučajevima prijevoza opasnih tvari u cestovnom, željezničkom, pomorskom i zračnom prometu. Opasne tvari koje se najčešće transportiraju cestovnim </w:t>
            </w:r>
            <w:r>
              <w:rPr>
                <w:rFonts w:ascii="Arial" w:hAnsi="Arial" w:cs="Arial"/>
                <w:color w:val="76923C" w:themeColor="accent3" w:themeShade="BF"/>
                <w:sz w:val="20"/>
                <w:szCs w:val="20"/>
                <w:lang w:val="hr-HR"/>
              </w:rPr>
              <w:lastRenderedPageBreak/>
              <w:t>prometom kroz područje grada Malog Lošinja su naftni derivati. Na području Grada nalazi se Zračno pristanište</w:t>
            </w:r>
            <w:r>
              <w:rPr>
                <w:rFonts w:ascii="Arial" w:hAnsi="Arial" w:cs="Arial"/>
                <w:color w:val="76923C" w:themeColor="accent3" w:themeShade="BF"/>
                <w:sz w:val="20"/>
                <w:szCs w:val="20"/>
                <w:lang w:val="hr-HR"/>
              </w:rPr>
              <w:t xml:space="preserve"> Mali Lošinj.</w:t>
            </w:r>
          </w:p>
        </w:tc>
        <w:tc>
          <w:tcPr>
            <w:tcW w:w="229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ind w:left="104" w:right="151"/>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Pr>
                <w:rFonts w:ascii="Arial" w:hAnsi="Arial" w:cs="Arial"/>
                <w:color w:val="76923C" w:themeColor="accent3" w:themeShade="BF"/>
                <w:spacing w:val="-1"/>
                <w:sz w:val="20"/>
                <w:szCs w:val="20"/>
                <w:lang w:val="hr-HR"/>
              </w:rPr>
              <w:lastRenderedPageBreak/>
              <w:t>1.Život i zdravlje ljudi</w:t>
            </w:r>
          </w:p>
          <w:p w:rsidR="00A07D92" w:rsidRDefault="00495E63">
            <w:pPr>
              <w:pStyle w:val="TableParagraph"/>
              <w:ind w:left="104" w:right="151"/>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Pr>
                <w:rFonts w:ascii="Arial" w:hAnsi="Arial" w:cs="Arial"/>
                <w:color w:val="76923C" w:themeColor="accent3" w:themeShade="BF"/>
                <w:spacing w:val="-1"/>
                <w:sz w:val="20"/>
                <w:szCs w:val="20"/>
                <w:lang w:val="hr-HR"/>
              </w:rPr>
              <w:t>2.Gospodarstvo</w:t>
            </w:r>
          </w:p>
          <w:p w:rsidR="00A07D92" w:rsidRDefault="00495E63">
            <w:pPr>
              <w:pStyle w:val="TableParagraph"/>
              <w:spacing w:before="80" w:after="160"/>
              <w:ind w:left="104" w:right="151"/>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Pr>
                <w:rFonts w:ascii="Arial" w:hAnsi="Arial" w:cs="Arial"/>
                <w:color w:val="76923C" w:themeColor="accent3" w:themeShade="BF"/>
                <w:spacing w:val="-1"/>
                <w:sz w:val="20"/>
                <w:szCs w:val="20"/>
                <w:lang w:val="hr-HR"/>
              </w:rPr>
              <w:t xml:space="preserve">3. Društvena </w:t>
            </w:r>
            <w:r>
              <w:rPr>
                <w:rFonts w:ascii="Arial" w:hAnsi="Arial" w:cs="Arial"/>
                <w:color w:val="76923C" w:themeColor="accent3" w:themeShade="BF"/>
                <w:spacing w:val="-1"/>
                <w:sz w:val="20"/>
                <w:szCs w:val="20"/>
                <w:lang w:val="hr-HR"/>
              </w:rPr>
              <w:lastRenderedPageBreak/>
              <w:t>stabilnost i politika</w:t>
            </w:r>
          </w:p>
        </w:tc>
        <w:tc>
          <w:tcPr>
            <w:tcW w:w="39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lastRenderedPageBreak/>
              <w:t>- izrađeni planovi postupanja u slučaju nesreće</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 xml:space="preserve">-edukacija i </w:t>
            </w:r>
            <w:proofErr w:type="spellStart"/>
            <w:r>
              <w:rPr>
                <w:color w:val="76923C" w:themeColor="accent3" w:themeShade="BF"/>
                <w:sz w:val="20"/>
              </w:rPr>
              <w:t>osoposobljavanje</w:t>
            </w:r>
            <w:proofErr w:type="spellEnd"/>
            <w:r>
              <w:rPr>
                <w:color w:val="76923C" w:themeColor="accent3" w:themeShade="BF"/>
                <w:sz w:val="20"/>
              </w:rPr>
              <w:t xml:space="preserve"> operativnih snaga civilne zaštite Grada</w:t>
            </w:r>
          </w:p>
        </w:tc>
        <w:tc>
          <w:tcPr>
            <w:tcW w:w="28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 uzbunjivanje i obavješćivanje, evakuacija, zbri</w:t>
            </w:r>
            <w:r>
              <w:rPr>
                <w:color w:val="76923C" w:themeColor="accent3" w:themeShade="BF"/>
                <w:sz w:val="20"/>
              </w:rPr>
              <w:t xml:space="preserve">njavanje, sklanjanje, spašavanje, pružanje prve </w:t>
            </w:r>
            <w:r>
              <w:rPr>
                <w:color w:val="76923C" w:themeColor="accent3" w:themeShade="BF"/>
                <w:sz w:val="20"/>
              </w:rPr>
              <w:lastRenderedPageBreak/>
              <w:t>pomoći</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line="240" w:lineRule="auto"/>
              <w:jc w:val="center"/>
              <w:rPr>
                <w:sz w:val="20"/>
                <w:szCs w:val="20"/>
              </w:rPr>
            </w:pPr>
            <w:r>
              <w:rPr>
                <w:color w:val="76923C" w:themeColor="accent3" w:themeShade="BF"/>
                <w:sz w:val="20"/>
                <w:szCs w:val="20"/>
              </w:rPr>
              <w:lastRenderedPageBreak/>
              <w:t>8.</w:t>
            </w:r>
          </w:p>
        </w:tc>
        <w:tc>
          <w:tcPr>
            <w:tcW w:w="16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spacing w:after="160"/>
              <w:ind w:left="102" w:right="162"/>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color w:val="76923C" w:themeColor="accent3" w:themeShade="BF"/>
                <w:spacing w:val="-1"/>
                <w:sz w:val="20"/>
                <w:szCs w:val="20"/>
                <w:lang w:val="hr-HR"/>
              </w:rPr>
              <w:t>Ekstremne temperature</w:t>
            </w:r>
          </w:p>
        </w:tc>
        <w:tc>
          <w:tcPr>
            <w:tcW w:w="514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ascii="Arial" w:hAnsi="Arial" w:cs="Arial"/>
                <w:color w:val="76923C" w:themeColor="accent3" w:themeShade="BF"/>
                <w:sz w:val="20"/>
                <w:szCs w:val="20"/>
                <w:lang w:val="hr-HR"/>
              </w:rPr>
              <w:t xml:space="preserve">Toplinski val kao prirodna pojava uzrokovana klimatskim promjenama nastaje naglo bez prethodnih najava. Pojava toplinskog vala zahvatila je područje priobalnih dijelova, a </w:t>
            </w:r>
            <w:r>
              <w:rPr>
                <w:rFonts w:ascii="Arial" w:hAnsi="Arial" w:cs="Arial"/>
                <w:color w:val="76923C" w:themeColor="accent3" w:themeShade="BF"/>
                <w:sz w:val="20"/>
                <w:szCs w:val="20"/>
                <w:lang w:val="hr-HR"/>
              </w:rPr>
              <w:t>temperature iznose 35ºC</w:t>
            </w:r>
          </w:p>
        </w:tc>
        <w:tc>
          <w:tcPr>
            <w:tcW w:w="229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ind w:left="104" w:right="151"/>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ascii="Arial" w:hAnsi="Arial" w:cs="Arial"/>
                <w:color w:val="76923C" w:themeColor="accent3" w:themeShade="BF"/>
                <w:spacing w:val="-1"/>
                <w:sz w:val="20"/>
                <w:szCs w:val="20"/>
                <w:lang w:val="hr-HR"/>
              </w:rPr>
              <w:t>1.Život i zdravlje ljudi</w:t>
            </w:r>
          </w:p>
          <w:p w:rsidR="00A07D92" w:rsidRDefault="00495E63">
            <w:pPr>
              <w:pStyle w:val="TableParagraph"/>
              <w:ind w:left="104" w:right="151"/>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ascii="Arial" w:hAnsi="Arial" w:cs="Arial"/>
                <w:color w:val="76923C" w:themeColor="accent3" w:themeShade="BF"/>
                <w:spacing w:val="-1"/>
                <w:sz w:val="20"/>
                <w:szCs w:val="20"/>
                <w:lang w:val="hr-HR"/>
              </w:rPr>
              <w:t>2.Gospodarstvo</w:t>
            </w:r>
          </w:p>
          <w:p w:rsidR="00A07D92" w:rsidRDefault="00A07D92">
            <w:pPr>
              <w:pStyle w:val="TableParagraph"/>
              <w:spacing w:before="80" w:after="160"/>
              <w:ind w:left="104" w:right="151"/>
              <w:cnfStyle w:val="000000000000" w:firstRow="0" w:lastRow="0" w:firstColumn="0" w:lastColumn="0" w:oddVBand="0" w:evenVBand="0" w:oddHBand="0" w:evenHBand="0" w:firstRowFirstColumn="0" w:firstRowLastColumn="0" w:lastRowFirstColumn="0" w:lastRowLastColumn="0"/>
              <w:rPr>
                <w:rFonts w:ascii="Arial" w:hAnsi="Arial" w:cs="Arial"/>
                <w:color w:val="76923C" w:themeColor="accent3" w:themeShade="BF"/>
                <w:spacing w:val="-1"/>
                <w:sz w:val="20"/>
                <w:szCs w:val="20"/>
                <w:lang w:val="hr-HR"/>
              </w:rPr>
            </w:pPr>
          </w:p>
        </w:tc>
        <w:tc>
          <w:tcPr>
            <w:tcW w:w="39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 preventivne mjere prema Protokolu o zaštiti od vrućina u periodu od 15. svibnja do 15. rujna</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-pridržavanje preporuka lokalnih zdravstvenih ustanova</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-edukacija i osposobljavanje stanovništva</w:t>
            </w:r>
            <w:r>
              <w:rPr>
                <w:color w:val="76923C" w:themeColor="accent3" w:themeShade="BF"/>
                <w:sz w:val="20"/>
              </w:rPr>
              <w:t xml:space="preserve"> Grada</w:t>
            </w:r>
          </w:p>
        </w:tc>
        <w:tc>
          <w:tcPr>
            <w:tcW w:w="28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-obavješćivanje, pružanje prve pomoći, zbrinjavanje oboljelih</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line="240" w:lineRule="auto"/>
              <w:jc w:val="center"/>
              <w:rPr>
                <w:sz w:val="20"/>
                <w:szCs w:val="20"/>
              </w:rPr>
            </w:pPr>
            <w:r>
              <w:rPr>
                <w:color w:val="76923C" w:themeColor="accent3" w:themeShade="BF"/>
                <w:sz w:val="20"/>
                <w:szCs w:val="20"/>
              </w:rPr>
              <w:t>9.</w:t>
            </w:r>
          </w:p>
        </w:tc>
        <w:tc>
          <w:tcPr>
            <w:tcW w:w="16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spacing w:after="160"/>
              <w:ind w:left="102" w:right="162"/>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color w:val="76923C" w:themeColor="accent3" w:themeShade="BF"/>
                <w:spacing w:val="-1"/>
                <w:sz w:val="20"/>
                <w:szCs w:val="20"/>
                <w:lang w:val="hr-HR"/>
              </w:rPr>
              <w:t>Degradacija tla - klizišta</w:t>
            </w:r>
          </w:p>
        </w:tc>
        <w:tc>
          <w:tcPr>
            <w:tcW w:w="514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ascii="Arial" w:hAnsi="Arial" w:cs="Arial"/>
                <w:color w:val="76923C" w:themeColor="accent3" w:themeShade="BF"/>
                <w:sz w:val="20"/>
                <w:szCs w:val="20"/>
                <w:lang w:val="hr-HR"/>
              </w:rPr>
              <w:t xml:space="preserve">Na području otoka Suska, Unija, Vele i Male </w:t>
            </w:r>
            <w:proofErr w:type="spellStart"/>
            <w:r>
              <w:rPr>
                <w:rFonts w:ascii="Arial" w:hAnsi="Arial" w:cs="Arial"/>
                <w:color w:val="76923C" w:themeColor="accent3" w:themeShade="BF"/>
                <w:sz w:val="20"/>
                <w:szCs w:val="20"/>
                <w:lang w:val="hr-HR"/>
              </w:rPr>
              <w:t>Srakane</w:t>
            </w:r>
            <w:proofErr w:type="spellEnd"/>
            <w:r>
              <w:rPr>
                <w:rFonts w:ascii="Arial" w:hAnsi="Arial" w:cs="Arial"/>
                <w:color w:val="76923C" w:themeColor="accent3" w:themeShade="BF"/>
                <w:sz w:val="20"/>
                <w:szCs w:val="20"/>
                <w:lang w:val="hr-HR"/>
              </w:rPr>
              <w:t xml:space="preserve"> može doći do erozije na pješčanoj podlozi.</w:t>
            </w:r>
          </w:p>
        </w:tc>
        <w:tc>
          <w:tcPr>
            <w:tcW w:w="229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TableParagraph"/>
              <w:ind w:left="104" w:right="151"/>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Pr>
                <w:rFonts w:ascii="Arial" w:hAnsi="Arial" w:cs="Arial"/>
                <w:color w:val="76923C" w:themeColor="accent3" w:themeShade="BF"/>
                <w:spacing w:val="-1"/>
                <w:sz w:val="20"/>
                <w:szCs w:val="20"/>
                <w:lang w:val="hr-HR"/>
              </w:rPr>
              <w:t>1.Život i zdravlje ljudi</w:t>
            </w:r>
          </w:p>
          <w:p w:rsidR="00A07D92" w:rsidRDefault="00495E63">
            <w:pPr>
              <w:pStyle w:val="TableParagraph"/>
              <w:ind w:left="104" w:right="151"/>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Pr>
                <w:rFonts w:ascii="Arial" w:hAnsi="Arial" w:cs="Arial"/>
                <w:color w:val="76923C" w:themeColor="accent3" w:themeShade="BF"/>
                <w:spacing w:val="-1"/>
                <w:sz w:val="20"/>
                <w:szCs w:val="20"/>
                <w:lang w:val="hr-HR"/>
              </w:rPr>
              <w:t>2.Gospodarstvo</w:t>
            </w:r>
          </w:p>
          <w:p w:rsidR="00A07D92" w:rsidRDefault="00495E63">
            <w:pPr>
              <w:pStyle w:val="TableParagraph"/>
              <w:spacing w:before="80" w:after="160"/>
              <w:ind w:left="104" w:right="151"/>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Pr>
                <w:rFonts w:ascii="Arial" w:hAnsi="Arial" w:cs="Arial"/>
                <w:color w:val="76923C" w:themeColor="accent3" w:themeShade="BF"/>
                <w:spacing w:val="-1"/>
                <w:sz w:val="20"/>
                <w:szCs w:val="20"/>
                <w:lang w:val="hr-HR"/>
              </w:rPr>
              <w:t xml:space="preserve">3. Društvena </w:t>
            </w:r>
            <w:r>
              <w:rPr>
                <w:rFonts w:ascii="Arial" w:hAnsi="Arial" w:cs="Arial"/>
                <w:color w:val="76923C" w:themeColor="accent3" w:themeShade="BF"/>
                <w:spacing w:val="-1"/>
                <w:sz w:val="20"/>
                <w:szCs w:val="20"/>
                <w:lang w:val="hr-HR"/>
              </w:rPr>
              <w:t>stabilnost i politika</w:t>
            </w:r>
          </w:p>
        </w:tc>
        <w:tc>
          <w:tcPr>
            <w:tcW w:w="39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-pažljivo izvođenje građevinskih radova, izrada temeljnu stručnu dokumentaciju zaštite od erozije</w:t>
            </w:r>
          </w:p>
        </w:tc>
        <w:tc>
          <w:tcPr>
            <w:tcW w:w="28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 xml:space="preserve">- operativne snage CZ raspolažu s dovoljnim ljudskim i materijalnim potencijalima za </w:t>
            </w:r>
            <w:proofErr w:type="spellStart"/>
            <w:r>
              <w:rPr>
                <w:color w:val="76923C" w:themeColor="accent3" w:themeShade="BF"/>
                <w:sz w:val="20"/>
              </w:rPr>
              <w:t>otklanjnje</w:t>
            </w:r>
            <w:proofErr w:type="spellEnd"/>
            <w:r>
              <w:rPr>
                <w:color w:val="76923C" w:themeColor="accent3" w:themeShade="BF"/>
                <w:sz w:val="20"/>
              </w:rPr>
              <w:t xml:space="preserve"> posljedica uzrokovanih ovakvom vrstom ug</w:t>
            </w:r>
            <w:r>
              <w:rPr>
                <w:color w:val="76923C" w:themeColor="accent3" w:themeShade="BF"/>
                <w:sz w:val="20"/>
              </w:rPr>
              <w:t>roze</w:t>
            </w:r>
          </w:p>
        </w:tc>
      </w:tr>
    </w:tbl>
    <w:p w:rsidR="00A07D92" w:rsidRDefault="00A07D92">
      <w:pPr>
        <w:tabs>
          <w:tab w:val="left" w:pos="4211"/>
        </w:tabs>
      </w:pPr>
    </w:p>
    <w:p w:rsidR="00A07D92" w:rsidRDefault="00A07D92"/>
    <w:p w:rsidR="00A07D92" w:rsidRDefault="00A07D92"/>
    <w:p w:rsidR="00A07D92" w:rsidRDefault="00A07D92">
      <w:pPr>
        <w:ind w:firstLine="708"/>
      </w:pPr>
    </w:p>
    <w:p w:rsidR="00A07D92" w:rsidRDefault="00A07D92">
      <w:pPr>
        <w:ind w:firstLine="708"/>
      </w:pPr>
    </w:p>
    <w:p w:rsidR="00A07D92" w:rsidRDefault="00A07D92">
      <w:pPr>
        <w:ind w:firstLine="708"/>
      </w:pPr>
    </w:p>
    <w:p w:rsidR="00A07D92" w:rsidRDefault="00A07D92">
      <w:pPr>
        <w:ind w:firstLine="708"/>
      </w:pPr>
    </w:p>
    <w:p w:rsidR="00A07D92" w:rsidRDefault="00A07D92">
      <w:pPr>
        <w:sectPr w:rsidR="00A07D92">
          <w:pgSz w:w="16838" w:h="11906" w:orient="landscape"/>
          <w:pgMar w:top="1418" w:right="1418" w:bottom="1418" w:left="1418" w:header="567" w:footer="0" w:gutter="0"/>
          <w:cols w:space="720"/>
          <w:formProt w:val="0"/>
          <w:titlePg/>
          <w:docGrid w:linePitch="360" w:charSpace="4096"/>
        </w:sectPr>
      </w:pPr>
    </w:p>
    <w:p w:rsidR="00A07D92" w:rsidRDefault="00495E63">
      <w:pPr>
        <w:pStyle w:val="Naslov2"/>
      </w:pPr>
      <w:bookmarkStart w:id="79" w:name="_Toc136522802"/>
      <w:bookmarkStart w:id="80" w:name="_Toc9596604"/>
      <w:bookmarkStart w:id="81" w:name="_Toc496179672"/>
      <w:bookmarkStart w:id="82" w:name="_Toc486323765"/>
      <w:r>
        <w:lastRenderedPageBreak/>
        <w:t>3.2 Odabrani rizici i razlog odabira</w:t>
      </w:r>
      <w:bookmarkEnd w:id="79"/>
      <w:bookmarkEnd w:id="80"/>
      <w:bookmarkEnd w:id="81"/>
      <w:bookmarkEnd w:id="82"/>
    </w:p>
    <w:p w:rsidR="00A07D92" w:rsidRDefault="00495E63">
      <w:r>
        <w:t xml:space="preserve">Odlukom o postupku izrade Procjene rizika od velikih nesreća za područje grada Malog Lošinja na temelju smjernica za izradu procjene rizik na području </w:t>
      </w:r>
      <w:r>
        <w:t>Primorsko-goranske županije, Radna skupina odabrala je slijedeće rizike koje će se obrađivati:</w:t>
      </w:r>
    </w:p>
    <w:p w:rsidR="00A07D92" w:rsidRDefault="00495E63">
      <w:pPr>
        <w:pStyle w:val="Odlomakpopisa"/>
        <w:numPr>
          <w:ilvl w:val="0"/>
          <w:numId w:val="20"/>
        </w:numPr>
        <w:spacing w:line="276" w:lineRule="auto"/>
        <w:rPr>
          <w:sz w:val="22"/>
        </w:rPr>
      </w:pPr>
      <w:r>
        <w:rPr>
          <w:sz w:val="22"/>
        </w:rPr>
        <w:t>Potres</w:t>
      </w:r>
    </w:p>
    <w:p w:rsidR="00A07D92" w:rsidRDefault="00495E63">
      <w:pPr>
        <w:pStyle w:val="Odlomakpopisa"/>
        <w:numPr>
          <w:ilvl w:val="0"/>
          <w:numId w:val="20"/>
        </w:numPr>
        <w:spacing w:line="276" w:lineRule="auto"/>
        <w:rPr>
          <w:sz w:val="22"/>
        </w:rPr>
      </w:pPr>
      <w:r>
        <w:rPr>
          <w:sz w:val="22"/>
        </w:rPr>
        <w:t>Ekstremne temperature</w:t>
      </w:r>
    </w:p>
    <w:p w:rsidR="00A07D92" w:rsidRDefault="00495E63">
      <w:pPr>
        <w:pStyle w:val="Odlomakpopisa"/>
        <w:numPr>
          <w:ilvl w:val="0"/>
          <w:numId w:val="20"/>
        </w:numPr>
        <w:spacing w:line="276" w:lineRule="auto"/>
        <w:rPr>
          <w:sz w:val="22"/>
        </w:rPr>
      </w:pPr>
      <w:r>
        <w:rPr>
          <w:sz w:val="22"/>
        </w:rPr>
        <w:t xml:space="preserve">Epidemije i </w:t>
      </w:r>
      <w:proofErr w:type="spellStart"/>
      <w:r>
        <w:rPr>
          <w:sz w:val="22"/>
        </w:rPr>
        <w:t>pandemije</w:t>
      </w:r>
      <w:proofErr w:type="spellEnd"/>
      <w:r>
        <w:rPr>
          <w:sz w:val="22"/>
        </w:rPr>
        <w:t xml:space="preserve"> </w:t>
      </w:r>
    </w:p>
    <w:p w:rsidR="00A07D92" w:rsidRDefault="00495E63">
      <w:pPr>
        <w:pStyle w:val="Odlomakpopisa"/>
        <w:numPr>
          <w:ilvl w:val="0"/>
          <w:numId w:val="20"/>
        </w:numPr>
        <w:spacing w:line="276" w:lineRule="auto"/>
        <w:rPr>
          <w:sz w:val="22"/>
        </w:rPr>
      </w:pPr>
      <w:r>
        <w:rPr>
          <w:sz w:val="22"/>
        </w:rPr>
        <w:t>Industrijske nesreće</w:t>
      </w:r>
    </w:p>
    <w:p w:rsidR="00A07D92" w:rsidRDefault="00495E63">
      <w:pPr>
        <w:pStyle w:val="Odlomakpopisa"/>
        <w:numPr>
          <w:ilvl w:val="0"/>
          <w:numId w:val="20"/>
        </w:numPr>
        <w:spacing w:line="276" w:lineRule="auto"/>
        <w:rPr>
          <w:sz w:val="22"/>
        </w:rPr>
      </w:pPr>
      <w:r>
        <w:rPr>
          <w:sz w:val="22"/>
        </w:rPr>
        <w:t>Tehničko-tehnološke i druge nesreće u prometu</w:t>
      </w:r>
    </w:p>
    <w:p w:rsidR="00A07D92" w:rsidRDefault="00495E63">
      <w:pPr>
        <w:pStyle w:val="Odlomakpopisa"/>
        <w:numPr>
          <w:ilvl w:val="0"/>
          <w:numId w:val="20"/>
        </w:numPr>
        <w:spacing w:line="276" w:lineRule="auto"/>
        <w:rPr>
          <w:sz w:val="22"/>
        </w:rPr>
      </w:pPr>
      <w:r>
        <w:rPr>
          <w:sz w:val="22"/>
        </w:rPr>
        <w:t>Požar otvorenog tipa</w:t>
      </w:r>
    </w:p>
    <w:p w:rsidR="00A07D92" w:rsidRDefault="00495E63">
      <w:pPr>
        <w:pStyle w:val="Odlomakpopisa"/>
        <w:numPr>
          <w:ilvl w:val="0"/>
          <w:numId w:val="20"/>
        </w:numPr>
        <w:spacing w:line="276" w:lineRule="auto"/>
        <w:rPr>
          <w:sz w:val="22"/>
        </w:rPr>
      </w:pPr>
      <w:r>
        <w:rPr>
          <w:sz w:val="22"/>
        </w:rPr>
        <w:t xml:space="preserve">Vjetar  </w:t>
      </w:r>
    </w:p>
    <w:p w:rsidR="00A07D92" w:rsidRDefault="00495E63">
      <w:pPr>
        <w:pStyle w:val="Odlomakpopisa"/>
        <w:numPr>
          <w:ilvl w:val="0"/>
          <w:numId w:val="20"/>
        </w:numPr>
        <w:spacing w:line="276" w:lineRule="auto"/>
        <w:rPr>
          <w:sz w:val="22"/>
        </w:rPr>
      </w:pPr>
      <w:r>
        <w:rPr>
          <w:sz w:val="22"/>
        </w:rPr>
        <w:t>Poplave – pl</w:t>
      </w:r>
      <w:r>
        <w:rPr>
          <w:sz w:val="22"/>
        </w:rPr>
        <w:t>imni val</w:t>
      </w:r>
    </w:p>
    <w:p w:rsidR="00A07D92" w:rsidRDefault="00495E63">
      <w:pPr>
        <w:pStyle w:val="Odlomakpopisa"/>
        <w:numPr>
          <w:ilvl w:val="0"/>
          <w:numId w:val="20"/>
        </w:numPr>
        <w:spacing w:line="276" w:lineRule="auto"/>
        <w:rPr>
          <w:sz w:val="22"/>
        </w:rPr>
      </w:pPr>
      <w:r>
        <w:rPr>
          <w:sz w:val="22"/>
        </w:rPr>
        <w:t>Degradacija tla - klizišta</w:t>
      </w:r>
    </w:p>
    <w:p w:rsidR="00A07D92" w:rsidRDefault="00A07D92">
      <w:pPr>
        <w:ind w:left="720"/>
      </w:pPr>
    </w:p>
    <w:p w:rsidR="00A07D92" w:rsidRDefault="00495E63">
      <w:pPr>
        <w:pStyle w:val="Naslov2"/>
      </w:pPr>
      <w:bookmarkStart w:id="83" w:name="_Toc136522803"/>
      <w:bookmarkStart w:id="84" w:name="_Toc9596605"/>
      <w:bookmarkStart w:id="85" w:name="_Toc496179673"/>
      <w:bookmarkStart w:id="86" w:name="_Toc480526487"/>
      <w:r>
        <w:t>3.3 Karte prijetnji</w:t>
      </w:r>
      <w:bookmarkEnd w:id="83"/>
      <w:bookmarkEnd w:id="84"/>
      <w:bookmarkEnd w:id="85"/>
      <w:bookmarkEnd w:id="86"/>
    </w:p>
    <w:p w:rsidR="00A07D92" w:rsidRDefault="00495E63">
      <w:r>
        <w:t>Karte prijetnji kao sastavni dio Procjene rizika za područje grada Malog Lošinja izrađuju se u mjerilu 1:25000 ili krupnije te obuhvaćaju područje grada. Mjerilo mora biti izabrano na način da prijet</w:t>
      </w:r>
      <w:r>
        <w:t xml:space="preserve">nje budu jasno vidljive i prepoznatljive u prostoru. </w:t>
      </w:r>
    </w:p>
    <w:p w:rsidR="00A07D92" w:rsidRDefault="00495E63">
      <w:r>
        <w:t>Na kartama je potrebno prikazati sve obrađene prijetnje odnosno njihovu lokaciju, dosege, rasprostranjenost te ostale relevantne podatke koje nositelj izrade smatra potrebnim iskazati.</w:t>
      </w:r>
    </w:p>
    <w:p w:rsidR="00A07D92" w:rsidRDefault="00495E63">
      <w:r>
        <w:t xml:space="preserve">Prikaz se odnosi </w:t>
      </w:r>
      <w:r>
        <w:t>za rizike za koje je potrebno imati kartografski prikaz poput poplava ili tehničko - tehnoloških prijetnji, dok je za rizike poput potresa nepotrebno izrađivati kartografski prikaz prijetnji budući da se cijelo područje grada nalazi u istom stupnju ugrožen</w:t>
      </w:r>
      <w:r>
        <w:t>osti od potresa.</w:t>
      </w:r>
    </w:p>
    <w:p w:rsidR="00A07D92" w:rsidRDefault="00A07D92">
      <w:pPr>
        <w:rPr>
          <w:highlight w:val="yellow"/>
        </w:rPr>
      </w:pPr>
    </w:p>
    <w:p w:rsidR="00A07D92" w:rsidRDefault="00495E63">
      <w:pPr>
        <w:keepNext/>
        <w:jc w:val="left"/>
        <w:outlineLvl w:val="1"/>
        <w:rPr>
          <w:bCs/>
          <w:color w:val="54883D"/>
          <w:sz w:val="32"/>
        </w:rPr>
      </w:pPr>
      <w:bookmarkStart w:id="87" w:name="_Toc136522804"/>
      <w:bookmarkStart w:id="88" w:name="_Toc9596606"/>
      <w:bookmarkStart w:id="89" w:name="_Toc9253878"/>
      <w:bookmarkStart w:id="90" w:name="_Toc9253734"/>
      <w:r>
        <w:rPr>
          <w:bCs/>
          <w:color w:val="54883D"/>
          <w:sz w:val="32"/>
        </w:rPr>
        <w:t>3.4 Karte rizika</w:t>
      </w:r>
      <w:bookmarkEnd w:id="87"/>
      <w:bookmarkEnd w:id="88"/>
      <w:bookmarkEnd w:id="89"/>
      <w:bookmarkEnd w:id="90"/>
    </w:p>
    <w:p w:rsidR="00A07D92" w:rsidRDefault="00495E63">
      <w:r>
        <w:t>Karte rizika izrađuju se na razini naselja ukoliko je moguće, u protivnom se ne izrađuju.</w:t>
      </w:r>
    </w:p>
    <w:p w:rsidR="00A07D92" w:rsidRDefault="00495E63">
      <w:r>
        <w:t>Boje kojima se prikazuju rizici na karti moraju odgovarati bojama iz matrice za prikaz rizika.</w:t>
      </w:r>
    </w:p>
    <w:p w:rsidR="00A07D92" w:rsidRDefault="00495E63">
      <w:pPr>
        <w:rPr>
          <w:u w:val="single"/>
        </w:rPr>
      </w:pPr>
      <w:r>
        <w:rPr>
          <w:u w:val="single"/>
        </w:rPr>
        <w:t xml:space="preserve">Pri izradi </w:t>
      </w:r>
      <w:r>
        <w:rPr>
          <w:b/>
          <w:u w:val="single"/>
        </w:rPr>
        <w:t>karte posljedica</w:t>
      </w:r>
      <w:r>
        <w:rPr>
          <w:u w:val="single"/>
        </w:rPr>
        <w:t xml:space="preserve"> kod prik</w:t>
      </w:r>
      <w:r>
        <w:rPr>
          <w:u w:val="single"/>
        </w:rPr>
        <w:t>aza razine koristit će se slijedeće skale boja:</w:t>
      </w:r>
    </w:p>
    <w:p w:rsidR="00A07D92" w:rsidRDefault="00495E63">
      <w:r>
        <w:t>a) Neznatne posljedice – svijetlo plava,</w:t>
      </w:r>
    </w:p>
    <w:p w:rsidR="00A07D92" w:rsidRDefault="00495E63">
      <w:r>
        <w:t>b) Malene posljedice – svijetlo zelena,</w:t>
      </w:r>
    </w:p>
    <w:p w:rsidR="00A07D92" w:rsidRDefault="00495E63">
      <w:r>
        <w:t>c) Umjerene posljedice – žuta,</w:t>
      </w:r>
    </w:p>
    <w:p w:rsidR="00A07D92" w:rsidRDefault="00495E63">
      <w:r>
        <w:t>d) Značajne – narančasta i</w:t>
      </w:r>
    </w:p>
    <w:p w:rsidR="00A07D92" w:rsidRDefault="00495E63">
      <w:r>
        <w:t>e) Katastrofalne posljedice – crvena.</w:t>
      </w:r>
    </w:p>
    <w:p w:rsidR="00A07D92" w:rsidRDefault="00A07D92">
      <w:pPr>
        <w:rPr>
          <w:highlight w:val="yellow"/>
        </w:rPr>
      </w:pPr>
    </w:p>
    <w:p w:rsidR="00A07D92" w:rsidRDefault="00495E63">
      <w:pPr>
        <w:spacing w:before="0" w:after="200"/>
        <w:jc w:val="left"/>
        <w:rPr>
          <w:highlight w:val="yellow"/>
        </w:rPr>
      </w:pPr>
      <w:r>
        <w:br w:type="page"/>
      </w:r>
    </w:p>
    <w:p w:rsidR="00A07D92" w:rsidRDefault="00495E63">
      <w:pPr>
        <w:pStyle w:val="Naslov1"/>
        <w:numPr>
          <w:ilvl w:val="0"/>
          <w:numId w:val="2"/>
        </w:numPr>
      </w:pPr>
      <w:bookmarkStart w:id="91" w:name="_Toc136522805"/>
      <w:bookmarkStart w:id="92" w:name="_Toc9596607"/>
      <w:bookmarkStart w:id="93" w:name="_Toc496179674"/>
      <w:bookmarkStart w:id="94" w:name="_Toc480526488"/>
      <w:r>
        <w:lastRenderedPageBreak/>
        <w:t xml:space="preserve">Kriteriji za procjenu </w:t>
      </w:r>
      <w:r>
        <w:t>utjecaja prijetnji na kategorije društvene vrijednosti</w:t>
      </w:r>
      <w:bookmarkEnd w:id="91"/>
      <w:bookmarkEnd w:id="92"/>
      <w:bookmarkEnd w:id="93"/>
      <w:bookmarkEnd w:id="94"/>
    </w:p>
    <w:p w:rsidR="00A07D92" w:rsidRDefault="00495E63">
      <w:pPr>
        <w:spacing w:before="120" w:after="120"/>
      </w:pPr>
      <w:r>
        <w:t>Procjena rizika od velikih nesreća skup je procijenjenih relevantnih rizika izraženih u scenarijima koji su utemeljeni na prijetnjama koje mogu izazvati neželjene posljedice na promatranom području. Za</w:t>
      </w:r>
      <w:r>
        <w:t xml:space="preserve"> potrebe izrade Procjene rizika od velikih nesreća definirane su tri skupine posljedica po društvene vrijednosti:</w:t>
      </w:r>
    </w:p>
    <w:p w:rsidR="00A07D92" w:rsidRDefault="00495E63">
      <w:pPr>
        <w:pStyle w:val="Odlomakpopisa"/>
        <w:numPr>
          <w:ilvl w:val="0"/>
          <w:numId w:val="20"/>
        </w:numPr>
        <w:spacing w:line="276" w:lineRule="auto"/>
        <w:rPr>
          <w:sz w:val="22"/>
        </w:rPr>
      </w:pPr>
      <w:r>
        <w:rPr>
          <w:sz w:val="22"/>
        </w:rPr>
        <w:t>Život i zdravlje ljudi,</w:t>
      </w:r>
    </w:p>
    <w:p w:rsidR="00A07D92" w:rsidRDefault="00495E63">
      <w:pPr>
        <w:pStyle w:val="Odlomakpopisa"/>
        <w:numPr>
          <w:ilvl w:val="0"/>
          <w:numId w:val="20"/>
        </w:numPr>
        <w:spacing w:line="276" w:lineRule="auto"/>
        <w:rPr>
          <w:sz w:val="22"/>
        </w:rPr>
      </w:pPr>
      <w:r>
        <w:rPr>
          <w:sz w:val="22"/>
        </w:rPr>
        <w:t>Gospodarstvo i</w:t>
      </w:r>
      <w:r>
        <w:rPr>
          <w:sz w:val="22"/>
        </w:rPr>
        <w:tab/>
      </w:r>
    </w:p>
    <w:p w:rsidR="00A07D92" w:rsidRDefault="00495E63">
      <w:pPr>
        <w:pStyle w:val="Odlomakpopisa"/>
        <w:numPr>
          <w:ilvl w:val="0"/>
          <w:numId w:val="20"/>
        </w:numPr>
        <w:spacing w:line="276" w:lineRule="auto"/>
        <w:rPr>
          <w:sz w:val="22"/>
        </w:rPr>
      </w:pPr>
      <w:r>
        <w:rPr>
          <w:sz w:val="22"/>
        </w:rPr>
        <w:t>Društvena stabilnost i politika.</w:t>
      </w:r>
    </w:p>
    <w:p w:rsidR="00A07D92" w:rsidRDefault="00A07D92"/>
    <w:p w:rsidR="00A07D92" w:rsidRDefault="00495E63">
      <w:pPr>
        <w:pStyle w:val="Naslov2"/>
      </w:pPr>
      <w:bookmarkStart w:id="95" w:name="_Toc136522806"/>
      <w:bookmarkStart w:id="96" w:name="_Toc9596608"/>
      <w:bookmarkStart w:id="97" w:name="_Toc496179675"/>
      <w:bookmarkStart w:id="98" w:name="_Toc480526489"/>
      <w:r>
        <w:t>4.1 Život i zdravlje ljudi</w:t>
      </w:r>
      <w:bookmarkEnd w:id="95"/>
      <w:bookmarkEnd w:id="96"/>
      <w:bookmarkEnd w:id="97"/>
      <w:bookmarkEnd w:id="98"/>
    </w:p>
    <w:p w:rsidR="00A07D92" w:rsidRDefault="00495E63">
      <w:pPr>
        <w:spacing w:before="120" w:after="120"/>
      </w:pPr>
      <w:r>
        <w:t xml:space="preserve">Posljedice na život i zdravlje ljudi prikazuju se ukupnim brojem ljudi (dobiven jednostavnim zbrajanjem, bez </w:t>
      </w:r>
      <w:proofErr w:type="spellStart"/>
      <w:r>
        <w:t>ponderiranja</w:t>
      </w:r>
      <w:proofErr w:type="spellEnd"/>
      <w:r>
        <w:t>) za koje se procjenjuje kako mogu biti u sastavu nekog od procesa nastalih kao posljedica događaja opisanih scenarijem – poginuli, ozl</w:t>
      </w:r>
      <w:r>
        <w:t xml:space="preserve">ijeđeni, oboljeli, evakuirani, zbrinuti i sklonjeni u odnosu na ukupan broj stanovnika. </w:t>
      </w:r>
    </w:p>
    <w:p w:rsidR="00A07D92" w:rsidRDefault="00495E63">
      <w:pPr>
        <w:spacing w:before="120" w:after="120"/>
      </w:pPr>
      <w:r>
        <w:t xml:space="preserve">Posljedice se opisuju temeljem izravnog utjecaja na život, uzimajući u obzir i utjecaj na zdravlje opterećenošću sustava ili pojavom lošijih životnih uvjeta izazvanih </w:t>
      </w:r>
      <w:r>
        <w:t>neželjenim događajem.</w:t>
      </w:r>
    </w:p>
    <w:p w:rsidR="00A07D92" w:rsidRDefault="00A07D92">
      <w:pPr>
        <w:spacing w:before="0"/>
        <w:jc w:val="center"/>
        <w:rPr>
          <w:rFonts w:eastAsia="Calibri"/>
          <w:bCs/>
          <w:color w:val="54883D"/>
          <w:sz w:val="20"/>
          <w:szCs w:val="20"/>
        </w:rPr>
      </w:pPr>
    </w:p>
    <w:p w:rsidR="00A07D92" w:rsidRDefault="00495E63">
      <w:pPr>
        <w:spacing w:before="0"/>
        <w:jc w:val="center"/>
        <w:rPr>
          <w:rFonts w:eastAsia="Calibri"/>
          <w:bCs/>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11</w:t>
      </w:r>
      <w:r>
        <w:rPr>
          <w:rFonts w:eastAsia="Calibri"/>
          <w:bCs/>
          <w:sz w:val="20"/>
          <w:szCs w:val="20"/>
        </w:rPr>
        <w:fldChar w:fldCharType="end"/>
      </w:r>
      <w:r>
        <w:rPr>
          <w:rFonts w:eastAsia="Calibri"/>
          <w:bCs/>
          <w:color w:val="54883D"/>
          <w:sz w:val="20"/>
          <w:szCs w:val="20"/>
        </w:rPr>
        <w:t xml:space="preserve">. </w:t>
      </w:r>
      <w:r>
        <w:rPr>
          <w:color w:val="54883D"/>
          <w:sz w:val="20"/>
          <w:szCs w:val="20"/>
        </w:rPr>
        <w:t xml:space="preserve"> Život i zdravlje ljudi</w:t>
      </w:r>
    </w:p>
    <w:tbl>
      <w:tblPr>
        <w:tblStyle w:val="ivopisnatablicareetke6-isticanje31"/>
        <w:tblW w:w="6662" w:type="dxa"/>
        <w:jc w:val="center"/>
        <w:tblLook w:val="04A0" w:firstRow="1" w:lastRow="0" w:firstColumn="1" w:lastColumn="0" w:noHBand="0" w:noVBand="1"/>
      </w:tblPr>
      <w:tblGrid>
        <w:gridCol w:w="3117"/>
        <w:gridCol w:w="3545"/>
      </w:tblGrid>
      <w:tr w:rsidR="00A07D92" w:rsidTr="00A07D92">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rPr>
            </w:pPr>
            <w:r>
              <w:rPr>
                <w:color w:val="76923C" w:themeColor="accent3" w:themeShade="BF"/>
                <w:sz w:val="20"/>
              </w:rPr>
              <w:t>KATEGORIJA</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rPr>
            </w:pPr>
            <w:r>
              <w:rPr>
                <w:color w:val="76923C" w:themeColor="accent3" w:themeShade="BF"/>
                <w:sz w:val="20"/>
              </w:rPr>
              <w:t>%</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rPr>
            </w:pPr>
            <w:r>
              <w:rPr>
                <w:b w:val="0"/>
                <w:color w:val="76923C" w:themeColor="accent3" w:themeShade="BF"/>
                <w:sz w:val="20"/>
              </w:rPr>
              <w:t>1</w:t>
            </w:r>
          </w:p>
        </w:tc>
        <w:tc>
          <w:tcPr>
            <w:tcW w:w="35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&lt; 0,001</w:t>
            </w:r>
            <w:r>
              <w:rPr>
                <w:rStyle w:val="Sidrofusnote"/>
                <w:color w:val="76923C" w:themeColor="accent3" w:themeShade="BF"/>
                <w:sz w:val="20"/>
              </w:rPr>
              <w:footnoteReference w:id="8"/>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rPr>
            </w:pPr>
            <w:r>
              <w:rPr>
                <w:b w:val="0"/>
                <w:color w:val="76923C" w:themeColor="accent3" w:themeShade="BF"/>
                <w:sz w:val="20"/>
              </w:rPr>
              <w:t>2</w:t>
            </w:r>
          </w:p>
        </w:tc>
        <w:tc>
          <w:tcPr>
            <w:tcW w:w="35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0,001 - 0,0046</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rPr>
            </w:pPr>
            <w:r>
              <w:rPr>
                <w:b w:val="0"/>
                <w:color w:val="76923C" w:themeColor="accent3" w:themeShade="BF"/>
                <w:sz w:val="20"/>
              </w:rPr>
              <w:t>3</w:t>
            </w:r>
          </w:p>
        </w:tc>
        <w:tc>
          <w:tcPr>
            <w:tcW w:w="35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0,0047 - 0,011</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rPr>
            </w:pPr>
            <w:r>
              <w:rPr>
                <w:b w:val="0"/>
                <w:color w:val="76923C" w:themeColor="accent3" w:themeShade="BF"/>
                <w:sz w:val="20"/>
              </w:rPr>
              <w:t>4</w:t>
            </w:r>
          </w:p>
        </w:tc>
        <w:tc>
          <w:tcPr>
            <w:tcW w:w="35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0,012 - 0,035</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rPr>
            </w:pPr>
            <w:r>
              <w:rPr>
                <w:b w:val="0"/>
                <w:color w:val="76923C" w:themeColor="accent3" w:themeShade="BF"/>
                <w:sz w:val="20"/>
              </w:rPr>
              <w:t>5</w:t>
            </w:r>
          </w:p>
        </w:tc>
        <w:tc>
          <w:tcPr>
            <w:tcW w:w="35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0,036 &gt;</w:t>
            </w:r>
          </w:p>
        </w:tc>
      </w:tr>
    </w:tbl>
    <w:p w:rsidR="00A07D92" w:rsidRDefault="00A07D92">
      <w:pPr>
        <w:rPr>
          <w:highlight w:val="yellow"/>
        </w:rPr>
      </w:pPr>
    </w:p>
    <w:p w:rsidR="00A07D92" w:rsidRDefault="00495E63">
      <w:pPr>
        <w:pStyle w:val="Naslov2"/>
      </w:pPr>
      <w:bookmarkStart w:id="99" w:name="_Toc136522807"/>
      <w:bookmarkStart w:id="100" w:name="_Toc9596609"/>
      <w:bookmarkStart w:id="101" w:name="_Toc496179676"/>
      <w:bookmarkStart w:id="102" w:name="_Toc480526490"/>
      <w:r>
        <w:t>4.2 Gospodarstvo</w:t>
      </w:r>
      <w:bookmarkEnd w:id="99"/>
      <w:bookmarkEnd w:id="100"/>
      <w:bookmarkEnd w:id="101"/>
      <w:bookmarkEnd w:id="102"/>
    </w:p>
    <w:p w:rsidR="00A07D92" w:rsidRDefault="00495E63">
      <w:r>
        <w:t xml:space="preserve">Posljedice na gospodarstvo odnose se na ukupnu materijalnu i </w:t>
      </w:r>
      <w:r>
        <w:t>financijsku štetu u gospodarstvu. Šteta se prikazuje u odnosu na proračun Grada Malog Lošinja. Navedena materijalna šteta ne odnosi se na materijalnu štetu koja treba biti iskazana u kategoriji Društvena stabilnost i politika.</w:t>
      </w:r>
    </w:p>
    <w:p w:rsidR="00A07D92" w:rsidRDefault="00A07D92"/>
    <w:p w:rsidR="00A07D92" w:rsidRDefault="00A07D92"/>
    <w:p w:rsidR="00A07D92" w:rsidRDefault="00A07D92"/>
    <w:p w:rsidR="00A07D92" w:rsidRDefault="00495E63">
      <w:pPr>
        <w:spacing w:before="0"/>
        <w:jc w:val="center"/>
        <w:rPr>
          <w:rFonts w:eastAsia="Calibri"/>
          <w:bCs/>
          <w:color w:val="54883D"/>
          <w:sz w:val="20"/>
          <w:szCs w:val="20"/>
        </w:rPr>
      </w:pPr>
      <w:r>
        <w:rPr>
          <w:rFonts w:eastAsia="Calibri"/>
          <w:bCs/>
          <w:color w:val="54883D"/>
          <w:sz w:val="20"/>
          <w:szCs w:val="20"/>
        </w:rPr>
        <w:lastRenderedPageBreak/>
        <w:t xml:space="preserve">Tablica </w:t>
      </w:r>
      <w:r>
        <w:rPr>
          <w:rFonts w:eastAsia="Calibri"/>
          <w:bCs/>
          <w:color w:val="54883D"/>
          <w:sz w:val="20"/>
          <w:szCs w:val="20"/>
        </w:rPr>
        <w:fldChar w:fldCharType="begin"/>
      </w:r>
      <w:r>
        <w:rPr>
          <w:rFonts w:eastAsia="Calibri"/>
          <w:bCs/>
          <w:sz w:val="20"/>
          <w:szCs w:val="20"/>
        </w:rPr>
        <w:instrText xml:space="preserve">SEQ Tabela \* </w:instrText>
      </w:r>
      <w:r>
        <w:rPr>
          <w:rFonts w:eastAsia="Calibri"/>
          <w:bCs/>
          <w:sz w:val="20"/>
          <w:szCs w:val="20"/>
        </w:rPr>
        <w:instrText>ARABIC</w:instrText>
      </w:r>
      <w:r>
        <w:rPr>
          <w:rFonts w:eastAsia="Calibri"/>
          <w:bCs/>
          <w:sz w:val="20"/>
          <w:szCs w:val="20"/>
        </w:rPr>
        <w:fldChar w:fldCharType="separate"/>
      </w:r>
      <w:r>
        <w:rPr>
          <w:rFonts w:eastAsia="Calibri"/>
          <w:bCs/>
          <w:sz w:val="20"/>
          <w:szCs w:val="20"/>
        </w:rPr>
        <w:t>12</w:t>
      </w:r>
      <w:r>
        <w:rPr>
          <w:rFonts w:eastAsia="Calibri"/>
          <w:bCs/>
          <w:sz w:val="20"/>
          <w:szCs w:val="20"/>
        </w:rPr>
        <w:fldChar w:fldCharType="end"/>
      </w:r>
      <w:r>
        <w:rPr>
          <w:rFonts w:eastAsia="Calibri"/>
          <w:bCs/>
          <w:color w:val="54883D"/>
          <w:sz w:val="20"/>
          <w:szCs w:val="20"/>
        </w:rPr>
        <w:t>.</w:t>
      </w:r>
      <w:r>
        <w:rPr>
          <w:color w:val="54883D"/>
          <w:sz w:val="20"/>
          <w:szCs w:val="20"/>
        </w:rPr>
        <w:t>Gospodarstvo</w:t>
      </w:r>
    </w:p>
    <w:tbl>
      <w:tblPr>
        <w:tblStyle w:val="ivopisnatablicareetke6-isticanje31"/>
        <w:tblW w:w="6662" w:type="dxa"/>
        <w:jc w:val="center"/>
        <w:tblLook w:val="04A0" w:firstRow="1" w:lastRow="0" w:firstColumn="1" w:lastColumn="0" w:noHBand="0" w:noVBand="1"/>
      </w:tblPr>
      <w:tblGrid>
        <w:gridCol w:w="3117"/>
        <w:gridCol w:w="3545"/>
      </w:tblGrid>
      <w:tr w:rsidR="00A07D92" w:rsidTr="00A07D92">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KATEGORIJA</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rPr>
            </w:pPr>
            <w:r>
              <w:rPr>
                <w:b w:val="0"/>
                <w:color w:val="76923C" w:themeColor="accent3" w:themeShade="BF"/>
                <w:sz w:val="20"/>
              </w:rPr>
              <w:t>1</w:t>
            </w:r>
          </w:p>
        </w:tc>
        <w:tc>
          <w:tcPr>
            <w:tcW w:w="35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0,5 - 1</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rPr>
            </w:pPr>
            <w:r>
              <w:rPr>
                <w:b w:val="0"/>
                <w:color w:val="76923C" w:themeColor="accent3" w:themeShade="BF"/>
                <w:sz w:val="20"/>
              </w:rPr>
              <w:t>2</w:t>
            </w:r>
          </w:p>
        </w:tc>
        <w:tc>
          <w:tcPr>
            <w:tcW w:w="35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1 - 5</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rPr>
            </w:pPr>
            <w:r>
              <w:rPr>
                <w:b w:val="0"/>
                <w:color w:val="76923C" w:themeColor="accent3" w:themeShade="BF"/>
                <w:sz w:val="20"/>
              </w:rPr>
              <w:t>3</w:t>
            </w:r>
          </w:p>
        </w:tc>
        <w:tc>
          <w:tcPr>
            <w:tcW w:w="35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5  - 15</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rPr>
            </w:pPr>
            <w:r>
              <w:rPr>
                <w:b w:val="0"/>
                <w:color w:val="76923C" w:themeColor="accent3" w:themeShade="BF"/>
                <w:sz w:val="20"/>
              </w:rPr>
              <w:t>4</w:t>
            </w:r>
          </w:p>
        </w:tc>
        <w:tc>
          <w:tcPr>
            <w:tcW w:w="35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15 - 25</w:t>
            </w:r>
          </w:p>
        </w:tc>
      </w:tr>
      <w:tr w:rsidR="00A07D92" w:rsidTr="00A07D92">
        <w:trPr>
          <w:cnfStyle w:val="000000100000" w:firstRow="0" w:lastRow="0" w:firstColumn="0" w:lastColumn="0" w:oddVBand="0" w:evenVBand="0" w:oddHBand="1"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rPr>
            </w:pPr>
            <w:r>
              <w:rPr>
                <w:b w:val="0"/>
                <w:color w:val="76923C" w:themeColor="accent3" w:themeShade="BF"/>
                <w:sz w:val="20"/>
              </w:rPr>
              <w:t>5</w:t>
            </w:r>
          </w:p>
        </w:tc>
        <w:tc>
          <w:tcPr>
            <w:tcW w:w="35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&gt; 25</w:t>
            </w:r>
          </w:p>
        </w:tc>
      </w:tr>
    </w:tbl>
    <w:p w:rsidR="00A07D92" w:rsidRDefault="00A07D92">
      <w:pPr>
        <w:pStyle w:val="Opisslike"/>
      </w:pPr>
    </w:p>
    <w:p w:rsidR="00A07D92" w:rsidRDefault="00495E63">
      <w:pPr>
        <w:pStyle w:val="Opisslike"/>
      </w:pPr>
      <w:r>
        <w:t xml:space="preserve">Tablica </w:t>
      </w:r>
      <w:r>
        <w:fldChar w:fldCharType="begin"/>
      </w:r>
      <w:r>
        <w:instrText>SEQ Tabela \* ARABIC</w:instrText>
      </w:r>
      <w:r>
        <w:fldChar w:fldCharType="separate"/>
      </w:r>
      <w:r>
        <w:t>13</w:t>
      </w:r>
      <w:r>
        <w:fldChar w:fldCharType="end"/>
      </w:r>
      <w:r>
        <w:t>. Prijedlog šteta u gospodarstvu</w:t>
      </w:r>
    </w:p>
    <w:tbl>
      <w:tblPr>
        <w:tblStyle w:val="ivopisnatablicareetke6-isticanje31"/>
        <w:tblW w:w="9038" w:type="dxa"/>
        <w:jc w:val="center"/>
        <w:tblLook w:val="04A0" w:firstRow="1" w:lastRow="0" w:firstColumn="1" w:lastColumn="0" w:noHBand="0" w:noVBand="1"/>
      </w:tblPr>
      <w:tblGrid>
        <w:gridCol w:w="1829"/>
        <w:gridCol w:w="7209"/>
      </w:tblGrid>
      <w:tr w:rsidR="00A07D92" w:rsidTr="00A07D92">
        <w:trPr>
          <w:cnfStyle w:val="100000000000" w:firstRow="1" w:lastRow="0" w:firstColumn="0" w:lastColumn="0" w:oddVBand="0" w:evenVBand="0" w:oddHBand="0"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VRSTA ŠTETE</w:t>
            </w: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POKAZATELJ</w:t>
            </w:r>
          </w:p>
        </w:tc>
      </w:tr>
      <w:tr w:rsidR="00A07D92" w:rsidTr="00A07D92">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29"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1. Direktne štete</w:t>
            </w: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1.1. Šteta na pokretnoj i nepokretnoj imovini</w:t>
            </w:r>
          </w:p>
        </w:tc>
      </w:tr>
      <w:tr w:rsidR="00A07D92" w:rsidTr="00A07D92">
        <w:trPr>
          <w:trHeight w:val="476"/>
          <w:jc w:val="center"/>
        </w:trPr>
        <w:tc>
          <w:tcPr>
            <w:cnfStyle w:val="001000000000" w:firstRow="0" w:lastRow="0" w:firstColumn="1" w:lastColumn="0" w:oddVBand="0" w:evenVBand="0" w:oddHBand="0" w:evenHBand="0" w:firstRowFirstColumn="0" w:firstRowLastColumn="0" w:lastRowFirstColumn="0" w:lastRowLastColumn="0"/>
            <w:tcW w:w="1829"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76923C" w:themeColor="accent3" w:themeShade="BF"/>
                <w:sz w:val="20"/>
              </w:rPr>
            </w:pP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1.2. Šteta</w:t>
            </w:r>
            <w:r>
              <w:rPr>
                <w:color w:val="76923C" w:themeColor="accent3" w:themeShade="BF"/>
                <w:sz w:val="20"/>
              </w:rPr>
              <w:t xml:space="preserve"> na sredstvima za proizvodnju i rad</w:t>
            </w:r>
          </w:p>
        </w:tc>
      </w:tr>
      <w:tr w:rsidR="00A07D92" w:rsidTr="00A07D92">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829"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76923C" w:themeColor="accent3" w:themeShade="BF"/>
                <w:sz w:val="20"/>
              </w:rPr>
            </w:pP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1.3. Štete na javnim zgradama ustanovama koje ne spadaju pod druge kriterije</w:t>
            </w:r>
          </w:p>
        </w:tc>
      </w:tr>
      <w:tr w:rsidR="00A07D92" w:rsidTr="00A07D92">
        <w:trPr>
          <w:trHeight w:val="476"/>
          <w:jc w:val="center"/>
        </w:trPr>
        <w:tc>
          <w:tcPr>
            <w:cnfStyle w:val="001000000000" w:firstRow="0" w:lastRow="0" w:firstColumn="1" w:lastColumn="0" w:oddVBand="0" w:evenVBand="0" w:oddHBand="0" w:evenHBand="0" w:firstRowFirstColumn="0" w:firstRowLastColumn="0" w:lastRowFirstColumn="0" w:lastRowLastColumn="0"/>
            <w:tcW w:w="1829"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76923C" w:themeColor="accent3" w:themeShade="BF"/>
                <w:sz w:val="20"/>
              </w:rPr>
            </w:pP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1.3. Trošak sanacije, oporavka, asanacije te srodni troškovi</w:t>
            </w:r>
          </w:p>
        </w:tc>
      </w:tr>
      <w:tr w:rsidR="00A07D92" w:rsidTr="00A07D92">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29"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76923C" w:themeColor="accent3" w:themeShade="BF"/>
                <w:sz w:val="20"/>
              </w:rPr>
            </w:pP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1.4. Troškovi spašavanja, liječenja te slični troškovi</w:t>
            </w:r>
          </w:p>
        </w:tc>
      </w:tr>
      <w:tr w:rsidR="00A07D92" w:rsidTr="00A07D92">
        <w:trPr>
          <w:trHeight w:val="476"/>
          <w:jc w:val="center"/>
        </w:trPr>
        <w:tc>
          <w:tcPr>
            <w:cnfStyle w:val="001000000000" w:firstRow="0" w:lastRow="0" w:firstColumn="1" w:lastColumn="0" w:oddVBand="0" w:evenVBand="0" w:oddHBand="0" w:evenHBand="0" w:firstRowFirstColumn="0" w:firstRowLastColumn="0" w:lastRowFirstColumn="0" w:lastRowLastColumn="0"/>
            <w:tcW w:w="1829"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76923C" w:themeColor="accent3" w:themeShade="BF"/>
                <w:sz w:val="20"/>
              </w:rPr>
            </w:pP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1.5. Gubitak dobiti</w:t>
            </w:r>
          </w:p>
        </w:tc>
      </w:tr>
      <w:tr w:rsidR="00A07D92" w:rsidTr="00A07D92">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829"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76923C" w:themeColor="accent3" w:themeShade="BF"/>
                <w:sz w:val="20"/>
              </w:rPr>
            </w:pP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1.6. Gubitak repromaterijala</w:t>
            </w:r>
          </w:p>
        </w:tc>
      </w:tr>
      <w:tr w:rsidR="00A07D92" w:rsidTr="00A07D92">
        <w:trPr>
          <w:trHeight w:val="448"/>
          <w:jc w:val="center"/>
        </w:trPr>
        <w:tc>
          <w:tcPr>
            <w:cnfStyle w:val="001000000000" w:firstRow="0" w:lastRow="0" w:firstColumn="1" w:lastColumn="0" w:oddVBand="0" w:evenVBand="0" w:oddHBand="0" w:evenHBand="0" w:firstRowFirstColumn="0" w:firstRowLastColumn="0" w:lastRowFirstColumn="0" w:lastRowLastColumn="0"/>
            <w:tcW w:w="1829"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2. Indirektne štete</w:t>
            </w: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2.1. Izostanak radnika s posla (potrebno je procijeniti trošak izostanka s posla)</w:t>
            </w:r>
          </w:p>
        </w:tc>
      </w:tr>
      <w:tr w:rsidR="00A07D92" w:rsidTr="00A07D92">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29"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line="240" w:lineRule="auto"/>
              <w:rPr>
                <w:color w:val="76923C" w:themeColor="accent3" w:themeShade="BF"/>
                <w:sz w:val="20"/>
              </w:rPr>
            </w:pP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2.2. Gubitak poslova i prestanak poslovanja (potrebno je procijeniti trošak)</w:t>
            </w:r>
          </w:p>
        </w:tc>
      </w:tr>
      <w:tr w:rsidR="00A07D92" w:rsidTr="00A07D92">
        <w:trPr>
          <w:trHeight w:val="502"/>
          <w:jc w:val="center"/>
        </w:trPr>
        <w:tc>
          <w:tcPr>
            <w:cnfStyle w:val="001000000000" w:firstRow="0" w:lastRow="0" w:firstColumn="1" w:lastColumn="0" w:oddVBand="0" w:evenVBand="0" w:oddHBand="0" w:evenHBand="0" w:firstRowFirstColumn="0" w:firstRowLastColumn="0" w:lastRowFirstColumn="0" w:lastRowLastColumn="0"/>
            <w:tcW w:w="1829"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line="240" w:lineRule="auto"/>
              <w:rPr>
                <w:color w:val="76923C" w:themeColor="accent3" w:themeShade="BF"/>
                <w:sz w:val="20"/>
              </w:rPr>
            </w:pP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 xml:space="preserve">2.3. Gubitak prestiža i renomea </w:t>
            </w:r>
            <w:r>
              <w:rPr>
                <w:color w:val="76923C" w:themeColor="accent3" w:themeShade="BF"/>
                <w:sz w:val="20"/>
              </w:rPr>
              <w:t>(potrebno je procijeniti trošak)</w:t>
            </w:r>
          </w:p>
        </w:tc>
      </w:tr>
      <w:tr w:rsidR="00A07D92" w:rsidTr="00A07D92">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29"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line="240" w:lineRule="auto"/>
              <w:rPr>
                <w:color w:val="76923C" w:themeColor="accent3" w:themeShade="BF"/>
                <w:sz w:val="20"/>
              </w:rPr>
            </w:pP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2.4. Nedostatak radne snage (potrebno je procijeniti trošak)</w:t>
            </w:r>
          </w:p>
        </w:tc>
      </w:tr>
      <w:tr w:rsidR="00A07D92" w:rsidTr="00A07D92">
        <w:trPr>
          <w:trHeight w:val="476"/>
          <w:jc w:val="center"/>
        </w:trPr>
        <w:tc>
          <w:tcPr>
            <w:cnfStyle w:val="001000000000" w:firstRow="0" w:lastRow="0" w:firstColumn="1" w:lastColumn="0" w:oddVBand="0" w:evenVBand="0" w:oddHBand="0" w:evenHBand="0" w:firstRowFirstColumn="0" w:firstRowLastColumn="0" w:lastRowFirstColumn="0" w:lastRowLastColumn="0"/>
            <w:tcW w:w="1829"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line="240" w:lineRule="auto"/>
              <w:rPr>
                <w:color w:val="76923C" w:themeColor="accent3" w:themeShade="BF"/>
                <w:sz w:val="20"/>
              </w:rPr>
            </w:pP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2.5. Pad prihoda</w:t>
            </w:r>
          </w:p>
        </w:tc>
      </w:tr>
      <w:tr w:rsidR="00A07D92" w:rsidTr="00A07D92">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29"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line="240" w:lineRule="auto"/>
              <w:rPr>
                <w:color w:val="76923C" w:themeColor="accent3" w:themeShade="BF"/>
                <w:sz w:val="20"/>
              </w:rPr>
            </w:pPr>
          </w:p>
        </w:tc>
        <w:tc>
          <w:tcPr>
            <w:tcW w:w="72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2.6. Pad proračuna</w:t>
            </w:r>
          </w:p>
        </w:tc>
      </w:tr>
    </w:tbl>
    <w:p w:rsidR="00A07D92" w:rsidRDefault="00A07D92">
      <w:pPr>
        <w:spacing w:before="120" w:after="0"/>
      </w:pPr>
    </w:p>
    <w:p w:rsidR="00A07D92" w:rsidRDefault="00495E63">
      <w:pPr>
        <w:spacing w:before="120" w:after="120"/>
      </w:pPr>
      <w:r>
        <w:t xml:space="preserve">Vrijednost pokretnina i nekretnina određuju se na temelju podataka dobivenih iz Državnog zavoda za statistiku. </w:t>
      </w:r>
    </w:p>
    <w:p w:rsidR="00A07D92" w:rsidRDefault="00A07D92">
      <w:pPr>
        <w:spacing w:before="0" w:after="0"/>
        <w:rPr>
          <w:highlight w:val="yellow"/>
        </w:rPr>
      </w:pPr>
    </w:p>
    <w:p w:rsidR="00A07D92" w:rsidRDefault="00A07D92">
      <w:pPr>
        <w:spacing w:before="0" w:after="0"/>
        <w:rPr>
          <w:highlight w:val="yellow"/>
        </w:rPr>
      </w:pPr>
    </w:p>
    <w:p w:rsidR="00A07D92" w:rsidRDefault="00A07D92">
      <w:pPr>
        <w:spacing w:before="0" w:after="0"/>
        <w:rPr>
          <w:highlight w:val="yellow"/>
        </w:rPr>
      </w:pPr>
    </w:p>
    <w:p w:rsidR="00A07D92" w:rsidRDefault="00A07D92">
      <w:pPr>
        <w:spacing w:before="0" w:after="0"/>
        <w:rPr>
          <w:highlight w:val="yellow"/>
        </w:rPr>
      </w:pPr>
    </w:p>
    <w:p w:rsidR="00A07D92" w:rsidRDefault="00A07D92">
      <w:pPr>
        <w:spacing w:before="0" w:after="0"/>
        <w:rPr>
          <w:highlight w:val="yellow"/>
        </w:rPr>
      </w:pPr>
    </w:p>
    <w:p w:rsidR="00A07D92" w:rsidRDefault="00495E63">
      <w:pPr>
        <w:pStyle w:val="Naslov2"/>
      </w:pPr>
      <w:bookmarkStart w:id="103" w:name="_Toc136522808"/>
      <w:bookmarkStart w:id="104" w:name="_Toc9596610"/>
      <w:bookmarkStart w:id="105" w:name="_Toc496179677"/>
      <w:bookmarkStart w:id="106" w:name="_Toc480526491"/>
      <w:r>
        <w:lastRenderedPageBreak/>
        <w:t>4.3 Društvena stabilnost i politika</w:t>
      </w:r>
      <w:bookmarkEnd w:id="103"/>
      <w:bookmarkEnd w:id="104"/>
      <w:bookmarkEnd w:id="105"/>
      <w:bookmarkEnd w:id="106"/>
    </w:p>
    <w:p w:rsidR="00A07D92" w:rsidRDefault="00495E63">
      <w:r>
        <w:t>Posljedice za Društvenu stabilnost i politiku također se iskazuju u materijalnoj šteti i to za štetu na kritičnoj infrastrukturi i šteti na ustanovama/građevinama od javnog društvenog značaja.</w:t>
      </w:r>
    </w:p>
    <w:p w:rsidR="00A07D92" w:rsidRDefault="00495E63">
      <w:r>
        <w:t>Ukoliko je ukupna materijal</w:t>
      </w:r>
      <w:r>
        <w:t>na šteta na kritičnoj infrastrukturi od značaja za funkcioniranje Primorsko-goranske županije i grada Malog Lošinja u cjelini, tada se prikazuje u odnosu na Županijski proračun.</w:t>
      </w:r>
    </w:p>
    <w:p w:rsidR="00A07D92" w:rsidRDefault="00495E63">
      <w:pPr>
        <w:spacing w:before="0"/>
        <w:jc w:val="center"/>
        <w:rPr>
          <w:rFonts w:eastAsia="Calibri"/>
          <w:bCs/>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14</w:t>
      </w:r>
      <w:r>
        <w:rPr>
          <w:rFonts w:eastAsia="Calibri"/>
          <w:bCs/>
          <w:sz w:val="20"/>
          <w:szCs w:val="20"/>
        </w:rPr>
        <w:fldChar w:fldCharType="end"/>
      </w:r>
      <w:r>
        <w:rPr>
          <w:rFonts w:eastAsia="Calibri"/>
          <w:bCs/>
          <w:color w:val="54883D"/>
          <w:sz w:val="20"/>
          <w:szCs w:val="20"/>
        </w:rPr>
        <w:t xml:space="preserve">. </w:t>
      </w:r>
      <w:r>
        <w:rPr>
          <w:color w:val="54883D"/>
          <w:sz w:val="20"/>
          <w:szCs w:val="20"/>
        </w:rPr>
        <w:t>Društvena stabilnost - Kritična infrastrukt</w:t>
      </w:r>
      <w:r>
        <w:rPr>
          <w:color w:val="54883D"/>
          <w:sz w:val="20"/>
          <w:szCs w:val="20"/>
        </w:rPr>
        <w:t>ura (KI)</w:t>
      </w:r>
    </w:p>
    <w:tbl>
      <w:tblPr>
        <w:tblStyle w:val="ivopisnatablicareetke6-isticanje31"/>
        <w:tblW w:w="6662" w:type="dxa"/>
        <w:jc w:val="center"/>
        <w:tblLook w:val="04A0" w:firstRow="1" w:lastRow="0" w:firstColumn="1" w:lastColumn="0" w:noHBand="0" w:noVBand="1"/>
      </w:tblPr>
      <w:tblGrid>
        <w:gridCol w:w="3117"/>
        <w:gridCol w:w="3545"/>
      </w:tblGrid>
      <w:tr w:rsidR="00A07D92" w:rsidTr="00A07D92">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KATEGORIJA</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w:t>
            </w:r>
          </w:p>
        </w:tc>
      </w:tr>
      <w:tr w:rsidR="00A07D92" w:rsidTr="00A07D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1</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0,5 - 1</w:t>
            </w:r>
          </w:p>
        </w:tc>
      </w:tr>
      <w:tr w:rsidR="00A07D92" w:rsidTr="00A07D92">
        <w:trPr>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2</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1 - 5</w:t>
            </w:r>
          </w:p>
        </w:tc>
      </w:tr>
      <w:tr w:rsidR="00A07D92" w:rsidTr="00A07D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3</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5  - 15</w:t>
            </w:r>
          </w:p>
        </w:tc>
      </w:tr>
      <w:tr w:rsidR="00A07D92" w:rsidTr="00A07D92">
        <w:trPr>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4</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15 - 25</w:t>
            </w:r>
          </w:p>
        </w:tc>
      </w:tr>
      <w:tr w:rsidR="00A07D92" w:rsidTr="00A07D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5</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&gt; 25</w:t>
            </w:r>
          </w:p>
        </w:tc>
      </w:tr>
    </w:tbl>
    <w:p w:rsidR="00A07D92" w:rsidRDefault="00A07D92"/>
    <w:p w:rsidR="00A07D92" w:rsidRDefault="00495E63">
      <w:r>
        <w:t xml:space="preserve">U kriteriju ukupne materijalne štete na građevinama od javnog društvenog značaja šteta se prikazuje u odnosu na proračun JLP(R)S. Građevinama javnog društvenog značaja smatraju se: </w:t>
      </w:r>
      <w:r>
        <w:t>sportski objekti, objekti kulturne baštine, sakralni objekti, objekti javnih ustanova i sl.</w:t>
      </w:r>
    </w:p>
    <w:p w:rsidR="00A07D92" w:rsidRDefault="00A07D92">
      <w:pPr>
        <w:spacing w:before="0"/>
        <w:jc w:val="center"/>
        <w:rPr>
          <w:rFonts w:eastAsia="Calibri"/>
          <w:bCs/>
          <w:color w:val="54883D"/>
          <w:sz w:val="20"/>
          <w:szCs w:val="20"/>
        </w:rPr>
      </w:pPr>
    </w:p>
    <w:p w:rsidR="00A07D92" w:rsidRDefault="00495E63">
      <w:pPr>
        <w:spacing w:before="0"/>
        <w:jc w:val="center"/>
        <w:rPr>
          <w:rFonts w:eastAsia="Calibri"/>
          <w:bCs/>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15</w:t>
      </w:r>
      <w:r>
        <w:rPr>
          <w:rFonts w:eastAsia="Calibri"/>
          <w:bCs/>
          <w:sz w:val="20"/>
          <w:szCs w:val="20"/>
        </w:rPr>
        <w:fldChar w:fldCharType="end"/>
      </w:r>
      <w:r>
        <w:rPr>
          <w:rFonts w:eastAsia="Calibri"/>
          <w:bCs/>
          <w:color w:val="54883D"/>
          <w:sz w:val="20"/>
          <w:szCs w:val="20"/>
        </w:rPr>
        <w:t xml:space="preserve">.  </w:t>
      </w:r>
      <w:r>
        <w:rPr>
          <w:color w:val="54883D"/>
          <w:sz w:val="20"/>
          <w:szCs w:val="20"/>
        </w:rPr>
        <w:t>Društvena stabilnost – Ustanove/građevine javnog društvenog značaja</w:t>
      </w:r>
    </w:p>
    <w:tbl>
      <w:tblPr>
        <w:tblStyle w:val="ivopisnatablicareetke6-isticanje31"/>
        <w:tblW w:w="6662" w:type="dxa"/>
        <w:jc w:val="center"/>
        <w:tblLook w:val="04A0" w:firstRow="1" w:lastRow="0" w:firstColumn="1" w:lastColumn="0" w:noHBand="0" w:noVBand="1"/>
      </w:tblPr>
      <w:tblGrid>
        <w:gridCol w:w="3117"/>
        <w:gridCol w:w="3545"/>
      </w:tblGrid>
      <w:tr w:rsidR="00A07D92" w:rsidTr="00A07D92">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KATEGORIJA</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w:t>
            </w:r>
          </w:p>
        </w:tc>
      </w:tr>
      <w:tr w:rsidR="00A07D92" w:rsidTr="00A07D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1</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0,5 - 1</w:t>
            </w:r>
          </w:p>
        </w:tc>
      </w:tr>
      <w:tr w:rsidR="00A07D92" w:rsidTr="00A07D92">
        <w:trPr>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2</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1 - 5</w:t>
            </w:r>
          </w:p>
        </w:tc>
      </w:tr>
      <w:tr w:rsidR="00A07D92" w:rsidTr="00A07D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3</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5  - 15</w:t>
            </w:r>
          </w:p>
        </w:tc>
      </w:tr>
      <w:tr w:rsidR="00A07D92" w:rsidTr="00A07D92">
        <w:trPr>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4</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15 - 25</w:t>
            </w:r>
          </w:p>
        </w:tc>
      </w:tr>
      <w:tr w:rsidR="00A07D92" w:rsidTr="00A07D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color w:val="76923C" w:themeColor="accent3" w:themeShade="BF"/>
                <w:sz w:val="20"/>
              </w:rPr>
              <w:t>5</w:t>
            </w:r>
          </w:p>
        </w:tc>
        <w:tc>
          <w:tcPr>
            <w:tcW w:w="35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&gt;</w:t>
            </w:r>
            <w:r>
              <w:rPr>
                <w:color w:val="76923C" w:themeColor="accent3" w:themeShade="BF"/>
                <w:sz w:val="20"/>
              </w:rPr>
              <w:t xml:space="preserve"> 25</w:t>
            </w:r>
          </w:p>
        </w:tc>
      </w:tr>
    </w:tbl>
    <w:p w:rsidR="00A07D92" w:rsidRDefault="00A07D92"/>
    <w:p w:rsidR="00A07D92" w:rsidRDefault="00495E63">
      <w:r>
        <w:t>Posljedice za društvenu stabilnost i politiku iskazuju se zbirno.</w:t>
      </w:r>
    </w:p>
    <w:p w:rsidR="00A07D92" w:rsidRDefault="00495E63">
      <w:r>
        <w:t>Kategorija Društvene stabilnosti i politike dobiva se srednjom vrijednosti kategorija Kritične infrastrukture (KI) i Ustanova/građevina javnog i društvenog značaja.</w:t>
      </w:r>
    </w:p>
    <w:p w:rsidR="00A07D92" w:rsidRDefault="00495E63">
      <w:r>
        <w:rPr>
          <w:noProof/>
          <w:lang w:eastAsia="hr-HR"/>
        </w:rPr>
        <mc:AlternateContent>
          <mc:Choice Requires="wps">
            <w:drawing>
              <wp:anchor distT="0" distB="0" distL="0" distR="0" simplePos="0" relativeHeight="5" behindDoc="0" locked="0" layoutInCell="1" allowOverlap="1" wp14:anchorId="5F065DD1">
                <wp:simplePos x="0" y="0"/>
                <wp:positionH relativeFrom="margin">
                  <wp:align>right</wp:align>
                </wp:positionH>
                <wp:positionV relativeFrom="paragraph">
                  <wp:posOffset>166370</wp:posOffset>
                </wp:positionV>
                <wp:extent cx="3752850" cy="871855"/>
                <wp:effectExtent l="0" t="0" r="635" b="5080"/>
                <wp:wrapNone/>
                <wp:docPr id="30" name="Text Box 8"/>
                <wp:cNvGraphicFramePr/>
                <a:graphic xmlns:a="http://schemas.openxmlformats.org/drawingml/2006/main">
                  <a:graphicData uri="http://schemas.microsoft.com/office/word/2010/wordprocessingShape">
                    <wps:wsp>
                      <wps:cNvSpPr/>
                      <wps:spPr>
                        <a:xfrm>
                          <a:off x="0" y="0"/>
                          <a:ext cx="3752280" cy="871200"/>
                        </a:xfrm>
                        <a:prstGeom prst="rect">
                          <a:avLst/>
                        </a:prstGeom>
                        <a:solidFill>
                          <a:schemeClr val="lt1"/>
                        </a:solidFill>
                        <a:ln w="6480">
                          <a:noFill/>
                        </a:ln>
                      </wps:spPr>
                      <wps:style>
                        <a:lnRef idx="0">
                          <a:schemeClr val="accent1"/>
                        </a:lnRef>
                        <a:fillRef idx="0">
                          <a:schemeClr val="accent1"/>
                        </a:fillRef>
                        <a:effectRef idx="0">
                          <a:schemeClr val="accent1"/>
                        </a:effectRef>
                        <a:fontRef idx="minor"/>
                      </wps:style>
                      <wps:txbx>
                        <w:txbxContent>
                          <w:tbl>
                            <w:tblPr>
                              <w:tblStyle w:val="Reetkatablice"/>
                              <w:tblW w:w="5670" w:type="dxa"/>
                              <w:tblLook w:val="04A0" w:firstRow="1" w:lastRow="0" w:firstColumn="1" w:lastColumn="0" w:noHBand="0" w:noVBand="1"/>
                            </w:tblPr>
                            <w:tblGrid>
                              <w:gridCol w:w="5670"/>
                            </w:tblGrid>
                            <w:tr w:rsidR="00A07D92">
                              <w:tc>
                                <w:tcPr>
                                  <w:tcW w:w="5670" w:type="dxa"/>
                                  <w:tcBorders>
                                    <w:top w:val="nil"/>
                                    <w:left w:val="nil"/>
                                    <w:right w:val="single" w:sz="4" w:space="0" w:color="54883D"/>
                                  </w:tcBorders>
                                  <w:shd w:val="clear" w:color="auto" w:fill="auto"/>
                                </w:tcPr>
                                <w:p w:rsidR="00A07D92" w:rsidRDefault="00495E63">
                                  <w:pPr>
                                    <w:pStyle w:val="Sadrajokvira"/>
                                    <w:spacing w:before="0" w:after="0" w:line="240" w:lineRule="auto"/>
                                    <w:rPr>
                                      <w:szCs w:val="20"/>
                                    </w:rPr>
                                  </w:pPr>
                                  <w:r>
                                    <w:rPr>
                                      <w:rFonts w:ascii="Times New Roman" w:hAnsi="Times New Roman" w:cs="Times New Roman"/>
                                      <w:szCs w:val="20"/>
                                      <w:lang w:eastAsia="hr-HR"/>
                                    </w:rPr>
                                    <w:t xml:space="preserve">KI + Građevine </w:t>
                                  </w:r>
                                  <w:r>
                                    <w:rPr>
                                      <w:rFonts w:ascii="Times New Roman" w:hAnsi="Times New Roman" w:cs="Times New Roman"/>
                                      <w:szCs w:val="20"/>
                                      <w:lang w:eastAsia="hr-HR"/>
                                    </w:rPr>
                                    <w:t>(Ustanove) javnog društvenog značaja</w:t>
                                  </w:r>
                                </w:p>
                              </w:tc>
                            </w:tr>
                            <w:tr w:rsidR="00A07D92">
                              <w:tc>
                                <w:tcPr>
                                  <w:tcW w:w="5670" w:type="dxa"/>
                                  <w:tcBorders>
                                    <w:left w:val="nil"/>
                                    <w:bottom w:val="nil"/>
                                    <w:right w:val="single" w:sz="4" w:space="0" w:color="54883D"/>
                                  </w:tcBorders>
                                  <w:shd w:val="clear" w:color="auto" w:fill="auto"/>
                                </w:tcPr>
                                <w:p w:rsidR="00A07D92" w:rsidRDefault="00495E63">
                                  <w:pPr>
                                    <w:pStyle w:val="Sadrajokvira"/>
                                    <w:spacing w:before="0" w:after="0" w:line="240" w:lineRule="auto"/>
                                    <w:jc w:val="center"/>
                                    <w:rPr>
                                      <w:szCs w:val="20"/>
                                    </w:rPr>
                                  </w:pPr>
                                  <w:r>
                                    <w:rPr>
                                      <w:rFonts w:ascii="Times New Roman" w:hAnsi="Times New Roman" w:cs="Times New Roman"/>
                                      <w:szCs w:val="20"/>
                                      <w:lang w:eastAsia="hr-HR"/>
                                    </w:rPr>
                                    <w:t>2</w:t>
                                  </w:r>
                                </w:p>
                              </w:tc>
                            </w:tr>
                          </w:tbl>
                          <w:p w:rsidR="00A07D92" w:rsidRDefault="00A07D92">
                            <w:pPr>
                              <w:pStyle w:val="Sadrajokvira"/>
                              <w:rPr>
                                <w:color w:val="000000"/>
                              </w:rPr>
                            </w:pPr>
                          </w:p>
                        </w:txbxContent>
                      </wps:txbx>
                      <wps:bodyPr>
                        <a:prstTxWarp prst="textNoShape">
                          <a:avLst/>
                        </a:prstTxWarp>
                        <a:noAutofit/>
                      </wps:bodyPr>
                    </wps:wsp>
                  </a:graphicData>
                </a:graphic>
              </wp:anchor>
            </w:drawing>
          </mc:Choice>
          <mc:Fallback>
            <w:pict>
              <v:rect id="Text Box 8" o:spid="_x0000_s1029" style="position:absolute;left:0;text-align:left;margin-left:244.3pt;margin-top:13.1pt;width:295.5pt;height:68.65pt;z-index:5;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" fillcolor="white [3201]" stroked="f" strokeweight=".18mm">
                <v:textbox>
                  <w:txbxContent>
                    <w:tbl>
                      <w:tblPr>
                        <w:tblStyle w:val="Reetkatablice"/>
                        <w:tblW w:w="5670" w:type="dxa"/>
                        <w:tblLook w:val="04A0" w:firstRow="1" w:lastRow="0" w:firstColumn="1" w:lastColumn="0" w:noHBand="0" w:noVBand="1"/>
                      </w:tblPr>
                      <w:tblGrid>
                        <w:gridCol w:w="5670"/>
                      </w:tblGrid>
                      <w:tr w:rsidR="00A07D92">
                        <w:tc>
                          <w:tcPr>
                            <w:tcW w:w="5670" w:type="dxa"/>
                            <w:tcBorders>
                              <w:top w:val="nil"/>
                              <w:left w:val="nil"/>
                              <w:right w:val="single" w:sz="4" w:space="0" w:color="54883D"/>
                            </w:tcBorders>
                            <w:shd w:val="clear" w:color="auto" w:fill="auto"/>
                          </w:tcPr>
                          <w:p w:rsidR="00A07D92" w:rsidRDefault="00495E63">
                            <w:pPr>
                              <w:pStyle w:val="Sadrajokvira"/>
                              <w:spacing w:before="0" w:after="0" w:line="240" w:lineRule="auto"/>
                              <w:rPr>
                                <w:szCs w:val="20"/>
                              </w:rPr>
                            </w:pPr>
                            <w:r>
                              <w:rPr>
                                <w:rFonts w:ascii="Times New Roman" w:hAnsi="Times New Roman" w:cs="Times New Roman"/>
                                <w:szCs w:val="20"/>
                                <w:lang w:eastAsia="hr-HR"/>
                              </w:rPr>
                              <w:t xml:space="preserve">KI + Građevine </w:t>
                            </w:r>
                            <w:r>
                              <w:rPr>
                                <w:rFonts w:ascii="Times New Roman" w:hAnsi="Times New Roman" w:cs="Times New Roman"/>
                                <w:szCs w:val="20"/>
                                <w:lang w:eastAsia="hr-HR"/>
                              </w:rPr>
                              <w:t>(Ustanove) javnog društvenog značaja</w:t>
                            </w:r>
                          </w:p>
                        </w:tc>
                      </w:tr>
                      <w:tr w:rsidR="00A07D92">
                        <w:tc>
                          <w:tcPr>
                            <w:tcW w:w="5670" w:type="dxa"/>
                            <w:tcBorders>
                              <w:left w:val="nil"/>
                              <w:bottom w:val="nil"/>
                              <w:right w:val="single" w:sz="4" w:space="0" w:color="54883D"/>
                            </w:tcBorders>
                            <w:shd w:val="clear" w:color="auto" w:fill="auto"/>
                          </w:tcPr>
                          <w:p w:rsidR="00A07D92" w:rsidRDefault="00495E63">
                            <w:pPr>
                              <w:pStyle w:val="Sadrajokvira"/>
                              <w:spacing w:before="0" w:after="0" w:line="240" w:lineRule="auto"/>
                              <w:jc w:val="center"/>
                              <w:rPr>
                                <w:szCs w:val="20"/>
                              </w:rPr>
                            </w:pPr>
                            <w:r>
                              <w:rPr>
                                <w:rFonts w:ascii="Times New Roman" w:hAnsi="Times New Roman" w:cs="Times New Roman"/>
                                <w:szCs w:val="20"/>
                                <w:lang w:eastAsia="hr-HR"/>
                              </w:rPr>
                              <w:t>2</w:t>
                            </w:r>
                          </w:p>
                        </w:tc>
                      </w:tr>
                    </w:tbl>
                    <w:p w:rsidR="00A07D92" w:rsidRDefault="00A07D92">
                      <w:pPr>
                        <w:pStyle w:val="Sadrajokvira"/>
                        <w:rPr>
                          <w:color w:val="000000"/>
                        </w:rPr>
                      </w:pPr>
                    </w:p>
                  </w:txbxContent>
                </v:textbox>
                <w10:wrap anchorx="margin"/>
              </v:rect>
            </w:pict>
          </mc:Fallback>
        </mc:AlternateContent>
      </w:r>
    </w:p>
    <w:p w:rsidR="00A07D92" w:rsidRDefault="00495E63">
      <w:r>
        <w:t>Društvena stabilnost i politika =</w:t>
      </w:r>
    </w:p>
    <w:p w:rsidR="00A07D92" w:rsidRDefault="00495E63">
      <w:pPr>
        <w:spacing w:before="0" w:after="200"/>
        <w:jc w:val="left"/>
      </w:pPr>
      <w:r>
        <w:br w:type="page"/>
      </w:r>
    </w:p>
    <w:p w:rsidR="00A07D92" w:rsidRDefault="00495E63">
      <w:pPr>
        <w:pStyle w:val="Naslov1"/>
        <w:numPr>
          <w:ilvl w:val="0"/>
          <w:numId w:val="2"/>
        </w:numPr>
      </w:pPr>
      <w:bookmarkStart w:id="107" w:name="_Toc136522809"/>
      <w:bookmarkStart w:id="108" w:name="_Toc9596611"/>
      <w:bookmarkStart w:id="109" w:name="_Toc496179678"/>
      <w:r>
        <w:lastRenderedPageBreak/>
        <w:t>Vjerojatnost</w:t>
      </w:r>
      <w:bookmarkEnd w:id="107"/>
      <w:bookmarkEnd w:id="108"/>
      <w:bookmarkEnd w:id="109"/>
    </w:p>
    <w:p w:rsidR="00A07D92" w:rsidRDefault="00495E63">
      <w:r>
        <w:t xml:space="preserve">Za svaki scenarij izračunava se vjerojatnost njegove pojave (realizacije). Korištenje statističkih pokazatelja iz prošlosti omogućava se kvantitativni izračun </w:t>
      </w:r>
      <w:r>
        <w:t>rizika u svrhu osiguranja značajnosti i usporedivosti same procjene. Vjerojatnost se mora najvećim dijelom temeljiti na kvantitativnom izračunu gdje god je moguće te kvalitativno u što manjoj mjeri. Razlog je smanjivanje razine subjektivnosti analize tj. n</w:t>
      </w:r>
      <w:r>
        <w:t>epouzdanosti što onemogućuje usporedivost s drugim istovrsnim analizama i valjanost dobivenih rezultata.</w:t>
      </w:r>
    </w:p>
    <w:p w:rsidR="00A07D92" w:rsidRDefault="00495E63">
      <w:pPr>
        <w:spacing w:before="120" w:after="120"/>
        <w:rPr>
          <w:szCs w:val="22"/>
        </w:rPr>
      </w:pPr>
      <w:r>
        <w:rPr>
          <w:szCs w:val="22"/>
        </w:rPr>
        <w:t>Određivanje analize:</w:t>
      </w:r>
    </w:p>
    <w:p w:rsidR="00A07D92" w:rsidRDefault="00495E63">
      <w:pPr>
        <w:pStyle w:val="Odlomakpopisa"/>
        <w:numPr>
          <w:ilvl w:val="0"/>
          <w:numId w:val="20"/>
        </w:numPr>
        <w:spacing w:line="276" w:lineRule="auto"/>
        <w:rPr>
          <w:sz w:val="22"/>
        </w:rPr>
      </w:pPr>
      <w:r>
        <w:rPr>
          <w:sz w:val="22"/>
        </w:rPr>
        <w:t>procjena mora biti bazirana na znanstvenim (statističkim) podacima</w:t>
      </w:r>
    </w:p>
    <w:p w:rsidR="00A07D92" w:rsidRDefault="00495E63">
      <w:pPr>
        <w:pStyle w:val="Odlomakpopisa"/>
        <w:numPr>
          <w:ilvl w:val="0"/>
          <w:numId w:val="20"/>
        </w:numPr>
        <w:spacing w:line="276" w:lineRule="auto"/>
        <w:rPr>
          <w:sz w:val="22"/>
        </w:rPr>
      </w:pPr>
      <w:r>
        <w:rPr>
          <w:sz w:val="22"/>
        </w:rPr>
        <w:t>izračun je jasno strukturiran i transparentan</w:t>
      </w:r>
    </w:p>
    <w:p w:rsidR="00A07D92" w:rsidRDefault="00495E63">
      <w:pPr>
        <w:pStyle w:val="Odlomakpopisa"/>
        <w:numPr>
          <w:ilvl w:val="0"/>
          <w:numId w:val="20"/>
        </w:numPr>
        <w:spacing w:line="276" w:lineRule="auto"/>
        <w:rPr>
          <w:sz w:val="22"/>
        </w:rPr>
      </w:pPr>
      <w:r>
        <w:rPr>
          <w:sz w:val="22"/>
        </w:rPr>
        <w:t>procjena je metod</w:t>
      </w:r>
      <w:r>
        <w:rPr>
          <w:sz w:val="22"/>
        </w:rPr>
        <w:t>ološki dosljedna i može biti ponovljena sa istim ili vrlo sličnim rezultatima od druge radne skupine koristeći iste podatke i metodologiju</w:t>
      </w:r>
    </w:p>
    <w:p w:rsidR="00A07D92" w:rsidRDefault="00495E63">
      <w:pPr>
        <w:pStyle w:val="Odlomakpopisa"/>
        <w:numPr>
          <w:ilvl w:val="0"/>
          <w:numId w:val="20"/>
        </w:numPr>
        <w:spacing w:line="276" w:lineRule="auto"/>
        <w:rPr>
          <w:sz w:val="22"/>
        </w:rPr>
      </w:pPr>
      <w:r>
        <w:rPr>
          <w:sz w:val="22"/>
        </w:rPr>
        <w:t>ishod koji će podržavati određivanje rizika</w:t>
      </w:r>
    </w:p>
    <w:p w:rsidR="00A07D92" w:rsidRDefault="00495E63">
      <w:pPr>
        <w:pStyle w:val="Odlomakpopisa"/>
        <w:numPr>
          <w:ilvl w:val="0"/>
          <w:numId w:val="20"/>
        </w:numPr>
        <w:spacing w:line="276" w:lineRule="auto"/>
        <w:rPr>
          <w:sz w:val="22"/>
        </w:rPr>
      </w:pPr>
      <w:r>
        <w:rPr>
          <w:sz w:val="22"/>
        </w:rPr>
        <w:t>ishod koji će omogućiti daljnju regulaciju rizika</w:t>
      </w:r>
    </w:p>
    <w:p w:rsidR="00A07D92" w:rsidRDefault="00495E63">
      <w:pPr>
        <w:pStyle w:val="Odlomakpopisa"/>
        <w:numPr>
          <w:ilvl w:val="0"/>
          <w:numId w:val="20"/>
        </w:numPr>
        <w:spacing w:line="276" w:lineRule="auto"/>
        <w:rPr>
          <w:sz w:val="22"/>
        </w:rPr>
      </w:pPr>
      <w:r>
        <w:rPr>
          <w:sz w:val="22"/>
        </w:rPr>
        <w:t>ishod koji će omogućiti</w:t>
      </w:r>
      <w:r>
        <w:rPr>
          <w:sz w:val="22"/>
        </w:rPr>
        <w:t xml:space="preserve"> usporedivost rezultata s drugim JLP(R)S</w:t>
      </w:r>
    </w:p>
    <w:p w:rsidR="00A07D92" w:rsidRDefault="00A07D92">
      <w:pPr>
        <w:spacing w:before="0" w:after="0"/>
        <w:rPr>
          <w:highlight w:val="yellow"/>
        </w:rPr>
      </w:pPr>
    </w:p>
    <w:p w:rsidR="00A07D92" w:rsidRDefault="00495E63">
      <w:pPr>
        <w:rPr>
          <w:szCs w:val="22"/>
        </w:rPr>
      </w:pPr>
      <w:r>
        <w:t>Za svaki identificirani rizik posljedice i vjerojatnost/frekvencija podijeljeni su u 5 kategorija.</w:t>
      </w:r>
    </w:p>
    <w:p w:rsidR="00A07D92" w:rsidRDefault="00A07D92">
      <w:pPr>
        <w:spacing w:before="0"/>
        <w:jc w:val="center"/>
        <w:rPr>
          <w:rFonts w:eastAsia="Calibri"/>
          <w:bCs/>
          <w:color w:val="54883D"/>
          <w:sz w:val="20"/>
          <w:szCs w:val="20"/>
        </w:rPr>
      </w:pPr>
    </w:p>
    <w:p w:rsidR="00A07D92" w:rsidRDefault="00495E63">
      <w:pPr>
        <w:spacing w:before="0"/>
        <w:jc w:val="center"/>
        <w:rPr>
          <w:rFonts w:eastAsia="Calibri"/>
          <w:bCs/>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16</w:t>
      </w:r>
      <w:r>
        <w:rPr>
          <w:rFonts w:eastAsia="Calibri"/>
          <w:bCs/>
          <w:sz w:val="20"/>
          <w:szCs w:val="20"/>
        </w:rPr>
        <w:fldChar w:fldCharType="end"/>
      </w:r>
      <w:r>
        <w:rPr>
          <w:rFonts w:eastAsia="Calibri"/>
          <w:bCs/>
          <w:color w:val="54883D"/>
          <w:sz w:val="20"/>
          <w:szCs w:val="20"/>
        </w:rPr>
        <w:t xml:space="preserve">.  </w:t>
      </w:r>
      <w:r>
        <w:rPr>
          <w:color w:val="54883D"/>
          <w:sz w:val="20"/>
          <w:szCs w:val="20"/>
        </w:rPr>
        <w:t>Vjerojatnost / frekvencija</w:t>
      </w:r>
    </w:p>
    <w:tbl>
      <w:tblPr>
        <w:tblStyle w:val="ivopisnatablicareetke6-isticanje31"/>
        <w:tblW w:w="9209" w:type="dxa"/>
        <w:tblLook w:val="04A0" w:firstRow="1" w:lastRow="0" w:firstColumn="1" w:lastColumn="0" w:noHBand="0" w:noVBand="1"/>
      </w:tblPr>
      <w:tblGrid>
        <w:gridCol w:w="1528"/>
        <w:gridCol w:w="1500"/>
        <w:gridCol w:w="1694"/>
        <w:gridCol w:w="1828"/>
        <w:gridCol w:w="2659"/>
      </w:tblGrid>
      <w:tr w:rsidR="00A07D92" w:rsidTr="00A07D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7"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sz w:val="20"/>
              </w:rPr>
            </w:pPr>
            <w:r>
              <w:rPr>
                <w:color w:val="76923C" w:themeColor="accent3" w:themeShade="BF"/>
                <w:sz w:val="20"/>
              </w:rPr>
              <w:t>KATEGORIJA</w:t>
            </w:r>
          </w:p>
        </w:tc>
        <w:tc>
          <w:tcPr>
            <w:tcW w:w="1500"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POSLJEDICE</w:t>
            </w:r>
          </w:p>
        </w:tc>
        <w:tc>
          <w:tcPr>
            <w:tcW w:w="6182" w:type="dxa"/>
            <w:gridSpan w:val="3"/>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VJEROJATNOST / FREKVENCIJA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7"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120" w:after="120" w:line="240" w:lineRule="auto"/>
              <w:jc w:val="center"/>
              <w:rPr>
                <w:b w:val="0"/>
                <w:color w:val="76923C" w:themeColor="accent3" w:themeShade="BF"/>
                <w:sz w:val="20"/>
              </w:rPr>
            </w:pPr>
          </w:p>
        </w:tc>
        <w:tc>
          <w:tcPr>
            <w:tcW w:w="1500"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16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
                <w:sz w:val="20"/>
              </w:rPr>
            </w:pPr>
            <w:r>
              <w:rPr>
                <w:b/>
                <w:color w:val="76923C" w:themeColor="accent3" w:themeShade="BF"/>
                <w:sz w:val="20"/>
              </w:rPr>
              <w:t>KVALITATIVNO</w:t>
            </w:r>
          </w:p>
        </w:tc>
        <w:tc>
          <w:tcPr>
            <w:tcW w:w="18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
                <w:sz w:val="20"/>
              </w:rPr>
            </w:pPr>
            <w:r>
              <w:rPr>
                <w:b/>
                <w:color w:val="76923C" w:themeColor="accent3" w:themeShade="BF"/>
                <w:sz w:val="20"/>
              </w:rPr>
              <w:t>VJEROJATNOST</w:t>
            </w:r>
          </w:p>
        </w:tc>
        <w:tc>
          <w:tcPr>
            <w:tcW w:w="2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b/>
                <w:sz w:val="20"/>
              </w:rPr>
            </w:pPr>
            <w:r>
              <w:rPr>
                <w:b/>
                <w:color w:val="76923C" w:themeColor="accent3" w:themeShade="BF"/>
                <w:sz w:val="20"/>
              </w:rPr>
              <w:t>FREKVENCIJA</w:t>
            </w:r>
          </w:p>
        </w:tc>
      </w:tr>
      <w:tr w:rsidR="00A07D92" w:rsidTr="00A07D92">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rPr>
                <w:sz w:val="20"/>
              </w:rPr>
            </w:pPr>
            <w:r>
              <w:rPr>
                <w:color w:val="76923C" w:themeColor="accent3" w:themeShade="BF"/>
                <w:sz w:val="20"/>
              </w:rPr>
              <w:t>1</w:t>
            </w:r>
          </w:p>
        </w:tc>
        <w:tc>
          <w:tcPr>
            <w:tcW w:w="150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Neznatne</w:t>
            </w:r>
          </w:p>
        </w:tc>
        <w:tc>
          <w:tcPr>
            <w:tcW w:w="16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Iznimno mala</w:t>
            </w:r>
          </w:p>
        </w:tc>
        <w:tc>
          <w:tcPr>
            <w:tcW w:w="18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&lt;1%</w:t>
            </w:r>
          </w:p>
        </w:tc>
        <w:tc>
          <w:tcPr>
            <w:tcW w:w="2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 događaj u 100 godina i rjeđe</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rPr>
                <w:sz w:val="20"/>
              </w:rPr>
            </w:pPr>
            <w:r>
              <w:rPr>
                <w:color w:val="76923C" w:themeColor="accent3" w:themeShade="BF"/>
                <w:sz w:val="20"/>
              </w:rPr>
              <w:t>2</w:t>
            </w:r>
          </w:p>
        </w:tc>
        <w:tc>
          <w:tcPr>
            <w:tcW w:w="150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Malene</w:t>
            </w:r>
          </w:p>
        </w:tc>
        <w:tc>
          <w:tcPr>
            <w:tcW w:w="16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Mala</w:t>
            </w:r>
          </w:p>
        </w:tc>
        <w:tc>
          <w:tcPr>
            <w:tcW w:w="18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1-5%</w:t>
            </w:r>
          </w:p>
        </w:tc>
        <w:tc>
          <w:tcPr>
            <w:tcW w:w="2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1 događaj u 20 do 100 godina</w:t>
            </w:r>
          </w:p>
        </w:tc>
      </w:tr>
      <w:tr w:rsidR="00A07D92" w:rsidTr="00A07D92">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rPr>
                <w:sz w:val="20"/>
              </w:rPr>
            </w:pPr>
            <w:r>
              <w:rPr>
                <w:color w:val="76923C" w:themeColor="accent3" w:themeShade="BF"/>
                <w:sz w:val="20"/>
              </w:rPr>
              <w:t>3</w:t>
            </w:r>
          </w:p>
        </w:tc>
        <w:tc>
          <w:tcPr>
            <w:tcW w:w="150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Umjerene</w:t>
            </w:r>
          </w:p>
        </w:tc>
        <w:tc>
          <w:tcPr>
            <w:tcW w:w="16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Umjerena</w:t>
            </w:r>
          </w:p>
        </w:tc>
        <w:tc>
          <w:tcPr>
            <w:tcW w:w="18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5-50%</w:t>
            </w:r>
          </w:p>
        </w:tc>
        <w:tc>
          <w:tcPr>
            <w:tcW w:w="2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 događaj u 2 do 20 godina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rPr>
                <w:sz w:val="20"/>
              </w:rPr>
            </w:pPr>
            <w:r>
              <w:rPr>
                <w:color w:val="76923C" w:themeColor="accent3" w:themeShade="BF"/>
                <w:sz w:val="20"/>
              </w:rPr>
              <w:t>4</w:t>
            </w:r>
          </w:p>
        </w:tc>
        <w:tc>
          <w:tcPr>
            <w:tcW w:w="150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Značajne</w:t>
            </w:r>
          </w:p>
        </w:tc>
        <w:tc>
          <w:tcPr>
            <w:tcW w:w="16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Velika</w:t>
            </w:r>
          </w:p>
        </w:tc>
        <w:tc>
          <w:tcPr>
            <w:tcW w:w="18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51-98%</w:t>
            </w:r>
          </w:p>
        </w:tc>
        <w:tc>
          <w:tcPr>
            <w:tcW w:w="2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1 događaj u 1 do 2 godine</w:t>
            </w:r>
          </w:p>
        </w:tc>
      </w:tr>
      <w:tr w:rsidR="00A07D92" w:rsidTr="00A07D92">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rPr>
                <w:sz w:val="20"/>
              </w:rPr>
            </w:pPr>
            <w:r>
              <w:rPr>
                <w:color w:val="76923C" w:themeColor="accent3" w:themeShade="BF"/>
                <w:sz w:val="20"/>
              </w:rPr>
              <w:t>5</w:t>
            </w:r>
          </w:p>
        </w:tc>
        <w:tc>
          <w:tcPr>
            <w:tcW w:w="150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Katastrofalne</w:t>
            </w:r>
          </w:p>
        </w:tc>
        <w:tc>
          <w:tcPr>
            <w:tcW w:w="16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Iznimno velika</w:t>
            </w:r>
          </w:p>
        </w:tc>
        <w:tc>
          <w:tcPr>
            <w:tcW w:w="18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&gt;98%</w:t>
            </w:r>
          </w:p>
        </w:tc>
        <w:tc>
          <w:tcPr>
            <w:tcW w:w="2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1 događaj godišnje ili češće</w:t>
            </w:r>
          </w:p>
        </w:tc>
      </w:tr>
    </w:tbl>
    <w:p w:rsidR="00A07D92" w:rsidRDefault="00A07D92"/>
    <w:p w:rsidR="00A07D92" w:rsidRDefault="00A07D92"/>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495E63">
      <w:pPr>
        <w:pStyle w:val="Naslov1"/>
        <w:numPr>
          <w:ilvl w:val="0"/>
          <w:numId w:val="2"/>
        </w:numPr>
      </w:pPr>
      <w:bookmarkStart w:id="110" w:name="_Toc136522810"/>
      <w:bookmarkStart w:id="111" w:name="_Toc9596612"/>
      <w:bookmarkStart w:id="112" w:name="_Toc496179679"/>
      <w:r>
        <w:rPr>
          <w:rStyle w:val="Naslov1Char"/>
          <w:b/>
        </w:rPr>
        <w:lastRenderedPageBreak/>
        <w:t>Scenariji</w:t>
      </w:r>
      <w:bookmarkEnd w:id="110"/>
      <w:bookmarkEnd w:id="111"/>
      <w:bookmarkEnd w:id="112"/>
    </w:p>
    <w:p w:rsidR="00A07D92" w:rsidRDefault="00495E63">
      <w:r>
        <w:t xml:space="preserve">Procjena rizika </w:t>
      </w:r>
      <w:r>
        <w:rPr>
          <w:color w:val="auto"/>
        </w:rPr>
        <w:t>od velikih nesreća temelji se na scenarijima za svaki pojedini rizik. Za svaki identificirani rizik potrebno je izraditi odgovarajući scenarij kojim će se opisati identificirana prijetnja, njen nastanak i posljedice, kako bi se na osnovu ovog mogle planira</w:t>
      </w:r>
      <w:r>
        <w:rPr>
          <w:color w:val="auto"/>
        </w:rPr>
        <w:t xml:space="preserve">ti preventivne mjere, educirati stanovništvo, </w:t>
      </w:r>
      <w:r>
        <w:t>odnosno pripremati eventualni odgovor na veliku nesreću.</w:t>
      </w:r>
    </w:p>
    <w:p w:rsidR="00A07D92" w:rsidRDefault="00A07D92">
      <w:pPr>
        <w:spacing w:before="0" w:after="0"/>
        <w:rPr>
          <w:highlight w:val="yellow"/>
        </w:rPr>
      </w:pPr>
    </w:p>
    <w:p w:rsidR="00A07D92" w:rsidRDefault="00495E63">
      <w:pPr>
        <w:pStyle w:val="Naslov2"/>
        <w:rPr>
          <w:rFonts w:eastAsiaTheme="majorEastAsia"/>
        </w:rPr>
      </w:pPr>
      <w:bookmarkStart w:id="113" w:name="_Toc136522811"/>
      <w:bookmarkStart w:id="114" w:name="_Toc9596633"/>
      <w:bookmarkStart w:id="115" w:name="_Toc496856095"/>
      <w:r>
        <w:rPr>
          <w:rFonts w:eastAsiaTheme="majorEastAsia"/>
        </w:rPr>
        <w:t>6.1 Potres</w:t>
      </w:r>
      <w:bookmarkEnd w:id="113"/>
      <w:bookmarkEnd w:id="114"/>
      <w:bookmarkEnd w:id="115"/>
    </w:p>
    <w:p w:rsidR="00A07D92" w:rsidRDefault="00495E63">
      <w:pPr>
        <w:pStyle w:val="Naslov3"/>
      </w:pPr>
      <w:bookmarkStart w:id="116" w:name="_Toc136522812"/>
      <w:bookmarkStart w:id="117" w:name="_Toc9596634"/>
      <w:bookmarkStart w:id="118" w:name="_Toc496856096"/>
      <w:r>
        <w:t>6.1.1 Naziv scenarija</w:t>
      </w:r>
      <w:bookmarkEnd w:id="116"/>
      <w:bookmarkEnd w:id="117"/>
      <w:bookmarkEnd w:id="118"/>
    </w:p>
    <w:tbl>
      <w:tblPr>
        <w:tblStyle w:val="ivopisnatablicareetke6-isticanje31"/>
        <w:tblW w:w="9060" w:type="dxa"/>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Naziv scenarija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b w:val="0"/>
              </w:rPr>
            </w:pPr>
            <w:r>
              <w:rPr>
                <w:b w:val="0"/>
                <w:color w:val="76923C" w:themeColor="accent3" w:themeShade="BF"/>
              </w:rPr>
              <w:t>Podrhtavanje tla na području Grada Malog Lošinja usred turističke sezone uzrokovano potresom jačine VI</w:t>
            </w:r>
            <w:r>
              <w:rPr>
                <w:b w:val="0"/>
                <w:color w:val="76923C" w:themeColor="accent3" w:themeShade="BF"/>
                <w:vertAlign w:val="superscript"/>
              </w:rPr>
              <w:t>o</w:t>
            </w:r>
            <w:r>
              <w:rPr>
                <w:b w:val="0"/>
                <w:color w:val="76923C" w:themeColor="accent3" w:themeShade="BF"/>
              </w:rPr>
              <w:t xml:space="preserve"> MCS ljestvice</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Grupa rizika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b w:val="0"/>
              </w:rPr>
            </w:pPr>
            <w:r>
              <w:rPr>
                <w:b w:val="0"/>
                <w:color w:val="76923C" w:themeColor="accent3" w:themeShade="BF"/>
              </w:rPr>
              <w:t>Potres</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Rizik</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b w:val="0"/>
              </w:rPr>
            </w:pPr>
            <w:r>
              <w:rPr>
                <w:b w:val="0"/>
                <w:color w:val="76923C" w:themeColor="accent3" w:themeShade="BF"/>
              </w:rPr>
              <w:t xml:space="preserve">Potres </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Radna skupina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Grada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bCs w:val="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w:t>
            </w:r>
            <w:r>
              <w:rPr>
                <w:b w:val="0"/>
                <w:bCs w:val="0"/>
                <w:color w:val="76923C" w:themeColor="accent3" w:themeShade="BF"/>
              </w:rPr>
              <w:t>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A07D92"/>
    <w:p w:rsidR="00A07D92" w:rsidRDefault="00495E63">
      <w:pPr>
        <w:pStyle w:val="Naslov3"/>
      </w:pPr>
      <w:bookmarkStart w:id="119" w:name="_Toc136522813"/>
      <w:r>
        <w:t>6.1.2 Uvod</w:t>
      </w:r>
      <w:bookmarkEnd w:id="119"/>
    </w:p>
    <w:p w:rsidR="00A07D92" w:rsidRDefault="00495E63">
      <w:r>
        <w:t>Potresi su tipična katastrofa s brzim izbijanjem, događaju se u bilo koje doba i izbijaju bez upozorenja. Potres je endogeni proces do kojeg dolazi uslij</w:t>
      </w:r>
      <w:r>
        <w:t>ed pomicanja tektonskih ploča a posljedica je podrhtavanje Zemljine kore zbog oslobađanja velike količine energije. To je prirodna nepogoda uzrokovana prirodnim događajem koji je vjerojatno najveći uzrok stradavanja ljudi i uništenja materijalnih dobara. K</w:t>
      </w:r>
      <w:r>
        <w:t>atastrofe uzrokovane potresima karakterizira brz nastanak, a događaju se stalno i bez prethodnog upozorenja.</w:t>
      </w:r>
    </w:p>
    <w:p w:rsidR="00A07D92" w:rsidRDefault="00495E63">
      <w:pPr>
        <w:rPr>
          <w:szCs w:val="22"/>
        </w:rPr>
      </w:pPr>
      <w:r>
        <w:rPr>
          <w:szCs w:val="22"/>
        </w:rPr>
        <w:t>Budući da potrese nije moguće spriječiti, provođenje mjera za ublažavanje posljedica potresa i pripremljenost društvene zajednice u slučaju njegove</w:t>
      </w:r>
      <w:r>
        <w:rPr>
          <w:szCs w:val="22"/>
        </w:rPr>
        <w:t xml:space="preserve"> pojave od iznimne su važnosti.</w:t>
      </w:r>
    </w:p>
    <w:p w:rsidR="00A07D92" w:rsidRDefault="00A07D92"/>
    <w:p w:rsidR="00A07D92" w:rsidRDefault="00495E63">
      <w:pPr>
        <w:pStyle w:val="Naslov3"/>
      </w:pPr>
      <w:bookmarkStart w:id="120" w:name="_Toc136522814"/>
      <w:bookmarkStart w:id="121" w:name="_Toc9596636"/>
      <w:bookmarkStart w:id="122" w:name="_Toc496856098"/>
      <w:bookmarkStart w:id="123" w:name="_Toc492284942"/>
      <w:r>
        <w:t>6.1.3 Prikaz utjecaja na kritičnu infrastrukturu</w:t>
      </w:r>
      <w:bookmarkEnd w:id="120"/>
      <w:bookmarkEnd w:id="121"/>
      <w:bookmarkEnd w:id="122"/>
      <w:bookmarkEnd w:id="123"/>
    </w:p>
    <w:tbl>
      <w:tblPr>
        <w:tblStyle w:val="ivopisnatablicareetke6-isticanje31"/>
        <w:tblW w:w="9423" w:type="dxa"/>
        <w:jc w:val="center"/>
        <w:tblLook w:val="04A0" w:firstRow="1" w:lastRow="0" w:firstColumn="1" w:lastColumn="0" w:noHBand="0" w:noVBand="1"/>
      </w:tblPr>
      <w:tblGrid>
        <w:gridCol w:w="1128"/>
        <w:gridCol w:w="8295"/>
      </w:tblGrid>
      <w:tr w:rsidR="00A07D92" w:rsidTr="00A07D92">
        <w:trPr>
          <w:cnfStyle w:val="100000000000" w:firstRow="1" w:lastRow="0" w:firstColumn="0" w:lastColumn="0" w:oddVBand="0" w:evenVBand="0" w:oddHBand="0" w:evenHBand="0" w:firstRowFirstColumn="0" w:firstRowLastColumn="0" w:lastRowFirstColumn="0" w:lastRowLastColumn="0"/>
          <w:trHeight w:val="517"/>
          <w:tblHeader/>
          <w:jc w:val="cent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UTJECAJ</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SEKTOR</w:t>
            </w:r>
          </w:p>
        </w:tc>
      </w:tr>
      <w:tr w:rsidR="00A07D92" w:rsidTr="00A07D92">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rsidR="00A07D92" w:rsidTr="00A07D92">
        <w:trPr>
          <w:trHeight w:val="384"/>
          <w:jc w:val="cent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Komunikacijska i informacijska tehnologija (elektroničke komunikacije, prijenos </w:t>
            </w:r>
            <w:r>
              <w:rPr>
                <w:color w:val="76923C" w:themeColor="accent3" w:themeShade="BF"/>
                <w:sz w:val="20"/>
                <w:szCs w:val="20"/>
              </w:rPr>
              <w:t>podataka, informacijski sustavi, pružanje audio i audiovizualnih usluga)</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rsidR="00A07D92" w:rsidTr="00A07D92">
        <w:trPr>
          <w:trHeight w:val="384"/>
          <w:jc w:val="cent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lastRenderedPageBreak/>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rsidR="00A07D92" w:rsidTr="00A07D92">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rsidR="00A07D92" w:rsidTr="00A07D92">
        <w:trPr>
          <w:trHeight w:val="394"/>
          <w:jc w:val="cent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rsidR="00A07D92" w:rsidTr="00A07D92">
        <w:trPr>
          <w:trHeight w:val="394"/>
          <w:jc w:val="cent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Prijevoz opasnih tvari (kemijski, biološki, radiološki i nuklearni materijali)</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civilna zaštita, hitna medicinska pomoć)</w:t>
            </w:r>
          </w:p>
        </w:tc>
      </w:tr>
      <w:tr w:rsidR="00A07D92" w:rsidTr="00A07D92">
        <w:trPr>
          <w:trHeight w:val="394"/>
          <w:jc w:val="cent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76923C" w:themeColor="accent3" w:themeShade="BF"/>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rsidR="00A07D92" w:rsidRDefault="00A07D92">
      <w:pPr>
        <w:rPr>
          <w:color w:val="auto"/>
        </w:rPr>
      </w:pPr>
    </w:p>
    <w:p w:rsidR="00A07D92" w:rsidRDefault="00495E63">
      <w:pPr>
        <w:rPr>
          <w:color w:val="auto"/>
        </w:rPr>
      </w:pPr>
      <w:r>
        <w:rPr>
          <w:color w:val="auto"/>
        </w:rPr>
        <w:t>Od mogućih posljedica zbog utjecaja na infrastrukturu i strateške objekte urbanog područja pogođenog potresom posebno treba istaknuti:</w:t>
      </w:r>
    </w:p>
    <w:p w:rsidR="00A07D92" w:rsidRDefault="00495E63">
      <w:pPr>
        <w:pStyle w:val="Odlomakpopisa"/>
        <w:numPr>
          <w:ilvl w:val="0"/>
          <w:numId w:val="20"/>
        </w:numPr>
        <w:spacing w:line="276" w:lineRule="auto"/>
        <w:rPr>
          <w:sz w:val="22"/>
        </w:rPr>
      </w:pPr>
      <w:r>
        <w:rPr>
          <w:sz w:val="22"/>
        </w:rPr>
        <w:t xml:space="preserve">Izravna oštećenja prometnica zbog podrhtavanja tla ili njihova neprohodnost zbog </w:t>
      </w:r>
      <w:r>
        <w:rPr>
          <w:sz w:val="22"/>
        </w:rPr>
        <w:t>sekundarnih posljedica, primjerice odrona ili klizišta, mogu otežati prometnu povezanost i usporiti potrebne radnje neposredno nakon potresa (spašavanje i evakuaciju, raščišćavanje ruševina, pregled oštećenja građevina itd.).</w:t>
      </w:r>
    </w:p>
    <w:p w:rsidR="00A07D92" w:rsidRDefault="00495E63">
      <w:pPr>
        <w:pStyle w:val="Odlomakpopisa"/>
        <w:numPr>
          <w:ilvl w:val="0"/>
          <w:numId w:val="20"/>
        </w:numPr>
        <w:spacing w:line="276" w:lineRule="auto"/>
        <w:rPr>
          <w:sz w:val="22"/>
        </w:rPr>
      </w:pPr>
      <w:r>
        <w:rPr>
          <w:sz w:val="22"/>
        </w:rPr>
        <w:t>Oštećenje ili rušenje objekata</w:t>
      </w:r>
      <w:r>
        <w:rPr>
          <w:sz w:val="22"/>
        </w:rPr>
        <w:t xml:space="preserve"> koji predstavljaju kritične točke prometne infrastrukture, posebice mostova, nadvožnjaka, potpornih zidova itd. mogu prekinuti važne prometne tokove.</w:t>
      </w:r>
    </w:p>
    <w:p w:rsidR="00A07D92" w:rsidRDefault="00495E63">
      <w:pPr>
        <w:pStyle w:val="Odlomakpopisa"/>
        <w:numPr>
          <w:ilvl w:val="0"/>
          <w:numId w:val="20"/>
        </w:numPr>
        <w:spacing w:line="276" w:lineRule="auto"/>
        <w:rPr>
          <w:sz w:val="22"/>
        </w:rPr>
      </w:pPr>
      <w:r>
        <w:rPr>
          <w:sz w:val="22"/>
        </w:rPr>
        <w:t>Oštećenja industrijskih objekata uz izravne troškove zbog oštećenja građevina i opreme mogu zbog odgode s</w:t>
      </w:r>
      <w:r>
        <w:rPr>
          <w:sz w:val="22"/>
        </w:rPr>
        <w:t>premnosti za rad uključivati dodatne posljedice za zaposlene osobe te gospodarstvo u cjelini, a u pojedinim slučajevima moguće su i dugoročne posljedice zbog potencijalnih opasnosti za okoliš.</w:t>
      </w:r>
    </w:p>
    <w:p w:rsidR="00A07D92" w:rsidRDefault="00495E63">
      <w:pPr>
        <w:pStyle w:val="Odlomakpopisa"/>
        <w:numPr>
          <w:ilvl w:val="0"/>
          <w:numId w:val="20"/>
        </w:numPr>
        <w:spacing w:line="276" w:lineRule="auto"/>
        <w:rPr>
          <w:sz w:val="22"/>
        </w:rPr>
      </w:pPr>
      <w:r>
        <w:rPr>
          <w:sz w:val="22"/>
        </w:rPr>
        <w:t>Prekidi u telekomunikacijskoj mreži zbog oštećenja stanovništvu</w:t>
      </w:r>
      <w:r>
        <w:rPr>
          <w:sz w:val="22"/>
        </w:rPr>
        <w:t xml:space="preserve"> i hitnim službama mogu otežati komunikaciju, a oštećenja strujne mreže i komunalne infrastrukture mogu usporiti radove hitnih službi i povećati osjećaj nesigurnosti stanovništva.</w:t>
      </w:r>
    </w:p>
    <w:p w:rsidR="00A07D92" w:rsidRDefault="00495E63">
      <w:pPr>
        <w:pStyle w:val="Odlomakpopisa"/>
        <w:numPr>
          <w:ilvl w:val="0"/>
          <w:numId w:val="20"/>
        </w:numPr>
        <w:spacing w:line="276" w:lineRule="auto"/>
        <w:rPr>
          <w:sz w:val="22"/>
        </w:rPr>
      </w:pPr>
      <w:r>
        <w:rPr>
          <w:sz w:val="22"/>
        </w:rPr>
        <w:t>Opasnost od oštećenja zdravstvenih ustanova s odgovarajućom zdravstvenom opr</w:t>
      </w:r>
      <w:r>
        <w:rPr>
          <w:sz w:val="22"/>
        </w:rPr>
        <w:t>emom može dodatno ugroziti najranjivije stanovništvo i otežati mogućnost osiguravanja dovoljnih kapaciteta za pružanje pomoći ozlijeđenim osobama.</w:t>
      </w:r>
    </w:p>
    <w:p w:rsidR="00A07D92" w:rsidRDefault="00495E63">
      <w:pPr>
        <w:pStyle w:val="Odlomakpopisa"/>
        <w:numPr>
          <w:ilvl w:val="0"/>
          <w:numId w:val="20"/>
        </w:numPr>
        <w:spacing w:line="276" w:lineRule="auto"/>
        <w:rPr>
          <w:sz w:val="22"/>
        </w:rPr>
      </w:pPr>
      <w:r>
        <w:rPr>
          <w:sz w:val="22"/>
        </w:rPr>
        <w:t xml:space="preserve">Oštećenje javnih objekata društvene namjene može ugroziti sigurnost velikog broja ljudi i dugoročno utjecati </w:t>
      </w:r>
      <w:r>
        <w:rPr>
          <w:sz w:val="22"/>
        </w:rPr>
        <w:t>na uobičajen odvijanje društvenih aktivnosti.</w:t>
      </w:r>
    </w:p>
    <w:p w:rsidR="00A07D92" w:rsidRDefault="00495E63">
      <w:pPr>
        <w:pStyle w:val="Odlomakpopisa"/>
        <w:numPr>
          <w:ilvl w:val="0"/>
          <w:numId w:val="20"/>
        </w:numPr>
        <w:spacing w:line="276" w:lineRule="auto"/>
        <w:rPr>
          <w:sz w:val="22"/>
        </w:rPr>
      </w:pPr>
      <w:r>
        <w:rPr>
          <w:sz w:val="22"/>
        </w:rPr>
        <w:t>Posebice treba obratiti pozornost na oštećenja vrtića, škole i visokoškolskih institucija, a oštećenje vjerskih objekata i kulturno - povijesne baštine može dovesti do nenadoknadivih gubitaka i dodatno demorali</w:t>
      </w:r>
      <w:r>
        <w:rPr>
          <w:sz w:val="22"/>
        </w:rPr>
        <w:t>zirati stanovništvo.</w:t>
      </w:r>
    </w:p>
    <w:p w:rsidR="00A07D92" w:rsidRDefault="00495E63">
      <w:pPr>
        <w:pStyle w:val="Odlomakpopisa"/>
        <w:numPr>
          <w:ilvl w:val="0"/>
          <w:numId w:val="20"/>
        </w:numPr>
        <w:spacing w:line="276" w:lineRule="auto"/>
        <w:rPr>
          <w:sz w:val="22"/>
        </w:rPr>
      </w:pPr>
      <w:r>
        <w:rPr>
          <w:sz w:val="22"/>
        </w:rPr>
        <w:t>U slučaju oštećenja građevina u kojoj se odvijaju poslovi državne uprave postoji opasnost od zastoja u državnoj administraciji i narušavanja političke stabilnosti, a od posebnog je značaja sigurnost i raspoloživost hitnih službi, uklju</w:t>
      </w:r>
      <w:r>
        <w:rPr>
          <w:sz w:val="22"/>
        </w:rPr>
        <w:t>čujući vatrogastvo i policiju.</w:t>
      </w:r>
    </w:p>
    <w:p w:rsidR="00A07D92" w:rsidRDefault="00495E63">
      <w:pPr>
        <w:rPr>
          <w:color w:val="auto"/>
        </w:rPr>
      </w:pPr>
      <w:r>
        <w:rPr>
          <w:color w:val="auto"/>
        </w:rPr>
        <w:t>Iz tablice utjecaja na infrastrukturu vidljivo je da očekivane posljedice potresa mogu obuhvatiti sva područja društvene i gospodarske djelatnosti stanovništva.</w:t>
      </w:r>
    </w:p>
    <w:p w:rsidR="00A07D92" w:rsidRDefault="00A07D92">
      <w:pPr>
        <w:spacing w:before="0" w:after="0"/>
      </w:pPr>
    </w:p>
    <w:p w:rsidR="00A07D92" w:rsidRDefault="00495E63">
      <w:pPr>
        <w:pStyle w:val="Naslov3"/>
      </w:pPr>
      <w:bookmarkStart w:id="124" w:name="_Toc136522815"/>
      <w:bookmarkStart w:id="125" w:name="_Toc9596637"/>
      <w:r>
        <w:lastRenderedPageBreak/>
        <w:t>6.1.4 Kontekst</w:t>
      </w:r>
      <w:bookmarkEnd w:id="124"/>
      <w:bookmarkEnd w:id="125"/>
    </w:p>
    <w:p w:rsidR="00A07D92" w:rsidRDefault="00495E63">
      <w:pPr>
        <w:rPr>
          <w:szCs w:val="22"/>
        </w:rPr>
      </w:pPr>
      <w:r>
        <w:rPr>
          <w:szCs w:val="22"/>
        </w:rPr>
        <w:t xml:space="preserve">Republika Hrvatska pripada mediteransko - </w:t>
      </w:r>
      <w:proofErr w:type="spellStart"/>
      <w:r>
        <w:rPr>
          <w:szCs w:val="22"/>
        </w:rPr>
        <w:t>transa</w:t>
      </w:r>
      <w:r>
        <w:rPr>
          <w:szCs w:val="22"/>
        </w:rPr>
        <w:t>zijskom</w:t>
      </w:r>
      <w:proofErr w:type="spellEnd"/>
      <w:r>
        <w:rPr>
          <w:szCs w:val="22"/>
        </w:rPr>
        <w:t xml:space="preserve"> pojasu visoke seizmičke aktivnosti, prema Europskoj karti seizmičkog hazarda jedna je od seizmički ugroženijih država u Europi, a gotovo cijelo područje Hrvatske je izrazito podložno pojavi potresa. Potresima je najviše izloženo priobalno područje,</w:t>
      </w:r>
      <w:r>
        <w:rPr>
          <w:szCs w:val="22"/>
        </w:rPr>
        <w:t xml:space="preserve"> posebice južna Dalmacija, te sjeverozapadn</w:t>
      </w:r>
      <w:r>
        <w:rPr>
          <w:color w:val="auto"/>
          <w:szCs w:val="22"/>
        </w:rPr>
        <w:t>a Hrvatska.</w:t>
      </w:r>
    </w:p>
    <w:p w:rsidR="00A07D92" w:rsidRDefault="00495E63">
      <w:pPr>
        <w:tabs>
          <w:tab w:val="left" w:pos="2785"/>
        </w:tabs>
        <w:spacing w:before="120" w:after="120"/>
        <w:jc w:val="center"/>
        <w:rPr>
          <w:rFonts w:eastAsiaTheme="minorHAnsi"/>
          <w:iCs/>
        </w:rPr>
      </w:pPr>
      <w:r>
        <w:rPr>
          <w:noProof/>
          <w:lang w:eastAsia="hr-HR"/>
        </w:rPr>
        <w:drawing>
          <wp:inline distT="0" distB="0" distL="0" distR="0">
            <wp:extent cx="4624070" cy="4631055"/>
            <wp:effectExtent l="0" t="0" r="0" b="0"/>
            <wp:docPr id="32"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14"/>
                    <pic:cNvPicPr>
                      <a:picLocks noChangeAspect="1" noChangeArrowheads="1"/>
                    </pic:cNvPicPr>
                  </pic:nvPicPr>
                  <pic:blipFill>
                    <a:blip r:embed="rId79"/>
                    <a:stretch>
                      <a:fillRect/>
                    </a:stretch>
                  </pic:blipFill>
                  <pic:spPr bwMode="auto">
                    <a:xfrm>
                      <a:off x="0" y="0"/>
                      <a:ext cx="4624070" cy="4631055"/>
                    </a:xfrm>
                    <a:prstGeom prst="rect">
                      <a:avLst/>
                    </a:prstGeom>
                  </pic:spPr>
                </pic:pic>
              </a:graphicData>
            </a:graphic>
          </wp:inline>
        </w:drawing>
      </w:r>
    </w:p>
    <w:p w:rsidR="00A07D92" w:rsidRDefault="00495E63">
      <w:pPr>
        <w:pStyle w:val="Opisslike"/>
        <w:spacing w:after="0"/>
      </w:pPr>
      <w:r>
        <w:t xml:space="preserve">Slika </w:t>
      </w:r>
      <w:r>
        <w:fldChar w:fldCharType="begin"/>
      </w:r>
      <w:r>
        <w:instrText>SEQ Slika \* ARABIC</w:instrText>
      </w:r>
      <w:r>
        <w:fldChar w:fldCharType="separate"/>
      </w:r>
      <w:r>
        <w:t>4</w:t>
      </w:r>
      <w:r>
        <w:fldChar w:fldCharType="end"/>
      </w:r>
      <w:r>
        <w:t>. Prikaz epicentara potresa u Republici Hrvatskoj</w:t>
      </w:r>
    </w:p>
    <w:p w:rsidR="00A07D92" w:rsidRDefault="00495E63">
      <w:pPr>
        <w:pStyle w:val="Opisslike"/>
      </w:pPr>
      <w:r>
        <w:t>Izvor: Geofizički odsjek, Prirodoslovno-matematički fakultet</w:t>
      </w:r>
    </w:p>
    <w:p w:rsidR="00A07D92" w:rsidRDefault="00495E63">
      <w:pPr>
        <w:tabs>
          <w:tab w:val="left" w:pos="5955"/>
        </w:tabs>
        <w:spacing w:before="0" w:after="0"/>
        <w:rPr>
          <w:rFonts w:eastAsiaTheme="minorHAnsi"/>
          <w:iCs/>
        </w:rPr>
      </w:pPr>
      <w:r>
        <w:rPr>
          <w:rFonts w:eastAsiaTheme="minorHAnsi"/>
          <w:iCs/>
          <w:color w:val="auto"/>
        </w:rPr>
        <w:t xml:space="preserve">Analizom epicentara potresa u Hrvatskoj u </w:t>
      </w:r>
      <w:r>
        <w:rPr>
          <w:rFonts w:eastAsiaTheme="minorHAnsi"/>
          <w:iCs/>
        </w:rPr>
        <w:t xml:space="preserve">povratnom </w:t>
      </w:r>
      <w:r>
        <w:rPr>
          <w:rFonts w:eastAsiaTheme="minorHAnsi"/>
          <w:iCs/>
        </w:rPr>
        <w:t>razdoblju od 1850. – 2015. godine može se zaključiti da se područje Grada Malog Lošinja ne nalazi na seizmički aktivnom području, ali postoji opasnost od potresa.</w:t>
      </w:r>
    </w:p>
    <w:p w:rsidR="00A07D92" w:rsidRDefault="00A07D92">
      <w:pPr>
        <w:tabs>
          <w:tab w:val="left" w:pos="5955"/>
        </w:tabs>
        <w:spacing w:before="0" w:after="0"/>
        <w:rPr>
          <w:rFonts w:eastAsiaTheme="minorHAnsi"/>
          <w:iCs/>
        </w:rPr>
      </w:pPr>
    </w:p>
    <w:p w:rsidR="00A07D92" w:rsidRDefault="00495E63">
      <w:pPr>
        <w:tabs>
          <w:tab w:val="left" w:pos="5955"/>
        </w:tabs>
        <w:spacing w:before="0" w:after="0"/>
        <w:rPr>
          <w:rFonts w:eastAsiaTheme="minorHAnsi"/>
          <w:iCs/>
        </w:rPr>
      </w:pPr>
      <w:r>
        <w:rPr>
          <w:rFonts w:eastAsiaTheme="minorHAnsi"/>
          <w:iCs/>
        </w:rPr>
        <w:t xml:space="preserve">Jačina potresa ovisi o više čimbenika kao što su količina oslobođene energije, dubina </w:t>
      </w:r>
      <w:proofErr w:type="spellStart"/>
      <w:r>
        <w:rPr>
          <w:rFonts w:eastAsiaTheme="minorHAnsi"/>
          <w:iCs/>
        </w:rPr>
        <w:t>hipoce</w:t>
      </w:r>
      <w:r>
        <w:rPr>
          <w:rFonts w:eastAsiaTheme="minorHAnsi"/>
          <w:iCs/>
        </w:rPr>
        <w:t>ntra</w:t>
      </w:r>
      <w:proofErr w:type="spellEnd"/>
      <w:r>
        <w:rPr>
          <w:rFonts w:eastAsiaTheme="minorHAnsi"/>
          <w:iCs/>
        </w:rPr>
        <w:t>, udaljenosti epicentra i građi Zemljine kore. Potresi imaju primarne i sekundarne učinke. Primarni učinci potresa su rušenje zgrada, štete na infrastrukturi, zarobljeni ljudi u srušenim zgradama, kvarovi komunalnih usluga. Sekundarni učinci potresa su</w:t>
      </w:r>
      <w:r>
        <w:rPr>
          <w:rFonts w:eastAsiaTheme="minorHAnsi"/>
          <w:iCs/>
        </w:rPr>
        <w:t xml:space="preserve"> požari, poplave, klizanje tla, bolesti.</w:t>
      </w:r>
    </w:p>
    <w:p w:rsidR="00A07D92" w:rsidRDefault="00A07D92">
      <w:pPr>
        <w:tabs>
          <w:tab w:val="left" w:pos="5955"/>
        </w:tabs>
        <w:spacing w:before="0" w:after="0"/>
        <w:rPr>
          <w:rFonts w:eastAsiaTheme="minorHAnsi"/>
          <w:iCs/>
        </w:rPr>
      </w:pPr>
    </w:p>
    <w:p w:rsidR="00A07D92" w:rsidRDefault="00495E63">
      <w:pPr>
        <w:tabs>
          <w:tab w:val="left" w:pos="5955"/>
        </w:tabs>
        <w:spacing w:before="0"/>
        <w:rPr>
          <w:rFonts w:eastAsiaTheme="minorHAnsi"/>
          <w:iCs/>
        </w:rPr>
      </w:pPr>
      <w:r>
        <w:rPr>
          <w:rFonts w:eastAsiaTheme="minorHAnsi"/>
          <w:iCs/>
        </w:rPr>
        <w:t xml:space="preserve">Jedan od načina opisivanja potresa je putem intenziteta potresa. </w:t>
      </w:r>
      <w:proofErr w:type="spellStart"/>
      <w:r>
        <w:rPr>
          <w:rFonts w:eastAsiaTheme="minorHAnsi"/>
          <w:iCs/>
        </w:rPr>
        <w:t>Seizmičnost</w:t>
      </w:r>
      <w:proofErr w:type="spellEnd"/>
      <w:r>
        <w:rPr>
          <w:rFonts w:eastAsiaTheme="minorHAnsi"/>
          <w:iCs/>
        </w:rPr>
        <w:t xml:space="preserve"> se prikazuje različitim </w:t>
      </w:r>
      <w:proofErr w:type="spellStart"/>
      <w:r>
        <w:rPr>
          <w:rFonts w:eastAsiaTheme="minorHAnsi"/>
          <w:iCs/>
        </w:rPr>
        <w:t>makroseizmičkim</w:t>
      </w:r>
      <w:proofErr w:type="spellEnd"/>
      <w:r>
        <w:rPr>
          <w:rFonts w:eastAsiaTheme="minorHAnsi"/>
          <w:iCs/>
        </w:rPr>
        <w:t xml:space="preserve"> ljestvicama koje opisuju intenzitet: </w:t>
      </w:r>
      <w:proofErr w:type="spellStart"/>
      <w:r>
        <w:rPr>
          <w:rFonts w:eastAsiaTheme="minorHAnsi"/>
          <w:iCs/>
        </w:rPr>
        <w:t>Mercalli</w:t>
      </w:r>
      <w:proofErr w:type="spellEnd"/>
      <w:r>
        <w:rPr>
          <w:rFonts w:eastAsiaTheme="minorHAnsi"/>
          <w:iCs/>
        </w:rPr>
        <w:t>-</w:t>
      </w:r>
      <w:proofErr w:type="spellStart"/>
      <w:r>
        <w:rPr>
          <w:rFonts w:eastAsiaTheme="minorHAnsi"/>
          <w:iCs/>
        </w:rPr>
        <w:t>Cancani</w:t>
      </w:r>
      <w:proofErr w:type="spellEnd"/>
      <w:r>
        <w:rPr>
          <w:rFonts w:eastAsiaTheme="minorHAnsi"/>
          <w:iCs/>
        </w:rPr>
        <w:t>-</w:t>
      </w:r>
      <w:proofErr w:type="spellStart"/>
      <w:r>
        <w:rPr>
          <w:rFonts w:eastAsiaTheme="minorHAnsi"/>
          <w:iCs/>
        </w:rPr>
        <w:t>Siebergova</w:t>
      </w:r>
      <w:proofErr w:type="spellEnd"/>
      <w:r>
        <w:rPr>
          <w:rFonts w:eastAsiaTheme="minorHAnsi"/>
          <w:iCs/>
        </w:rPr>
        <w:t xml:space="preserve"> </w:t>
      </w:r>
      <w:r>
        <w:rPr>
          <w:rFonts w:eastAsiaTheme="minorHAnsi"/>
          <w:iCs/>
        </w:rPr>
        <w:lastRenderedPageBreak/>
        <w:t xml:space="preserve">(MCS), Modificirana </w:t>
      </w:r>
      <w:proofErr w:type="spellStart"/>
      <w:r>
        <w:rPr>
          <w:rFonts w:eastAsiaTheme="minorHAnsi"/>
          <w:iCs/>
        </w:rPr>
        <w:t>Mercallijeva</w:t>
      </w:r>
      <w:proofErr w:type="spellEnd"/>
      <w:r>
        <w:rPr>
          <w:rFonts w:eastAsiaTheme="minorHAnsi"/>
          <w:iCs/>
        </w:rPr>
        <w:t xml:space="preserve"> (MM, u SAD-u), </w:t>
      </w:r>
      <w:proofErr w:type="spellStart"/>
      <w:r>
        <w:rPr>
          <w:rFonts w:eastAsiaTheme="minorHAnsi"/>
          <w:iCs/>
        </w:rPr>
        <w:t>Medvedev</w:t>
      </w:r>
      <w:proofErr w:type="spellEnd"/>
      <w:r>
        <w:rPr>
          <w:rFonts w:eastAsiaTheme="minorHAnsi"/>
          <w:iCs/>
        </w:rPr>
        <w:t>-</w:t>
      </w:r>
      <w:proofErr w:type="spellStart"/>
      <w:r>
        <w:rPr>
          <w:rFonts w:eastAsiaTheme="minorHAnsi"/>
          <w:iCs/>
        </w:rPr>
        <w:t>Sponheuer</w:t>
      </w:r>
      <w:proofErr w:type="spellEnd"/>
      <w:r>
        <w:rPr>
          <w:rFonts w:eastAsiaTheme="minorHAnsi"/>
          <w:iCs/>
        </w:rPr>
        <w:t>-</w:t>
      </w:r>
      <w:proofErr w:type="spellStart"/>
      <w:r>
        <w:rPr>
          <w:rFonts w:eastAsiaTheme="minorHAnsi"/>
          <w:iCs/>
        </w:rPr>
        <w:t>Karnikova</w:t>
      </w:r>
      <w:proofErr w:type="spellEnd"/>
      <w:r>
        <w:rPr>
          <w:rFonts w:eastAsiaTheme="minorHAnsi"/>
          <w:iCs/>
        </w:rPr>
        <w:t xml:space="preserve"> (MSK) i Europska </w:t>
      </w:r>
      <w:proofErr w:type="spellStart"/>
      <w:r>
        <w:rPr>
          <w:rFonts w:eastAsiaTheme="minorHAnsi"/>
          <w:iCs/>
        </w:rPr>
        <w:t>makroseizmička</w:t>
      </w:r>
      <w:proofErr w:type="spellEnd"/>
      <w:r>
        <w:rPr>
          <w:rFonts w:eastAsiaTheme="minorHAnsi"/>
          <w:iCs/>
        </w:rPr>
        <w:t xml:space="preserve"> ljestvica (EMS). One su prilagođene područjima za koja su nastajale: npr. karakteristikama uobičajen gradnje objekata (drvene, ciglene, betonske zgrade i sl.), a razlikuju se i po</w:t>
      </w:r>
      <w:r>
        <w:rPr>
          <w:rFonts w:eastAsiaTheme="minorHAnsi"/>
          <w:iCs/>
        </w:rPr>
        <w:t xml:space="preserve"> složenosti pri klasifikaciji učinaka. Ljestvice za određivanje </w:t>
      </w:r>
      <w:proofErr w:type="spellStart"/>
      <w:r>
        <w:rPr>
          <w:rFonts w:eastAsiaTheme="minorHAnsi"/>
          <w:iCs/>
        </w:rPr>
        <w:t>makroseizmičkog</w:t>
      </w:r>
      <w:proofErr w:type="spellEnd"/>
      <w:r>
        <w:rPr>
          <w:rFonts w:eastAsiaTheme="minorHAnsi"/>
          <w:iCs/>
        </w:rPr>
        <w:t xml:space="preserve"> intenziteta najčešće imaju 12 stupnjeva, a svaki stupanj opisuje tipične učinke potresa te jačine, npr. prvi stupanj jakosti potresa su nezamjetljivi potresi koje bilježe samo </w:t>
      </w:r>
      <w:r>
        <w:rPr>
          <w:rFonts w:eastAsiaTheme="minorHAnsi"/>
          <w:iCs/>
        </w:rPr>
        <w:t>seizmografi, dok je dvanaesti stupanj velika katastrofa. Najčešće ljestvice u upotrebi su MCS (jednostavna), MSK (složena) te EMS (vrlo složena, detaljna). U Hrvatskoj se koristi ljestvica MCS za brzu procjenu intenziteta potresa, dok se za detaljno određi</w:t>
      </w:r>
      <w:r>
        <w:rPr>
          <w:rFonts w:eastAsiaTheme="minorHAnsi"/>
          <w:iCs/>
        </w:rPr>
        <w:t>vanje intenziteta upotrebljava ljestvica MSK ili u novije vrijeme EMS ljestvica.</w:t>
      </w:r>
    </w:p>
    <w:p w:rsidR="00A07D92" w:rsidRDefault="00495E63">
      <w:pPr>
        <w:spacing w:before="0" w:after="0"/>
        <w:jc w:val="center"/>
        <w:rPr>
          <w:rFonts w:eastAsia="Calibri"/>
          <w:b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17</w:t>
      </w:r>
      <w:r>
        <w:rPr>
          <w:rFonts w:eastAsia="Calibri"/>
          <w:bCs/>
          <w:sz w:val="20"/>
          <w:szCs w:val="18"/>
        </w:rPr>
        <w:fldChar w:fldCharType="end"/>
      </w:r>
      <w:r>
        <w:rPr>
          <w:rFonts w:eastAsia="Calibri"/>
          <w:bCs/>
          <w:color w:val="54883D"/>
          <w:sz w:val="20"/>
          <w:szCs w:val="18"/>
        </w:rPr>
        <w:t>. MCS ljestvica intenziteta potresa</w:t>
      </w:r>
    </w:p>
    <w:tbl>
      <w:tblPr>
        <w:tblStyle w:val="ivopisnatablicareetke6-isticanje31"/>
        <w:tblW w:w="9984" w:type="dxa"/>
        <w:jc w:val="center"/>
        <w:tblLook w:val="04A0" w:firstRow="1" w:lastRow="0" w:firstColumn="1" w:lastColumn="0" w:noHBand="0" w:noVBand="1"/>
      </w:tblPr>
      <w:tblGrid>
        <w:gridCol w:w="2546"/>
        <w:gridCol w:w="3610"/>
        <w:gridCol w:w="3828"/>
      </w:tblGrid>
      <w:tr w:rsidR="00A07D92" w:rsidTr="00A07D92">
        <w:trPr>
          <w:cnfStyle w:val="100000000000" w:firstRow="1" w:lastRow="0" w:firstColumn="0" w:lastColumn="0" w:oddVBand="0" w:evenVBand="0" w:oddHBand="0"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Stupanj intenziteta potresa</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Opis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center" w:pos="0"/>
                <w:tab w:val="left" w:pos="380"/>
              </w:tabs>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Učinak potresa</w:t>
            </w:r>
          </w:p>
        </w:tc>
      </w:tr>
      <w:tr w:rsidR="00A07D92" w:rsidTr="00A07D92">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I.</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Nezamjetljiv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Nezamjetljiv potres</w:t>
            </w:r>
          </w:p>
        </w:tc>
      </w:tr>
      <w:tr w:rsidR="00A07D92" w:rsidTr="00A07D92">
        <w:trPr>
          <w:trHeight w:val="468"/>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II.</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 xml:space="preserve">Jedva </w:t>
            </w:r>
            <w:r>
              <w:rPr>
                <w:color w:val="76923C" w:themeColor="accent3" w:themeShade="BF"/>
                <w:sz w:val="20"/>
                <w:szCs w:val="20"/>
              </w:rPr>
              <w:t>osjetan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Jedva osjetan potres</w:t>
            </w:r>
          </w:p>
        </w:tc>
      </w:tr>
      <w:tr w:rsidR="00A07D92" w:rsidTr="00A07D92">
        <w:trPr>
          <w:cnfStyle w:val="000000100000" w:firstRow="0" w:lastRow="0" w:firstColumn="0" w:lastColumn="0" w:oddVBand="0" w:evenVBand="0" w:oddHBand="1" w:evenHBand="0" w:firstRowFirstColumn="0" w:firstRowLastColumn="0" w:lastRowFirstColumn="0" w:lastRowLastColumn="0"/>
          <w:trHeight w:val="568"/>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III.</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Lagan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Lagan potres</w:t>
            </w:r>
          </w:p>
        </w:tc>
      </w:tr>
      <w:tr w:rsidR="00A07D92" w:rsidTr="00A07D92">
        <w:trPr>
          <w:trHeight w:val="420"/>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IV.</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Umjeren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Umjeren potres</w:t>
            </w:r>
          </w:p>
        </w:tc>
      </w:tr>
      <w:tr w:rsidR="00A07D92" w:rsidTr="00A07D92">
        <w:trPr>
          <w:cnfStyle w:val="000000100000" w:firstRow="0" w:lastRow="0" w:firstColumn="0" w:lastColumn="0" w:oddVBand="0" w:evenVBand="0" w:oddHBand="1"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V.</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Prilično jak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Prilično jak potres</w:t>
            </w:r>
          </w:p>
        </w:tc>
      </w:tr>
      <w:tr w:rsidR="00A07D92" w:rsidTr="00A07D92">
        <w:trPr>
          <w:trHeight w:val="407"/>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VI.</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Jak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Jak potres</w:t>
            </w:r>
          </w:p>
        </w:tc>
      </w:tr>
      <w:tr w:rsidR="00A07D92" w:rsidTr="00A07D92">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VII.</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Vrlo jak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Vrlo jak potres</w:t>
            </w:r>
          </w:p>
        </w:tc>
      </w:tr>
      <w:tr w:rsidR="00A07D92" w:rsidTr="00A07D92">
        <w:trPr>
          <w:trHeight w:val="419"/>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VIII.</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Razoran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Razoran potres</w:t>
            </w:r>
          </w:p>
        </w:tc>
      </w:tr>
      <w:tr w:rsidR="00A07D92" w:rsidTr="00A07D92">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IX.</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Pustošni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Pustošni potres</w:t>
            </w:r>
          </w:p>
        </w:tc>
      </w:tr>
      <w:tr w:rsidR="00A07D92" w:rsidTr="00A07D92">
        <w:trPr>
          <w:trHeight w:val="544"/>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X.</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Uništavajući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Uništavajući potres</w:t>
            </w:r>
          </w:p>
        </w:tc>
      </w:tr>
      <w:tr w:rsidR="00A07D92" w:rsidTr="00A07D92">
        <w:trPr>
          <w:cnfStyle w:val="000000100000" w:firstRow="0" w:lastRow="0" w:firstColumn="0" w:lastColumn="0" w:oddVBand="0" w:evenVBand="0" w:oddHBand="1" w:evenHBand="0" w:firstRowFirstColumn="0" w:firstRowLastColumn="0" w:lastRowFirstColumn="0" w:lastRowLastColumn="0"/>
          <w:trHeight w:val="566"/>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XI.</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Katastrofalan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Katastrofalan potres</w:t>
            </w:r>
          </w:p>
        </w:tc>
      </w:tr>
      <w:tr w:rsidR="00A07D92" w:rsidTr="00A07D92">
        <w:trPr>
          <w:trHeight w:val="525"/>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rPr>
            </w:pPr>
            <w:r>
              <w:rPr>
                <w:color w:val="76923C" w:themeColor="accent3" w:themeShade="BF"/>
                <w:sz w:val="20"/>
                <w:szCs w:val="20"/>
              </w:rPr>
              <w:t>XII.</w:t>
            </w:r>
          </w:p>
        </w:tc>
        <w:tc>
          <w:tcPr>
            <w:tcW w:w="361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Veliki katastrofalan potres</w:t>
            </w:r>
          </w:p>
        </w:tc>
        <w:tc>
          <w:tcPr>
            <w:tcW w:w="3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Veliki katastrofalan potres</w:t>
            </w:r>
          </w:p>
        </w:tc>
      </w:tr>
    </w:tbl>
    <w:p w:rsidR="00A07D92" w:rsidRDefault="00A07D92">
      <w:pPr>
        <w:spacing w:before="120" w:after="120"/>
        <w:rPr>
          <w:rFonts w:eastAsiaTheme="minorHAnsi"/>
          <w:iCs/>
        </w:rPr>
      </w:pPr>
    </w:p>
    <w:p w:rsidR="00A07D92" w:rsidRDefault="00495E63">
      <w:pPr>
        <w:spacing w:before="0" w:after="0"/>
        <w:jc w:val="center"/>
        <w:rPr>
          <w:rFonts w:eastAsia="Calibri"/>
          <w:b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18</w:t>
      </w:r>
      <w:r>
        <w:rPr>
          <w:rFonts w:eastAsia="Calibri"/>
          <w:bCs/>
          <w:sz w:val="20"/>
          <w:szCs w:val="18"/>
        </w:rPr>
        <w:fldChar w:fldCharType="end"/>
      </w:r>
      <w:r>
        <w:rPr>
          <w:rFonts w:eastAsia="Calibri"/>
          <w:bCs/>
          <w:color w:val="54883D"/>
          <w:sz w:val="20"/>
          <w:szCs w:val="18"/>
        </w:rPr>
        <w:t xml:space="preserve">. EMS-98 ljestvica intenziteta </w:t>
      </w:r>
      <w:r>
        <w:rPr>
          <w:rFonts w:eastAsia="Calibri"/>
          <w:bCs/>
          <w:color w:val="54883D"/>
          <w:sz w:val="20"/>
          <w:szCs w:val="18"/>
        </w:rPr>
        <w:t>potresa</w:t>
      </w:r>
    </w:p>
    <w:tbl>
      <w:tblPr>
        <w:tblStyle w:val="ivopisnatablicareetke6-isticanje31"/>
        <w:tblW w:w="9634" w:type="dxa"/>
        <w:jc w:val="center"/>
        <w:tblLook w:val="04A0" w:firstRow="1" w:lastRow="0" w:firstColumn="1" w:lastColumn="0" w:noHBand="0" w:noVBand="1"/>
      </w:tblPr>
      <w:tblGrid>
        <w:gridCol w:w="1205"/>
        <w:gridCol w:w="1552"/>
        <w:gridCol w:w="6877"/>
      </w:tblGrid>
      <w:tr w:rsidR="00A07D92" w:rsidTr="00A07D92">
        <w:trPr>
          <w:cnfStyle w:val="100000000000" w:firstRow="1" w:lastRow="0" w:firstColumn="0" w:lastColumn="0" w:oddVBand="0" w:evenVBand="0" w:oddHBand="0" w:evenHBand="0" w:firstRowFirstColumn="0" w:firstRowLastColumn="0" w:lastRowFirstColumn="0" w:lastRowLastColumn="0"/>
          <w:trHeight w:val="615"/>
          <w:tblHeader/>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Stupanj intenziteta potresa</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Opis</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380"/>
                <w:tab w:val="center" w:pos="2824"/>
              </w:tabs>
              <w:spacing w:after="0" w:line="240" w:lineRule="auto"/>
              <w:jc w:val="lef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ab/>
            </w:r>
            <w:r>
              <w:rPr>
                <w:color w:val="76923C" w:themeColor="accent3" w:themeShade="BF"/>
                <w:sz w:val="20"/>
                <w:szCs w:val="20"/>
              </w:rPr>
              <w:tab/>
              <w:t>Učinak potresa</w:t>
            </w:r>
          </w:p>
        </w:tc>
      </w:tr>
      <w:tr w:rsidR="00A07D92" w:rsidTr="00A07D92">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I.</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Neosjetan</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a) ne osjeća se</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b) nema učinaka</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c) nema štete</w:t>
            </w:r>
          </w:p>
        </w:tc>
      </w:tr>
      <w:tr w:rsidR="00A07D92" w:rsidTr="00A07D92">
        <w:trPr>
          <w:trHeight w:val="468"/>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II.</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Jedva osjetan</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 xml:space="preserve">a) podrhtavanje osjećaju samo na izdvojenim mjestima (&lt;1%) osobe koje se odmaraju i u posebnom su položaju u </w:t>
            </w:r>
            <w:r>
              <w:rPr>
                <w:color w:val="76923C" w:themeColor="accent3" w:themeShade="BF"/>
                <w:sz w:val="20"/>
                <w:szCs w:val="20"/>
              </w:rPr>
              <w:t>prostorijama</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b) nema učinaka</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c) nema štete</w:t>
            </w:r>
          </w:p>
        </w:tc>
      </w:tr>
      <w:tr w:rsidR="00A07D92" w:rsidTr="00A07D92">
        <w:trPr>
          <w:cnfStyle w:val="000000100000" w:firstRow="0" w:lastRow="0" w:firstColumn="0" w:lastColumn="0" w:oddVBand="0" w:evenVBand="0" w:oddHBand="1"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lastRenderedPageBreak/>
              <w:t>III.</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rPr>
              <w:t>Slab</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a) neki ljudi u prostorijama osjete potres; ljudi koji se odmaraju osjećaju ljuljanje ili podrhtavanje svjetiljaka</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b) viseći predmeti se lagano ljuljaju</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c) nema štete</w:t>
            </w:r>
          </w:p>
        </w:tc>
      </w:tr>
      <w:tr w:rsidR="00A07D92" w:rsidTr="00A07D92">
        <w:trPr>
          <w:trHeight w:val="872"/>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IV.</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Primijećen</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 xml:space="preserve">a) potres osjete </w:t>
            </w:r>
            <w:r>
              <w:rPr>
                <w:color w:val="76923C" w:themeColor="accent3" w:themeShade="BF"/>
                <w:sz w:val="20"/>
                <w:szCs w:val="20"/>
              </w:rPr>
              <w:t>mnogi u prostorijama a vani samo neki; mali se broj ljudi probudi; razina vibracija ne zastrašuje; vibracija je umjerena; opaža se lako podrhtavanje ili ljuljanje zgrada, prostorija ili kreveta, stolica itd.</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b) posuđe, čaše, prozori i vrata zveče; obješeni</w:t>
            </w:r>
            <w:r>
              <w:rPr>
                <w:color w:val="76923C" w:themeColor="accent3" w:themeShade="BF"/>
                <w:sz w:val="20"/>
                <w:szCs w:val="20"/>
              </w:rPr>
              <w:t xml:space="preserve"> se predmeti ljuljaju; u nekim se slučajevima lako pokućstvo vidljivo trese; drvene konstrukcije ponegdje škripe</w:t>
            </w:r>
          </w:p>
        </w:tc>
      </w:tr>
      <w:tr w:rsidR="00A07D92" w:rsidTr="00A07D92">
        <w:trPr>
          <w:cnfStyle w:val="000000100000" w:firstRow="0" w:lastRow="0" w:firstColumn="0" w:lastColumn="0" w:oddVBand="0" w:evenVBand="0" w:oddHBand="1" w:evenHBand="0" w:firstRowFirstColumn="0" w:firstRowLastColumn="0" w:lastRowFirstColumn="0" w:lastRowLastColumn="0"/>
          <w:trHeight w:val="922"/>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V.</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Jak</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 xml:space="preserve">a) većina osjeća potres u prostorijama, vani samo neki; mali broj ljudi je uplašen i istrčava van; mnogi se zaspali bude; osjeća se </w:t>
            </w:r>
            <w:r>
              <w:rPr>
                <w:color w:val="76923C" w:themeColor="accent3" w:themeShade="BF"/>
                <w:sz w:val="20"/>
                <w:szCs w:val="20"/>
              </w:rPr>
              <w:t>jako potresanje ili ljuljanje cijele zgrade, prostorija ili namještaja</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b) obješeni se predmeti jako ljuljaju; posuđe i čaše međusobno se sudaraju; mali predmeti teški u gornjemu dijelu i/ili nesigurno pridržani mogu kliznuti ili pasti; vrata i prozori se l</w:t>
            </w:r>
            <w:r>
              <w:rPr>
                <w:color w:val="76923C" w:themeColor="accent3" w:themeShade="BF"/>
                <w:sz w:val="20"/>
                <w:szCs w:val="20"/>
              </w:rPr>
              <w:t>juljaju, otvaraju ili lupaju; u malo slučajeva pucaju prozorska stakla; tekućine osciliraju i mogu isteći iz napunjenih spremnika; životinje u prostorijama postaju nemirne</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 xml:space="preserve">c) šteta 1. stupnja na malo zgrada razreda </w:t>
            </w:r>
            <w:proofErr w:type="spellStart"/>
            <w:r>
              <w:rPr>
                <w:color w:val="76923C" w:themeColor="accent3" w:themeShade="BF"/>
                <w:sz w:val="20"/>
                <w:szCs w:val="20"/>
              </w:rPr>
              <w:t>oštetljivosti</w:t>
            </w:r>
            <w:proofErr w:type="spellEnd"/>
            <w:r>
              <w:rPr>
                <w:color w:val="76923C" w:themeColor="accent3" w:themeShade="BF"/>
                <w:sz w:val="20"/>
                <w:szCs w:val="20"/>
              </w:rPr>
              <w:t xml:space="preserve"> A i B</w:t>
            </w:r>
          </w:p>
        </w:tc>
      </w:tr>
      <w:tr w:rsidR="00A07D92" w:rsidTr="00A07D92">
        <w:trPr>
          <w:trHeight w:val="835"/>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VI.</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Malo štetan</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 xml:space="preserve">a) </w:t>
            </w:r>
            <w:r>
              <w:rPr>
                <w:color w:val="76923C" w:themeColor="accent3" w:themeShade="BF"/>
                <w:sz w:val="20"/>
                <w:szCs w:val="20"/>
              </w:rPr>
              <w:t>većina ga osjeti u prostorijama, a mnogi i vani; mali broj osoba gubi ravnotežu; mnogi su uplašeni i bježe van</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 xml:space="preserve">b) mali predmeti </w:t>
            </w:r>
            <w:proofErr w:type="spellStart"/>
            <w:r>
              <w:rPr>
                <w:color w:val="76923C" w:themeColor="accent3" w:themeShade="BF"/>
                <w:sz w:val="20"/>
                <w:szCs w:val="20"/>
              </w:rPr>
              <w:t>oblične</w:t>
            </w:r>
            <w:proofErr w:type="spellEnd"/>
            <w:r>
              <w:rPr>
                <w:color w:val="76923C" w:themeColor="accent3" w:themeShade="BF"/>
                <w:sz w:val="20"/>
                <w:szCs w:val="20"/>
              </w:rPr>
              <w:t xml:space="preserve"> stabilnosti mogu pasti a namještaj može klizati; u malo slučajeva posuđe i stakleni predmeti se lome; seoske životinje (</w:t>
            </w:r>
            <w:r>
              <w:rPr>
                <w:color w:val="76923C" w:themeColor="accent3" w:themeShade="BF"/>
                <w:sz w:val="20"/>
                <w:szCs w:val="20"/>
              </w:rPr>
              <w:t>čak i vani) mogu se poplašiti</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 xml:space="preserve">c) šteta 1. stupnja na mnogim zgradama razreda </w:t>
            </w:r>
            <w:proofErr w:type="spellStart"/>
            <w:r>
              <w:rPr>
                <w:color w:val="76923C" w:themeColor="accent3" w:themeShade="BF"/>
                <w:sz w:val="20"/>
                <w:szCs w:val="20"/>
              </w:rPr>
              <w:t>oštetljivosti</w:t>
            </w:r>
            <w:proofErr w:type="spellEnd"/>
            <w:r>
              <w:rPr>
                <w:color w:val="76923C" w:themeColor="accent3" w:themeShade="BF"/>
                <w:sz w:val="20"/>
                <w:szCs w:val="20"/>
              </w:rPr>
              <w:t xml:space="preserve"> A i B; šteta 2. stupnja na malo zgrada razreda A i B; šteta 1. stupnja na malo zgrada razreda C</w:t>
            </w:r>
          </w:p>
        </w:tc>
      </w:tr>
      <w:tr w:rsidR="00A07D92" w:rsidTr="00A07D92">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VII.</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Štetan</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 xml:space="preserve">a) većina ljudi je uplašena i istrčava van; mnogi teško </w:t>
            </w:r>
            <w:r>
              <w:rPr>
                <w:color w:val="76923C" w:themeColor="accent3" w:themeShade="BF"/>
                <w:sz w:val="20"/>
                <w:szCs w:val="20"/>
              </w:rPr>
              <w:t>stoje, posebno na višim katovima</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b) namještaj kliže, a namještaj s visokim težištem može se prevrnuti; veliki broj predmeta pada s polica; voda se izlijeva iz spremnika i bazena</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 xml:space="preserve">c) šteta 3. stupnja na mnogim zgradama razreda </w:t>
            </w:r>
            <w:proofErr w:type="spellStart"/>
            <w:r>
              <w:rPr>
                <w:color w:val="76923C" w:themeColor="accent3" w:themeShade="BF"/>
                <w:sz w:val="20"/>
                <w:szCs w:val="20"/>
              </w:rPr>
              <w:t>oštetljivosti</w:t>
            </w:r>
            <w:proofErr w:type="spellEnd"/>
            <w:r>
              <w:rPr>
                <w:color w:val="76923C" w:themeColor="accent3" w:themeShade="BF"/>
                <w:sz w:val="20"/>
                <w:szCs w:val="20"/>
              </w:rPr>
              <w:t xml:space="preserve"> A; šteta 4. stupn</w:t>
            </w:r>
            <w:r>
              <w:rPr>
                <w:color w:val="76923C" w:themeColor="accent3" w:themeShade="BF"/>
                <w:sz w:val="20"/>
                <w:szCs w:val="20"/>
              </w:rPr>
              <w:t>ja na malo zgrada razreda A; šteta 2. stupnja na mnogim zgradama razreda B: šteta 3. stupnja na malo zgrada razreda B; šteta 2. stupnja na malo zgrada razreda C; šteta 1. stupnja na malo zgrada razreda D</w:t>
            </w:r>
          </w:p>
        </w:tc>
      </w:tr>
      <w:tr w:rsidR="00A07D92" w:rsidTr="00A07D92">
        <w:trPr>
          <w:trHeight w:val="922"/>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VIII.</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Jako štetan</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a) mnogi ljudi teško stoje, čak i</w:t>
            </w:r>
            <w:r>
              <w:rPr>
                <w:color w:val="76923C" w:themeColor="accent3" w:themeShade="BF"/>
                <w:sz w:val="20"/>
                <w:szCs w:val="20"/>
              </w:rPr>
              <w:t xml:space="preserve"> vani</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b) namještaj se prevrće; predmeti kao što su televizori, pisaći strojevi itd. padaju na tlo; nadgrobni spomenici se negdje pomiču, uvrću ili prevrću; na mekom se tlu mogu vidjeti valovi</w:t>
            </w:r>
          </w:p>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c) šteta 4. stupnja na mnogim, a šteta 5. stupnja na nekim zgrad</w:t>
            </w:r>
            <w:r>
              <w:rPr>
                <w:color w:val="76923C" w:themeColor="accent3" w:themeShade="BF"/>
                <w:sz w:val="20"/>
                <w:szCs w:val="20"/>
              </w:rPr>
              <w:t>ama razreda A; šteta 3. stupnja na mnogim, a šteta 4. stupnja na nekim zgradama razreda B; šteta 2. stupnja na mnogim, a šteta 3. stupnja na nekim zgradama razreda C; šteta 2. stupnja na nekim zgradama razreda D</w:t>
            </w:r>
          </w:p>
        </w:tc>
      </w:tr>
      <w:tr w:rsidR="00A07D92" w:rsidTr="00A07D92">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IX.</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Razoran</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 xml:space="preserve">a) opća panika; potres ljude </w:t>
            </w:r>
            <w:r>
              <w:rPr>
                <w:color w:val="76923C" w:themeColor="accent3" w:themeShade="BF"/>
                <w:sz w:val="20"/>
                <w:szCs w:val="20"/>
              </w:rPr>
              <w:t>baca na tlo</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b) mnogi spomenici i stupovi padaju ili se uvrću; na mekom se tlu vide valovi</w:t>
            </w:r>
          </w:p>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c) šteta 5. stupnja na mnogim zgradama razreda A; šteta 4. stupnja na mnogim, a šteta 5. stupnja na nekim zgradama razreda B; šteta 3. stupnja na mnogim, a šteta 4. s</w:t>
            </w:r>
            <w:r>
              <w:rPr>
                <w:color w:val="76923C" w:themeColor="accent3" w:themeShade="BF"/>
                <w:sz w:val="20"/>
                <w:szCs w:val="20"/>
              </w:rPr>
              <w:t xml:space="preserve">tupnja na nekim zgradama razreda C; šteta 2. stupnja na mnogim, a šteta 3. stupnja na nekim zgradama razreda D; šteta </w:t>
            </w:r>
            <w:r>
              <w:rPr>
                <w:color w:val="76923C" w:themeColor="accent3" w:themeShade="BF"/>
                <w:sz w:val="20"/>
                <w:szCs w:val="20"/>
              </w:rPr>
              <w:lastRenderedPageBreak/>
              <w:t>2. stupnja na nekim zgradama razreda E</w:t>
            </w:r>
          </w:p>
        </w:tc>
      </w:tr>
      <w:tr w:rsidR="00A07D92" w:rsidTr="00A07D92">
        <w:trPr>
          <w:trHeight w:val="1300"/>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lastRenderedPageBreak/>
              <w:t>X.</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Vrlo razoran</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 xml:space="preserve">a) šteta 5. stupnja na većini zgrada razreda A; šteta 5. stupnja na mnogim </w:t>
            </w:r>
            <w:r>
              <w:rPr>
                <w:color w:val="76923C" w:themeColor="accent3" w:themeShade="BF"/>
                <w:sz w:val="20"/>
                <w:szCs w:val="20"/>
              </w:rPr>
              <w:t>zgradama razreda B; šteta 4. stupnja na mnogim, a šteta 5. stupnja na nekim zgradama razreda C; šteta 3. stupnja na mnogim, a šteta 4. stupnja na nekim zgradama razreda D; šteta 2. stupnja na mnogim, a šteta 3. stupnja na nekim zgradama razreda E; šteta 2.</w:t>
            </w:r>
            <w:r>
              <w:rPr>
                <w:color w:val="76923C" w:themeColor="accent3" w:themeShade="BF"/>
                <w:sz w:val="20"/>
                <w:szCs w:val="20"/>
              </w:rPr>
              <w:t xml:space="preserve"> stupnja na nekim zgradama razreda F</w:t>
            </w:r>
          </w:p>
        </w:tc>
      </w:tr>
      <w:tr w:rsidR="00A07D92" w:rsidTr="00A07D92">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XI.</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Pustošan</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 xml:space="preserve">a) šteta 5. stupnja na većini zgrada razreda B; šteta 4. stupnja na većini, a šteta 5. stupnja na mnogim zgradama razreda C; šteta 4. stupnja na mnogim, a šteta 5. stupnja na nekim zgradama razreda D; </w:t>
            </w:r>
            <w:r>
              <w:rPr>
                <w:color w:val="76923C" w:themeColor="accent3" w:themeShade="BF"/>
                <w:sz w:val="20"/>
                <w:szCs w:val="20"/>
              </w:rPr>
              <w:t>šteta 3. stupnja na mnogim, a šteta 4. stupnja na nekim zgradama razreda E; šteta 2. stupnja na mnogim, a šteta 3. stupnja na nekim zgradama razreda F</w:t>
            </w:r>
          </w:p>
        </w:tc>
      </w:tr>
      <w:tr w:rsidR="00A07D92" w:rsidTr="00A07D92">
        <w:trPr>
          <w:trHeight w:val="525"/>
          <w:jc w:val="center"/>
        </w:trPr>
        <w:tc>
          <w:tcPr>
            <w:cnfStyle w:val="001000000000" w:firstRow="0" w:lastRow="0" w:firstColumn="1" w:lastColumn="0" w:oddVBand="0" w:evenVBand="0" w:oddHBand="0" w:evenHBand="0" w:firstRowFirstColumn="0" w:firstRowLastColumn="0" w:lastRowFirstColumn="0" w:lastRowLastColumn="0"/>
            <w:tcW w:w="12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XII.</w:t>
            </w:r>
          </w:p>
        </w:tc>
        <w:tc>
          <w:tcPr>
            <w:tcW w:w="1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U cijelosti pustošan</w:t>
            </w:r>
          </w:p>
        </w:tc>
        <w:tc>
          <w:tcPr>
            <w:tcW w:w="68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a) sve zgrade razreda A, B i praktično sve do razreda C su razorene; većina zg</w:t>
            </w:r>
            <w:r>
              <w:rPr>
                <w:color w:val="76923C" w:themeColor="accent3" w:themeShade="BF"/>
                <w:sz w:val="20"/>
                <w:szCs w:val="20"/>
              </w:rPr>
              <w:t>rada razreda D, E i F su razorene; potres je dostigao je najveći pojmljiv učinak</w:t>
            </w:r>
          </w:p>
        </w:tc>
      </w:tr>
    </w:tbl>
    <w:p w:rsidR="00A07D92" w:rsidRDefault="00A07D92"/>
    <w:p w:rsidR="00A07D92" w:rsidRDefault="00495E63">
      <w:r>
        <w:t xml:space="preserve">U </w:t>
      </w:r>
      <w:r>
        <w:rPr>
          <w:i/>
        </w:rPr>
        <w:t xml:space="preserve">tablici 25. EMS-98 ljestvica intenziteta potresa </w:t>
      </w:r>
      <w:r>
        <w:t xml:space="preserve">slova a) predstavlja učinke na ljude, b) učinke na predmete i prirodu, c) učinke na zgrade. Količine su podijeljene u tri </w:t>
      </w:r>
      <w:r>
        <w:t>skupine, neki – predstavlja količinu od 0-20%, mnogi – količinu od 10-60% te većina – količinu od 60-100%.</w:t>
      </w:r>
    </w:p>
    <w:p w:rsidR="00A07D92" w:rsidRDefault="00495E63">
      <w:pPr>
        <w:spacing w:before="120" w:after="120"/>
        <w:rPr>
          <w:rFonts w:eastAsiaTheme="minorHAnsi"/>
          <w:iCs/>
        </w:rPr>
      </w:pPr>
      <w:r>
        <w:rPr>
          <w:rFonts w:eastAsiaTheme="minorHAnsi"/>
          <w:iCs/>
          <w:color w:val="auto"/>
        </w:rPr>
        <w:t xml:space="preserve">Drugi </w:t>
      </w:r>
      <w:r>
        <w:rPr>
          <w:rFonts w:eastAsiaTheme="minorHAnsi"/>
          <w:iCs/>
        </w:rPr>
        <w:t xml:space="preserve">način opisivanja potresa je preko magnitude potresa (mjera elastične energije oslobođene tijekom potresa) i prikazuje se preko </w:t>
      </w:r>
      <w:proofErr w:type="spellStart"/>
      <w:r>
        <w:rPr>
          <w:rFonts w:eastAsiaTheme="minorHAnsi"/>
          <w:iCs/>
        </w:rPr>
        <w:t>Richterove</w:t>
      </w:r>
      <w:proofErr w:type="spellEnd"/>
      <w:r>
        <w:rPr>
          <w:rFonts w:eastAsiaTheme="minorHAnsi"/>
          <w:iCs/>
        </w:rPr>
        <w:t xml:space="preserve"> ljest</w:t>
      </w:r>
      <w:r>
        <w:rPr>
          <w:rFonts w:eastAsiaTheme="minorHAnsi"/>
          <w:iCs/>
        </w:rPr>
        <w:t>vice koja ima 10 stupnjeva.</w:t>
      </w:r>
    </w:p>
    <w:p w:rsidR="00A07D92" w:rsidRDefault="00495E63">
      <w:r>
        <w:t>Na Karti potresnih područja – Poredbeno vršno ubrzanje tla tipa A s vjerojatnosti premašaja 10% u 50 (povratno razdoblje 475 godina) izraženo u jedinicama gravitacijskog ubrzanja, g. Područje Grada  Malog Lošinja nalazi se u pod</w:t>
      </w:r>
      <w:r>
        <w:t>ručju vršnog ubrzanja tla za povratni period od 475 godina u području 0,06 do 0,08 g što odgovara VI° po MCS ljestvici.</w:t>
      </w:r>
    </w:p>
    <w:p w:rsidR="00A07D92" w:rsidRDefault="00495E63">
      <w:pPr>
        <w:jc w:val="center"/>
        <w:rPr>
          <w:highlight w:val="yellow"/>
        </w:rPr>
      </w:pPr>
      <w:r>
        <w:rPr>
          <w:noProof/>
          <w:lang w:eastAsia="hr-HR"/>
        </w:rPr>
        <w:lastRenderedPageBreak/>
        <w:drawing>
          <wp:inline distT="0" distB="0" distL="0" distR="0">
            <wp:extent cx="5759450" cy="5504815"/>
            <wp:effectExtent l="0" t="0" r="0" b="0"/>
            <wp:docPr id="3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15"/>
                    <pic:cNvPicPr>
                      <a:picLocks noChangeAspect="1" noChangeArrowheads="1"/>
                    </pic:cNvPicPr>
                  </pic:nvPicPr>
                  <pic:blipFill>
                    <a:blip r:embed="rId80"/>
                    <a:stretch>
                      <a:fillRect/>
                    </a:stretch>
                  </pic:blipFill>
                  <pic:spPr bwMode="auto">
                    <a:xfrm>
                      <a:off x="0" y="0"/>
                      <a:ext cx="5759450" cy="5504815"/>
                    </a:xfrm>
                    <a:prstGeom prst="rect">
                      <a:avLst/>
                    </a:prstGeom>
                  </pic:spPr>
                </pic:pic>
              </a:graphicData>
            </a:graphic>
          </wp:inline>
        </w:drawing>
      </w:r>
      <w:r>
        <w:rPr>
          <w:noProof/>
          <w:lang w:eastAsia="hr-HR"/>
        </w:rPr>
        <mc:AlternateContent>
          <mc:Choice Requires="wps">
            <w:drawing>
              <wp:anchor distT="0" distB="0" distL="0" distR="0" simplePos="0" relativeHeight="13" behindDoc="0" locked="0" layoutInCell="1" allowOverlap="1" wp14:anchorId="1D213824">
                <wp:simplePos x="0" y="0"/>
                <wp:positionH relativeFrom="column">
                  <wp:posOffset>1270635</wp:posOffset>
                </wp:positionH>
                <wp:positionV relativeFrom="paragraph">
                  <wp:posOffset>2294890</wp:posOffset>
                </wp:positionV>
                <wp:extent cx="114300" cy="124460"/>
                <wp:effectExtent l="0" t="0" r="635" b="9525"/>
                <wp:wrapNone/>
                <wp:docPr id="33" name="Regular Pentagon 61"/>
                <wp:cNvGraphicFramePr/>
                <a:graphic xmlns:a="http://schemas.openxmlformats.org/drawingml/2006/main">
                  <a:graphicData uri="http://schemas.microsoft.com/office/word/2010/wordprocessingShape">
                    <wps:wsp>
                      <wps:cNvSpPr/>
                      <wps:spPr>
                        <a:xfrm>
                          <a:off x="0" y="0"/>
                          <a:ext cx="113760" cy="123840"/>
                        </a:xfrm>
                        <a:prstGeom prst="pentagon">
                          <a:avLst>
                            <a:gd name="hf" fmla="val 105146"/>
                            <a:gd name="vf" fmla="val 110557"/>
                          </a:avLst>
                        </a:prstGeom>
                        <a:solidFill>
                          <a:srgbClr val="FF0000"/>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type id="shapetype_56" coordsize="21600,21600" o:spt="56" path="m@8@12l10800,l@11@12l@10@13l@9@13xe">
                <v:stroke joinstyle="miter"/>
                <v:formulas>
                  <v:f eqn="prod 1 22712 2"/>
                  <v:f eqn="prod 1 23880 2"/>
                  <v:f eqn="sumangle 0 18 0"/>
                  <v:f eqn="cos @0 @2"/>
                  <v:f eqn="sumangle 0 306 0"/>
                  <v:f eqn="cos @0 @4"/>
                  <v:f eqn="sin @1 @2"/>
                  <v:f eqn="sin @1 @4"/>
                  <v:f eqn="sum 10800 0 @3"/>
                  <v:f eqn="sum 10800 0 @5"/>
                  <v:f eqn="sum 10800 @5 0"/>
                  <v:f eqn="sum 10800 @3 0"/>
                  <v:f eqn="sum @1 0 @6"/>
                  <v:f eqn="sum @1 0 @7"/>
                  <v:f eqn="prod @12 @5 @3"/>
                </v:formulas>
                <v:path gradientshapeok="t" o:connecttype="rect" textboxrect="@9,@14,@10,@13"/>
              </v:shapetype>
              <v:shape id="shape_0" ID="Regular Pentagon 61" fillcolor="red" stroked="f" style="position:absolute;margin-left:100.05pt;margin-top:180.7pt;width:8.9pt;height:9.7pt" wp14:anchorId="1D213824" type="shapetype_56">
                <w10:wrap type="none"/>
                <v:fill o:detectmouseclick="t" type="solid" color2="aqua"/>
                <v:stroke color="#3465a4" weight="25560" joinstyle="round" endcap="flat"/>
              </v:shape>
            </w:pict>
          </mc:Fallback>
        </mc:AlternateContent>
      </w:r>
      <w:r>
        <w:rPr>
          <w:noProof/>
          <w:lang w:eastAsia="hr-HR"/>
        </w:rPr>
        <mc:AlternateContent>
          <mc:Choice Requires="wps">
            <w:drawing>
              <wp:anchor distT="0" distB="0" distL="0" distR="0" simplePos="0" relativeHeight="14" behindDoc="0" locked="0" layoutInCell="1" allowOverlap="1" wp14:anchorId="376C5005">
                <wp:simplePos x="0" y="0"/>
                <wp:positionH relativeFrom="margin">
                  <wp:align>center</wp:align>
                </wp:positionH>
                <wp:positionV relativeFrom="paragraph">
                  <wp:posOffset>2418080</wp:posOffset>
                </wp:positionV>
                <wp:extent cx="1553210" cy="353060"/>
                <wp:effectExtent l="1333500" t="95250" r="28575" b="28575"/>
                <wp:wrapNone/>
                <wp:docPr id="34" name="Line Callout 1 256"/>
                <wp:cNvGraphicFramePr/>
                <a:graphic xmlns:a="http://schemas.openxmlformats.org/drawingml/2006/main">
                  <a:graphicData uri="http://schemas.microsoft.com/office/word/2010/wordprocessingShape">
                    <wps:wsp>
                      <wps:cNvSpPr/>
                      <wps:spPr>
                        <a:xfrm>
                          <a:off x="0" y="0"/>
                          <a:ext cx="1552680" cy="352440"/>
                        </a:xfrm>
                        <a:prstGeom prst="borderCallout1">
                          <a:avLst>
                            <a:gd name="adj1" fmla="val 8959"/>
                            <a:gd name="adj2" fmla="val -554"/>
                            <a:gd name="adj3" fmla="val -21995"/>
                            <a:gd name="adj4" fmla="val -84537"/>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rsidR="00A07D92" w:rsidRDefault="00495E63">
                            <w:pPr>
                              <w:pStyle w:val="Sadrajokvira"/>
                              <w:jc w:val="center"/>
                              <w:rPr>
                                <w:color w:val="FFFFFF"/>
                              </w:rPr>
                            </w:pPr>
                            <w:r>
                              <w:rPr>
                                <w:b/>
                                <w:color w:val="FFFFFF"/>
                                <w:sz w:val="20"/>
                              </w:rPr>
                              <w:t>Grad Mali Lošinj</w:t>
                            </w:r>
                          </w:p>
                        </w:txbxContent>
                      </wps:txbx>
                      <wps:bodyPr anchor="ctr">
                        <a:prstTxWarp prst="textNoShape">
                          <a:avLst/>
                        </a:prstTxWarp>
                        <a:noAutofit/>
                      </wps:bodyPr>
                    </wps:wsp>
                  </a:graphicData>
                </a:graphic>
              </wp:anchor>
            </w:drawing>
          </mc:Choice>
          <mc:Fallback>
            <w:pict>
              <v:shapetype id="shapetype_180" coordsize="21600,21600" o:spt="180" adj="-8280,24300,-1800,4050" path="m,l21600,l21600,21600l,21600xem@1@0l@3@2nfe">
                <v:stroke joinstyle="miter"/>
                <v:formulas>
                  <v:f eqn="val #3"/>
                  <v:f eqn="val #2"/>
                  <v:f eqn="val #1"/>
                  <v:f eqn="val #0"/>
                </v:formulas>
                <v:path gradientshapeok="t" o:connecttype="rect" textboxrect="0,0,21600,21600"/>
                <v:handles>
                  <v:h position="@1,@0"/>
                  <v:h position="@3,@2"/>
                </v:handles>
              </v:shapetype>
              <v:shape id="shape_0" ID="Line Callout 1 256" stroked="t" style="position:absolute;margin-left:165.6pt;margin-top:190.4pt;width:122.2pt;height:27.7pt;mso-position-horizontal:center;mso-position-horizontal-relative:margin" wp14:anchorId="376C5005" type="shapetype_180">
                <w10:wrap type="square"/>
                <v:fill o:detectmouseclick="t" on="false"/>
                <v:stroke color="red" weight="25560" joinstyle="round" endcap="flat"/>
                <v:textbox>
                  <w:txbxContent>
                    <w:p>
                      <w:pPr>
                        <w:pStyle w:val="Sadrajokvira"/>
                        <w:spacing w:before="80" w:after="160"/>
                        <w:jc w:val="center"/>
                        <w:rPr>
                          <w:color w:val="FFFFFF"/>
                        </w:rPr>
                      </w:pPr>
                      <w:r>
                        <w:rPr>
                          <w:b/>
                          <w:color w:val="FFFFFF"/>
                          <w:sz w:val="20"/>
                        </w:rPr>
                        <w:t>Grad Mali Lošinj</w:t>
                      </w:r>
                    </w:p>
                  </w:txbxContent>
                </v:textbox>
              </v:shape>
            </w:pict>
          </mc:Fallback>
        </mc:AlternateContent>
      </w:r>
    </w:p>
    <w:p w:rsidR="00A07D92" w:rsidRDefault="00495E63">
      <w:pPr>
        <w:pStyle w:val="Opisslike"/>
        <w:spacing w:after="0"/>
      </w:pPr>
      <w:r>
        <w:t xml:space="preserve">Slika </w:t>
      </w:r>
      <w:r>
        <w:fldChar w:fldCharType="begin"/>
      </w:r>
      <w:r>
        <w:instrText>SEQ Slika \* ARABIC</w:instrText>
      </w:r>
      <w:r>
        <w:fldChar w:fldCharType="separate"/>
      </w:r>
      <w:r>
        <w:t>5</w:t>
      </w:r>
      <w:r>
        <w:fldChar w:fldCharType="end"/>
      </w:r>
      <w:r>
        <w:t xml:space="preserve">. Karta potresnih područja Republike Hrvatske - HRN EN 1998-1:2011/NA:2011, </w:t>
      </w:r>
      <w:proofErr w:type="spellStart"/>
      <w:r>
        <w:t>Eurokod</w:t>
      </w:r>
      <w:proofErr w:type="spellEnd"/>
      <w:r>
        <w:t xml:space="preserve"> </w:t>
      </w:r>
      <w:r>
        <w:t>8: Projektiranje potresne otpornosti konstrukcija - 1. dio: Opća pravila, potresna djelovanja i pravila za zgrade</w:t>
      </w:r>
    </w:p>
    <w:p w:rsidR="00A07D92" w:rsidRDefault="00495E63">
      <w:pPr>
        <w:pStyle w:val="Opisslike"/>
      </w:pPr>
      <w:r>
        <w:t>Izvor: http://seizkarta.gfz.hr/karta.php</w:t>
      </w:r>
    </w:p>
    <w:p w:rsidR="00A07D92" w:rsidRDefault="00495E63">
      <w:pPr>
        <w:jc w:val="center"/>
        <w:rPr>
          <w:rFonts w:cstheme="minorHAnsi"/>
        </w:rPr>
      </w:pPr>
      <w:bookmarkStart w:id="126" w:name="_Toc406573010"/>
      <w:r>
        <w:rPr>
          <w:noProof/>
          <w:lang w:eastAsia="hr-HR"/>
        </w:rPr>
        <w:lastRenderedPageBreak/>
        <w:drawing>
          <wp:inline distT="0" distB="0" distL="0" distR="0">
            <wp:extent cx="4551680" cy="3268980"/>
            <wp:effectExtent l="0" t="0" r="0"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
                    <pic:cNvPicPr>
                      <a:picLocks noChangeAspect="1" noChangeArrowheads="1"/>
                    </pic:cNvPicPr>
                  </pic:nvPicPr>
                  <pic:blipFill>
                    <a:blip r:embed="rId81"/>
                    <a:stretch>
                      <a:fillRect/>
                    </a:stretch>
                  </pic:blipFill>
                  <pic:spPr bwMode="auto">
                    <a:xfrm>
                      <a:off x="0" y="0"/>
                      <a:ext cx="4551680" cy="3268980"/>
                    </a:xfrm>
                    <a:prstGeom prst="rect">
                      <a:avLst/>
                    </a:prstGeom>
                  </pic:spPr>
                </pic:pic>
              </a:graphicData>
            </a:graphic>
          </wp:inline>
        </w:drawing>
      </w:r>
    </w:p>
    <w:p w:rsidR="00A07D92" w:rsidRDefault="00495E63">
      <w:pPr>
        <w:spacing w:before="0" w:after="0" w:line="240" w:lineRule="auto"/>
        <w:jc w:val="center"/>
        <w:rPr>
          <w:rFonts w:eastAsiaTheme="minorHAnsi"/>
          <w:bCs/>
          <w:color w:val="54883D"/>
          <w:sz w:val="20"/>
          <w:szCs w:val="18"/>
          <w:lang w:bidi="en-US"/>
        </w:rPr>
      </w:pPr>
      <w:r>
        <w:rPr>
          <w:rFonts w:eastAsiaTheme="minorHAnsi"/>
          <w:bCs/>
          <w:color w:val="54883D"/>
          <w:sz w:val="20"/>
          <w:szCs w:val="18"/>
          <w:lang w:bidi="en-US"/>
        </w:rPr>
        <w:t xml:space="preserve">Slika </w:t>
      </w:r>
      <w:r>
        <w:rPr>
          <w:rFonts w:eastAsiaTheme="minorHAns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6</w:t>
      </w:r>
      <w:r>
        <w:rPr>
          <w:rFonts w:eastAsia="Calibri"/>
          <w:bCs/>
          <w:sz w:val="20"/>
          <w:szCs w:val="18"/>
        </w:rPr>
        <w:fldChar w:fldCharType="end"/>
      </w:r>
      <w:r>
        <w:rPr>
          <w:rFonts w:eastAsiaTheme="minorHAnsi"/>
          <w:bCs/>
          <w:color w:val="54883D"/>
          <w:sz w:val="20"/>
          <w:szCs w:val="18"/>
          <w:lang w:bidi="en-US"/>
        </w:rPr>
        <w:t>. Isječak karte potresnih područja Republike Hrvatske - HRN EN 1998-1:</w:t>
      </w:r>
      <w:r>
        <w:rPr>
          <w:rFonts w:eastAsiaTheme="minorHAnsi"/>
          <w:bCs/>
          <w:color w:val="54883D"/>
          <w:sz w:val="20"/>
          <w:szCs w:val="18"/>
          <w:lang w:bidi="en-US"/>
        </w:rPr>
        <w:t xml:space="preserve">2011/NA:2011, </w:t>
      </w:r>
      <w:proofErr w:type="spellStart"/>
      <w:r>
        <w:rPr>
          <w:rFonts w:eastAsiaTheme="minorHAnsi"/>
          <w:bCs/>
          <w:color w:val="54883D"/>
          <w:sz w:val="20"/>
          <w:szCs w:val="18"/>
          <w:lang w:bidi="en-US"/>
        </w:rPr>
        <w:t>Eurokod</w:t>
      </w:r>
      <w:proofErr w:type="spellEnd"/>
      <w:r>
        <w:rPr>
          <w:rFonts w:eastAsiaTheme="minorHAnsi"/>
          <w:bCs/>
          <w:color w:val="54883D"/>
          <w:sz w:val="20"/>
          <w:szCs w:val="18"/>
          <w:lang w:bidi="en-US"/>
        </w:rPr>
        <w:t xml:space="preserve"> 8: Projektiranje potresne otpornosti konstrukcija - 1. dio: Opća pravila, potresna djelovanja i pravila za zgrade</w:t>
      </w:r>
    </w:p>
    <w:p w:rsidR="00A07D92" w:rsidRDefault="00495E63">
      <w:pPr>
        <w:spacing w:before="0" w:after="0" w:line="240" w:lineRule="auto"/>
        <w:jc w:val="center"/>
        <w:rPr>
          <w:rFonts w:eastAsiaTheme="minorHAnsi"/>
          <w:bCs/>
          <w:color w:val="54883D"/>
          <w:sz w:val="20"/>
          <w:szCs w:val="18"/>
          <w:lang w:bidi="en-US"/>
        </w:rPr>
      </w:pPr>
      <w:r>
        <w:rPr>
          <w:rFonts w:eastAsiaTheme="minorHAnsi"/>
          <w:bCs/>
          <w:color w:val="54883D"/>
          <w:sz w:val="20"/>
          <w:szCs w:val="18"/>
          <w:lang w:bidi="en-US"/>
        </w:rPr>
        <w:t>Izvor: http://seizkarta.gfz.hr/karta.php</w:t>
      </w:r>
    </w:p>
    <w:p w:rsidR="00A07D92" w:rsidRDefault="00A07D92">
      <w:pPr>
        <w:spacing w:before="0" w:after="0" w:line="240" w:lineRule="auto"/>
        <w:jc w:val="center"/>
        <w:rPr>
          <w:rFonts w:eastAsiaTheme="minorHAnsi"/>
          <w:bCs/>
          <w:color w:val="54883D"/>
          <w:sz w:val="20"/>
          <w:szCs w:val="18"/>
          <w:lang w:bidi="en-US"/>
        </w:rPr>
      </w:pPr>
    </w:p>
    <w:p w:rsidR="00A07D92" w:rsidRDefault="00495E63">
      <w:pPr>
        <w:rPr>
          <w:rFonts w:cstheme="minorHAnsi"/>
        </w:rPr>
      </w:pPr>
      <w:r>
        <w:rPr>
          <w:rFonts w:cstheme="minorHAnsi"/>
        </w:rPr>
        <w:t>Veza između vršnih ubrzanja i MCS ljestvice prikazana je u sljedećoj tablici.</w:t>
      </w:r>
    </w:p>
    <w:p w:rsidR="00A07D92" w:rsidRDefault="00495E63">
      <w:pPr>
        <w:pStyle w:val="Opisslike"/>
      </w:pPr>
      <w:r>
        <w:t xml:space="preserve">Tablica </w:t>
      </w:r>
      <w:r>
        <w:fldChar w:fldCharType="begin"/>
      </w:r>
      <w:r>
        <w:instrText>SEQ Tabela \* ARABIC</w:instrText>
      </w:r>
      <w:r>
        <w:fldChar w:fldCharType="separate"/>
      </w:r>
      <w:r>
        <w:t>19</w:t>
      </w:r>
      <w:r>
        <w:fldChar w:fldCharType="end"/>
      </w:r>
      <w:r>
        <w:t>. Veza između vrijednosti vršnog ubrzanja tla i MCS ljestvice</w:t>
      </w:r>
      <w:bookmarkEnd w:id="126"/>
    </w:p>
    <w:tbl>
      <w:tblPr>
        <w:tblStyle w:val="ivopisnatablicareetke6-isticanje31"/>
        <w:tblW w:w="8726" w:type="dxa"/>
        <w:jc w:val="center"/>
        <w:tblLook w:val="00A0" w:firstRow="1" w:lastRow="0" w:firstColumn="1" w:lastColumn="0" w:noHBand="0" w:noVBand="0"/>
      </w:tblPr>
      <w:tblGrid>
        <w:gridCol w:w="987"/>
        <w:gridCol w:w="1702"/>
        <w:gridCol w:w="1273"/>
        <w:gridCol w:w="4764"/>
      </w:tblGrid>
      <w:tr w:rsidR="00A07D92" w:rsidTr="00A07D92">
        <w:trPr>
          <w:cnfStyle w:val="100000000000" w:firstRow="1" w:lastRow="0" w:firstColumn="0" w:lastColumn="0" w:oddVBand="0" w:evenVBand="0" w:oddHBand="0" w:evenHBand="0" w:firstRowFirstColumn="0" w:firstRowLastColumn="0" w:lastRowFirstColumn="0" w:lastRowLastColumn="0"/>
          <w:trHeight w:val="521"/>
          <w:tblHeader/>
          <w:jc w:val="center"/>
        </w:trPr>
        <w:tc>
          <w:tcPr>
            <w:cnfStyle w:val="001000000000" w:firstRow="0" w:lastRow="0" w:firstColumn="1" w:lastColumn="0" w:oddVBand="0" w:evenVBand="0" w:oddHBand="0" w:evenHBand="0" w:firstRowFirstColumn="0" w:firstRowLastColumn="0" w:lastRowFirstColumn="0" w:lastRowLastColumn="0"/>
            <w:tcW w:w="98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MCS stupanj potresa</w:t>
            </w:r>
          </w:p>
        </w:tc>
        <w:tc>
          <w:tcPr>
            <w:cnfStyle w:val="000010000000" w:firstRow="0" w:lastRow="0" w:firstColumn="0" w:lastColumn="0" w:oddVBand="1" w:evenVBand="0" w:oddHBand="0" w:evenHBand="0" w:firstRowFirstColumn="0" w:firstRowLastColumn="0" w:lastRowFirstColumn="0" w:lastRowLastColumn="0"/>
            <w:tcW w:w="17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VRŠNO UBRZANJE TLA (jedinica gravitacijskog ubrzanja, g)</w:t>
            </w:r>
          </w:p>
        </w:tc>
        <w:tc>
          <w:tcPr>
            <w:tcW w:w="12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NAZIV POTRESA</w:t>
            </w:r>
          </w:p>
        </w:tc>
        <w:tc>
          <w:tcPr>
            <w:cnfStyle w:val="000010000000" w:firstRow="0" w:lastRow="0" w:firstColumn="0" w:lastColumn="0" w:oddVBand="1" w:evenVBand="0" w:oddHBand="0" w:evenHBand="0" w:firstRowFirstColumn="0" w:firstRowLastColumn="0" w:lastRowFirstColumn="0" w:lastRowLastColumn="0"/>
            <w:tcW w:w="47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val="0"/>
                <w:bCs w:val="0"/>
                <w:sz w:val="20"/>
              </w:rPr>
            </w:pPr>
            <w:r>
              <w:rPr>
                <w:color w:val="76923C" w:themeColor="accent3" w:themeShade="BF"/>
                <w:sz w:val="20"/>
              </w:rPr>
              <w:t>OPIS POTRESA</w:t>
            </w:r>
          </w:p>
        </w:tc>
      </w:tr>
      <w:tr w:rsidR="00A07D92" w:rsidTr="00A07D92">
        <w:trPr>
          <w:cnfStyle w:val="000000100000" w:firstRow="0" w:lastRow="0" w:firstColumn="0" w:lastColumn="0" w:oddVBand="0" w:evenVBand="0" w:oddHBand="1" w:evenHBand="0" w:firstRowFirstColumn="0" w:firstRowLastColumn="0" w:lastRowFirstColumn="0" w:lastRowLastColumn="0"/>
          <w:trHeight w:val="1048"/>
          <w:jc w:val="center"/>
        </w:trPr>
        <w:tc>
          <w:tcPr>
            <w:cnfStyle w:val="001000000000" w:firstRow="0" w:lastRow="0" w:firstColumn="1" w:lastColumn="0" w:oddVBand="0" w:evenVBand="0" w:oddHBand="0" w:evenHBand="0" w:firstRowFirstColumn="0" w:firstRowLastColumn="0" w:lastRowFirstColumn="0" w:lastRowLastColumn="0"/>
            <w:tcW w:w="98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VI.</w:t>
            </w:r>
          </w:p>
        </w:tc>
        <w:tc>
          <w:tcPr>
            <w:cnfStyle w:val="000010000000" w:firstRow="0" w:lastRow="0" w:firstColumn="0" w:lastColumn="0" w:oddVBand="1" w:evenVBand="0" w:oddHBand="0" w:evenHBand="0" w:firstRowFirstColumn="0" w:firstRowLastColumn="0" w:lastRowFirstColumn="0" w:lastRowLastColumn="0"/>
            <w:tcW w:w="17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0,05 g</w:t>
            </w:r>
          </w:p>
        </w:tc>
        <w:tc>
          <w:tcPr>
            <w:tcW w:w="12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jak</w:t>
            </w:r>
          </w:p>
        </w:tc>
        <w:tc>
          <w:tcPr>
            <w:cnfStyle w:val="000010000000" w:firstRow="0" w:lastRow="0" w:firstColumn="0" w:lastColumn="0" w:oddVBand="1" w:evenVBand="0" w:oddHBand="0" w:evenHBand="0" w:firstRowFirstColumn="0" w:firstRowLastColumn="0" w:lastRowFirstColumn="0" w:lastRowLastColumn="0"/>
            <w:tcW w:w="476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0" w:line="240" w:lineRule="auto"/>
              <w:rPr>
                <w:i/>
                <w:sz w:val="20"/>
              </w:rPr>
            </w:pPr>
            <w:r>
              <w:rPr>
                <w:color w:val="76923C" w:themeColor="accent3" w:themeShade="BF"/>
                <w:sz w:val="20"/>
              </w:rPr>
              <w:t xml:space="preserve">Ljudi bježe iz zgrada. Sa zidova padaju </w:t>
            </w:r>
            <w:r>
              <w:rPr>
                <w:color w:val="76923C" w:themeColor="accent3" w:themeShade="BF"/>
                <w:sz w:val="20"/>
              </w:rPr>
              <w:t>slike, ruše se predmeti, razbija se posuđe, pomiče ili prevrće pokućstvo. Zvone manja crkvena zvona. Lagano se oštećuju pojedine dobro građene kuće.</w:t>
            </w:r>
          </w:p>
        </w:tc>
      </w:tr>
      <w:tr w:rsidR="00A07D92" w:rsidTr="00A07D92">
        <w:trPr>
          <w:trHeight w:val="601"/>
          <w:jc w:val="center"/>
        </w:trPr>
        <w:tc>
          <w:tcPr>
            <w:cnfStyle w:val="001000000000" w:firstRow="0" w:lastRow="0" w:firstColumn="1" w:lastColumn="0" w:oddVBand="0" w:evenVBand="0" w:oddHBand="0" w:evenHBand="0" w:firstRowFirstColumn="0" w:firstRowLastColumn="0" w:lastRowFirstColumn="0" w:lastRowLastColumn="0"/>
            <w:tcW w:w="98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VII.</w:t>
            </w:r>
          </w:p>
        </w:tc>
        <w:tc>
          <w:tcPr>
            <w:cnfStyle w:val="000010000000" w:firstRow="0" w:lastRow="0" w:firstColumn="0" w:lastColumn="0" w:oddVBand="1" w:evenVBand="0" w:oddHBand="0" w:evenHBand="0" w:firstRowFirstColumn="0" w:firstRowLastColumn="0" w:lastRowFirstColumn="0" w:lastRowLastColumn="0"/>
            <w:tcW w:w="17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0,1 g</w:t>
            </w:r>
          </w:p>
        </w:tc>
        <w:tc>
          <w:tcPr>
            <w:tcW w:w="12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vrlo jak</w:t>
            </w:r>
          </w:p>
        </w:tc>
        <w:tc>
          <w:tcPr>
            <w:cnfStyle w:val="000010000000" w:firstRow="0" w:lastRow="0" w:firstColumn="0" w:lastColumn="0" w:oddVBand="1" w:evenVBand="0" w:oddHBand="0" w:evenHBand="0" w:firstRowFirstColumn="0" w:firstRowLastColumn="0" w:lastRowFirstColumn="0" w:lastRowLastColumn="0"/>
            <w:tcW w:w="476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0" w:line="240" w:lineRule="auto"/>
              <w:rPr>
                <w:i/>
                <w:sz w:val="20"/>
              </w:rPr>
            </w:pPr>
            <w:proofErr w:type="spellStart"/>
            <w:r>
              <w:rPr>
                <w:color w:val="76923C" w:themeColor="accent3" w:themeShade="BF"/>
                <w:sz w:val="20"/>
              </w:rPr>
              <w:t>Crijepovi</w:t>
            </w:r>
            <w:proofErr w:type="spellEnd"/>
            <w:r>
              <w:rPr>
                <w:color w:val="76923C" w:themeColor="accent3" w:themeShade="BF"/>
                <w:sz w:val="20"/>
              </w:rPr>
              <w:t xml:space="preserve"> se lome i kližu s krova, ruše se dimnjaci. Oštećuje se pokućstvo u zgradama.</w:t>
            </w:r>
            <w:r>
              <w:rPr>
                <w:color w:val="76923C" w:themeColor="accent3" w:themeShade="BF"/>
                <w:sz w:val="20"/>
              </w:rPr>
              <w:t xml:space="preserve"> Ruše se slabije građene zgrade, a na jačima nastaju oštećenja.</w:t>
            </w:r>
          </w:p>
        </w:tc>
      </w:tr>
      <w:tr w:rsidR="00A07D92" w:rsidTr="00A07D92">
        <w:trPr>
          <w:cnfStyle w:val="000000100000" w:firstRow="0" w:lastRow="0" w:firstColumn="0" w:lastColumn="0" w:oddVBand="0" w:evenVBand="0" w:oddHBand="1" w:evenHBand="0" w:firstRowFirstColumn="0" w:firstRowLastColumn="0" w:lastRowFirstColumn="0" w:lastRowLastColumn="0"/>
          <w:trHeight w:val="780"/>
          <w:jc w:val="center"/>
        </w:trPr>
        <w:tc>
          <w:tcPr>
            <w:cnfStyle w:val="001000000000" w:firstRow="0" w:lastRow="0" w:firstColumn="1" w:lastColumn="0" w:oddVBand="0" w:evenVBand="0" w:oddHBand="0" w:evenHBand="0" w:firstRowFirstColumn="0" w:firstRowLastColumn="0" w:lastRowFirstColumn="0" w:lastRowLastColumn="0"/>
            <w:tcW w:w="98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VIII.</w:t>
            </w:r>
          </w:p>
        </w:tc>
        <w:tc>
          <w:tcPr>
            <w:cnfStyle w:val="000010000000" w:firstRow="0" w:lastRow="0" w:firstColumn="0" w:lastColumn="0" w:oddVBand="1" w:evenVBand="0" w:oddHBand="0" w:evenHBand="0" w:firstRowFirstColumn="0" w:firstRowLastColumn="0" w:lastRowFirstColumn="0" w:lastRowLastColumn="0"/>
            <w:tcW w:w="17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0,2 g</w:t>
            </w:r>
          </w:p>
        </w:tc>
        <w:tc>
          <w:tcPr>
            <w:tcW w:w="12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razoran</w:t>
            </w:r>
          </w:p>
        </w:tc>
        <w:tc>
          <w:tcPr>
            <w:cnfStyle w:val="000010000000" w:firstRow="0" w:lastRow="0" w:firstColumn="0" w:lastColumn="0" w:oddVBand="1" w:evenVBand="0" w:oddHBand="0" w:evenHBand="0" w:firstRowFirstColumn="0" w:firstRowLastColumn="0" w:lastRowFirstColumn="0" w:lastRowLastColumn="0"/>
            <w:tcW w:w="476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0" w:line="240" w:lineRule="auto"/>
              <w:rPr>
                <w:i/>
                <w:sz w:val="20"/>
              </w:rPr>
            </w:pPr>
            <w:r>
              <w:rPr>
                <w:color w:val="76923C" w:themeColor="accent3" w:themeShade="BF"/>
                <w:sz w:val="20"/>
              </w:rPr>
              <w:t>Znatno oštećuje do 25% zgrada. Pojedine se kuće ruše, a veliki broj ih je neprikladan za stanovanje. U tlu nastaju pukotine, a na padinama klizišta.</w:t>
            </w:r>
          </w:p>
        </w:tc>
      </w:tr>
      <w:tr w:rsidR="00A07D92" w:rsidTr="00A07D92">
        <w:trPr>
          <w:trHeight w:val="902"/>
          <w:jc w:val="center"/>
        </w:trPr>
        <w:tc>
          <w:tcPr>
            <w:cnfStyle w:val="001000000000" w:firstRow="0" w:lastRow="0" w:firstColumn="1" w:lastColumn="0" w:oddVBand="0" w:evenVBand="0" w:oddHBand="0" w:evenHBand="0" w:firstRowFirstColumn="0" w:firstRowLastColumn="0" w:lastRowFirstColumn="0" w:lastRowLastColumn="0"/>
            <w:tcW w:w="98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IX.</w:t>
            </w:r>
          </w:p>
        </w:tc>
        <w:tc>
          <w:tcPr>
            <w:cnfStyle w:val="000010000000" w:firstRow="0" w:lastRow="0" w:firstColumn="0" w:lastColumn="0" w:oddVBand="1" w:evenVBand="0" w:oddHBand="0" w:evenHBand="0" w:firstRowFirstColumn="0" w:firstRowLastColumn="0" w:lastRowFirstColumn="0" w:lastRowLastColumn="0"/>
            <w:tcW w:w="17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0,3 g</w:t>
            </w:r>
          </w:p>
        </w:tc>
        <w:tc>
          <w:tcPr>
            <w:tcW w:w="12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pustošni</w:t>
            </w:r>
          </w:p>
        </w:tc>
        <w:tc>
          <w:tcPr>
            <w:cnfStyle w:val="000010000000" w:firstRow="0" w:lastRow="0" w:firstColumn="0" w:lastColumn="0" w:oddVBand="1" w:evenVBand="0" w:oddHBand="0" w:evenHBand="0" w:firstRowFirstColumn="0" w:firstRowLastColumn="0" w:lastRowFirstColumn="0" w:lastRowLastColumn="0"/>
            <w:tcW w:w="476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120" w:after="0" w:line="240" w:lineRule="auto"/>
              <w:rPr>
                <w:i/>
                <w:sz w:val="20"/>
              </w:rPr>
            </w:pPr>
            <w:r>
              <w:rPr>
                <w:color w:val="76923C" w:themeColor="accent3" w:themeShade="BF"/>
                <w:sz w:val="20"/>
              </w:rPr>
              <w:t>Oštećuje 50% zgrada. Mnoge se zgrade ruše, a većina ih je neupotrebljiva. U tlu se javljaju velike pukotine, a na padinama klizišta i odroni.</w:t>
            </w:r>
          </w:p>
        </w:tc>
      </w:tr>
    </w:tbl>
    <w:p w:rsidR="00A07D92" w:rsidRDefault="00495E63">
      <w:r>
        <w:t xml:space="preserve">Klasična podjela oštećenja zgrada koja se najčešće navodi i često upotrebljava kao osnova za slične </w:t>
      </w:r>
      <w:r>
        <w:t xml:space="preserve">kategorizacije temelji se na Europskoj </w:t>
      </w:r>
      <w:proofErr w:type="spellStart"/>
      <w:r>
        <w:t>makroseizmičkoj</w:t>
      </w:r>
      <w:proofErr w:type="spellEnd"/>
      <w:r>
        <w:t xml:space="preserve"> ljestvici EMS-98, s kategorijama oštećenja od I do V, pomoću koje se uobičajeno određuje i intenzitet potresnog djelovanja.</w:t>
      </w:r>
    </w:p>
    <w:p w:rsidR="00A07D92" w:rsidRDefault="00A07D92">
      <w:pPr>
        <w:jc w:val="center"/>
        <w:rPr>
          <w:rFonts w:eastAsia="Calibri"/>
          <w:bCs/>
          <w:color w:val="54883D"/>
          <w:sz w:val="20"/>
          <w:szCs w:val="20"/>
        </w:rPr>
      </w:pPr>
    </w:p>
    <w:p w:rsidR="00A07D92" w:rsidRDefault="00495E63">
      <w:pPr>
        <w:jc w:val="center"/>
        <w:rPr>
          <w:rFonts w:ascii="Calibri" w:eastAsia="Calibri" w:hAnsi="Calibri" w:cs="Times New Roman"/>
          <w:color w:val="auto"/>
          <w:szCs w:val="22"/>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20</w:t>
      </w:r>
      <w:r>
        <w:rPr>
          <w:rFonts w:eastAsia="Calibri"/>
          <w:bCs/>
          <w:sz w:val="20"/>
          <w:szCs w:val="20"/>
        </w:rPr>
        <w:fldChar w:fldCharType="end"/>
      </w:r>
      <w:r>
        <w:rPr>
          <w:rFonts w:eastAsia="Calibri"/>
          <w:bCs/>
          <w:color w:val="54883D"/>
          <w:sz w:val="20"/>
          <w:szCs w:val="20"/>
        </w:rPr>
        <w:t>. Stupnjevi oštećenja za zidane građevne pr</w:t>
      </w:r>
      <w:r>
        <w:rPr>
          <w:rFonts w:eastAsia="Calibri"/>
          <w:bCs/>
          <w:color w:val="54883D"/>
          <w:sz w:val="20"/>
          <w:szCs w:val="20"/>
        </w:rPr>
        <w:t>ema EMS-98 klasifikaciji</w:t>
      </w:r>
    </w:p>
    <w:tbl>
      <w:tblPr>
        <w:tblStyle w:val="Reetkatablice"/>
        <w:tblW w:w="9634" w:type="dxa"/>
        <w:tblLook w:val="04A0" w:firstRow="1" w:lastRow="0" w:firstColumn="1" w:lastColumn="0" w:noHBand="0" w:noVBand="1"/>
      </w:tblPr>
      <w:tblGrid>
        <w:gridCol w:w="1561"/>
        <w:gridCol w:w="3788"/>
        <w:gridCol w:w="4285"/>
      </w:tblGrid>
      <w:tr w:rsidR="00A07D92">
        <w:trPr>
          <w:tblHeader/>
        </w:trPr>
        <w:tc>
          <w:tcPr>
            <w:tcW w:w="15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KATEGORIJA</w:t>
            </w:r>
          </w:p>
        </w:tc>
        <w:tc>
          <w:tcPr>
            <w:tcW w:w="37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SKICA</w:t>
            </w:r>
          </w:p>
        </w:tc>
        <w:tc>
          <w:tcPr>
            <w:tcW w:w="43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rFonts w:eastAsia="Calibri"/>
                <w:sz w:val="20"/>
                <w:szCs w:val="20"/>
              </w:rPr>
            </w:pPr>
            <w:r>
              <w:rPr>
                <w:rFonts w:ascii="Times New Roman" w:eastAsia="Calibri" w:hAnsi="Times New Roman" w:cs="Times New Roman"/>
                <w:sz w:val="20"/>
                <w:szCs w:val="20"/>
                <w:lang w:eastAsia="hr-HR"/>
              </w:rPr>
              <w:t>OPIS</w:t>
            </w:r>
          </w:p>
        </w:tc>
      </w:tr>
      <w:tr w:rsidR="00A07D92">
        <w:tc>
          <w:tcPr>
            <w:tcW w:w="1526"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I.</w:t>
            </w:r>
          </w:p>
        </w:tc>
        <w:tc>
          <w:tcPr>
            <w:tcW w:w="37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s="Times New Roman"/>
                <w:color w:val="auto"/>
                <w:sz w:val="20"/>
              </w:rPr>
            </w:pPr>
            <w:r>
              <w:rPr>
                <w:rFonts w:ascii="Times New Roman" w:hAnsi="Times New Roman" w:cs="Times New Roman"/>
                <w:noProof/>
                <w:sz w:val="24"/>
                <w:lang w:eastAsia="hr-HR"/>
              </w:rPr>
              <w:drawing>
                <wp:inline distT="0" distB="0" distL="0" distR="0">
                  <wp:extent cx="1993265" cy="1153160"/>
                  <wp:effectExtent l="0" t="0" r="0" b="0"/>
                  <wp:docPr id="38" name="Slika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934"/>
                          <pic:cNvPicPr>
                            <a:picLocks noChangeAspect="1" noChangeArrowheads="1"/>
                          </pic:cNvPicPr>
                        </pic:nvPicPr>
                        <pic:blipFill>
                          <a:blip r:embed="rId82"/>
                          <a:stretch>
                            <a:fillRect/>
                          </a:stretch>
                        </pic:blipFill>
                        <pic:spPr bwMode="auto">
                          <a:xfrm>
                            <a:off x="0" y="0"/>
                            <a:ext cx="1993265" cy="1153160"/>
                          </a:xfrm>
                          <a:prstGeom prst="rect">
                            <a:avLst/>
                          </a:prstGeom>
                        </pic:spPr>
                      </pic:pic>
                    </a:graphicData>
                  </a:graphic>
                </wp:inline>
              </w:drawing>
            </w:r>
          </w:p>
        </w:tc>
        <w:tc>
          <w:tcPr>
            <w:tcW w:w="43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neznatno do blago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zanemarivo 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blago nekonstruktivno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vrlo tanke pukotine u ponekim zidovima</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otpadanje malih komada žbuke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 xml:space="preserve">vrlo rijetko otpadanje pojedinačnih </w:t>
            </w:r>
            <w:r>
              <w:rPr>
                <w:rFonts w:ascii="Times New Roman" w:eastAsia="Calibri" w:hAnsi="Times New Roman" w:cs="Times New Roman"/>
                <w:sz w:val="24"/>
                <w:szCs w:val="24"/>
              </w:rPr>
              <w:t xml:space="preserve">odvojenih dijelova </w:t>
            </w:r>
            <w:proofErr w:type="spellStart"/>
            <w:r>
              <w:rPr>
                <w:rFonts w:ascii="Times New Roman" w:eastAsia="Calibri" w:hAnsi="Times New Roman" w:cs="Times New Roman"/>
                <w:sz w:val="24"/>
                <w:szCs w:val="24"/>
              </w:rPr>
              <w:t>ziđa</w:t>
            </w:r>
            <w:proofErr w:type="spellEnd"/>
          </w:p>
        </w:tc>
      </w:tr>
      <w:tr w:rsidR="00A07D92">
        <w:tc>
          <w:tcPr>
            <w:tcW w:w="1526"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II.</w:t>
            </w:r>
          </w:p>
        </w:tc>
        <w:tc>
          <w:tcPr>
            <w:tcW w:w="37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s="Times New Roman"/>
                <w:color w:val="auto"/>
                <w:sz w:val="20"/>
              </w:rPr>
            </w:pPr>
            <w:r>
              <w:rPr>
                <w:rFonts w:ascii="Times New Roman" w:hAnsi="Times New Roman" w:cs="Times New Roman"/>
                <w:noProof/>
                <w:sz w:val="24"/>
                <w:lang w:eastAsia="hr-HR"/>
              </w:rPr>
              <w:drawing>
                <wp:inline distT="0" distB="0" distL="0" distR="0">
                  <wp:extent cx="1927860" cy="1013460"/>
                  <wp:effectExtent l="0" t="0" r="0" b="0"/>
                  <wp:docPr id="39" name="Slika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 930"/>
                          <pic:cNvPicPr>
                            <a:picLocks noChangeAspect="1" noChangeArrowheads="1"/>
                          </pic:cNvPicPr>
                        </pic:nvPicPr>
                        <pic:blipFill>
                          <a:blip r:embed="rId83"/>
                          <a:stretch>
                            <a:fillRect/>
                          </a:stretch>
                        </pic:blipFill>
                        <pic:spPr bwMode="auto">
                          <a:xfrm>
                            <a:off x="0" y="0"/>
                            <a:ext cx="1927860" cy="1013460"/>
                          </a:xfrm>
                          <a:prstGeom prst="rect">
                            <a:avLst/>
                          </a:prstGeom>
                        </pic:spPr>
                      </pic:pic>
                    </a:graphicData>
                  </a:graphic>
                </wp:inline>
              </w:drawing>
            </w:r>
          </w:p>
        </w:tc>
        <w:tc>
          <w:tcPr>
            <w:tcW w:w="43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umjereno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blago 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umjereno nekonstruktivno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pukotine u brojnim zidovima</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otpadanje većih komada žbuke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djelomično otkazivanje dimnjaka</w:t>
            </w:r>
          </w:p>
        </w:tc>
      </w:tr>
      <w:tr w:rsidR="00A07D92">
        <w:tc>
          <w:tcPr>
            <w:tcW w:w="1526"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III.</w:t>
            </w:r>
          </w:p>
        </w:tc>
        <w:tc>
          <w:tcPr>
            <w:tcW w:w="37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s="Times New Roman"/>
                <w:color w:val="auto"/>
                <w:sz w:val="20"/>
              </w:rPr>
            </w:pPr>
            <w:r>
              <w:rPr>
                <w:rFonts w:ascii="Times New Roman" w:hAnsi="Times New Roman" w:cs="Times New Roman"/>
                <w:noProof/>
                <w:sz w:val="24"/>
                <w:lang w:eastAsia="hr-HR"/>
              </w:rPr>
              <w:drawing>
                <wp:inline distT="0" distB="0" distL="0" distR="0">
                  <wp:extent cx="1894840" cy="1153160"/>
                  <wp:effectExtent l="0" t="0" r="0" b="0"/>
                  <wp:docPr id="40"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ka 31"/>
                          <pic:cNvPicPr>
                            <a:picLocks noChangeAspect="1" noChangeArrowheads="1"/>
                          </pic:cNvPicPr>
                        </pic:nvPicPr>
                        <pic:blipFill>
                          <a:blip r:embed="rId84"/>
                          <a:stretch>
                            <a:fillRect/>
                          </a:stretch>
                        </pic:blipFill>
                        <pic:spPr bwMode="auto">
                          <a:xfrm>
                            <a:off x="0" y="0"/>
                            <a:ext cx="1894840" cy="1153160"/>
                          </a:xfrm>
                          <a:prstGeom prst="rect">
                            <a:avLst/>
                          </a:prstGeom>
                        </pic:spPr>
                      </pic:pic>
                    </a:graphicData>
                  </a:graphic>
                </wp:inline>
              </w:drawing>
            </w:r>
          </w:p>
        </w:tc>
        <w:tc>
          <w:tcPr>
            <w:tcW w:w="43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značajno do teško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 xml:space="preserve">umjereno </w:t>
            </w:r>
            <w:r>
              <w:rPr>
                <w:rFonts w:ascii="Times New Roman" w:eastAsia="Calibri" w:hAnsi="Times New Roman" w:cs="Times New Roman"/>
                <w:sz w:val="24"/>
                <w:szCs w:val="24"/>
              </w:rPr>
              <w:t>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teško nekonstruktivno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velike, razvedene pukotine u većini zidova</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otpadanje crijepa</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otkazivanje dimnjaka u razini krova</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 xml:space="preserve">otkazivanja pojedinačnih nekonstruktivnih elemenata (pregradni, </w:t>
            </w:r>
            <w:proofErr w:type="spellStart"/>
            <w:r>
              <w:rPr>
                <w:rFonts w:ascii="Times New Roman" w:eastAsia="Calibri" w:hAnsi="Times New Roman" w:cs="Times New Roman"/>
                <w:sz w:val="24"/>
                <w:szCs w:val="24"/>
              </w:rPr>
              <w:t>zabatni</w:t>
            </w:r>
            <w:proofErr w:type="spellEnd"/>
            <w:r>
              <w:rPr>
                <w:rFonts w:ascii="Times New Roman" w:eastAsia="Calibri" w:hAnsi="Times New Roman" w:cs="Times New Roman"/>
                <w:sz w:val="24"/>
                <w:szCs w:val="24"/>
              </w:rPr>
              <w:t xml:space="preserve"> zidovi)</w:t>
            </w:r>
          </w:p>
        </w:tc>
      </w:tr>
      <w:tr w:rsidR="00A07D92">
        <w:tc>
          <w:tcPr>
            <w:tcW w:w="1526"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IV.</w:t>
            </w:r>
          </w:p>
        </w:tc>
        <w:tc>
          <w:tcPr>
            <w:tcW w:w="37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s="Times New Roman"/>
                <w:color w:val="auto"/>
                <w:sz w:val="20"/>
              </w:rPr>
            </w:pPr>
            <w:r>
              <w:rPr>
                <w:rFonts w:ascii="Times New Roman" w:hAnsi="Times New Roman" w:cs="Times New Roman"/>
                <w:noProof/>
                <w:sz w:val="24"/>
                <w:lang w:eastAsia="hr-HR"/>
              </w:rPr>
              <w:drawing>
                <wp:inline distT="0" distB="0" distL="0" distR="0">
                  <wp:extent cx="2240915" cy="1103630"/>
                  <wp:effectExtent l="0" t="0" r="0" b="0"/>
                  <wp:docPr id="4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3"/>
                          <pic:cNvPicPr>
                            <a:picLocks noChangeAspect="1" noChangeArrowheads="1"/>
                          </pic:cNvPicPr>
                        </pic:nvPicPr>
                        <pic:blipFill>
                          <a:blip r:embed="rId85"/>
                          <a:stretch>
                            <a:fillRect/>
                          </a:stretch>
                        </pic:blipFill>
                        <pic:spPr bwMode="auto">
                          <a:xfrm>
                            <a:off x="0" y="0"/>
                            <a:ext cx="2240915" cy="1103630"/>
                          </a:xfrm>
                          <a:prstGeom prst="rect">
                            <a:avLst/>
                          </a:prstGeom>
                        </pic:spPr>
                      </pic:pic>
                    </a:graphicData>
                  </a:graphic>
                </wp:inline>
              </w:drawing>
            </w:r>
          </w:p>
        </w:tc>
        <w:tc>
          <w:tcPr>
            <w:tcW w:w="43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 xml:space="preserve">vrlo teško </w:t>
            </w:r>
            <w:r>
              <w:rPr>
                <w:rFonts w:ascii="Times New Roman" w:eastAsia="Calibri" w:hAnsi="Times New Roman" w:cs="Times New Roman"/>
                <w:sz w:val="24"/>
                <w:szCs w:val="24"/>
              </w:rPr>
              <w:t>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teško 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vrlo teško nekonstruktivno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značajno otkazivanje zidova</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djelomično otkazivanje konstrukcija krovova i međukatnih konstrukcija</w:t>
            </w:r>
          </w:p>
        </w:tc>
      </w:tr>
      <w:tr w:rsidR="00A07D92">
        <w:tc>
          <w:tcPr>
            <w:tcW w:w="1526"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V.</w:t>
            </w:r>
          </w:p>
        </w:tc>
        <w:tc>
          <w:tcPr>
            <w:tcW w:w="37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s="Times New Roman"/>
                <w:color w:val="auto"/>
                <w:sz w:val="20"/>
              </w:rPr>
            </w:pPr>
            <w:r>
              <w:rPr>
                <w:rFonts w:ascii="Times New Roman" w:hAnsi="Times New Roman" w:cs="Times New Roman"/>
                <w:noProof/>
                <w:sz w:val="24"/>
                <w:lang w:eastAsia="hr-HR"/>
              </w:rPr>
              <w:drawing>
                <wp:inline distT="0" distB="0" distL="0" distR="0">
                  <wp:extent cx="2183130" cy="774065"/>
                  <wp:effectExtent l="0" t="0" r="0" b="0"/>
                  <wp:docPr id="4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ka 2"/>
                          <pic:cNvPicPr>
                            <a:picLocks noChangeAspect="1" noChangeArrowheads="1"/>
                          </pic:cNvPicPr>
                        </pic:nvPicPr>
                        <pic:blipFill>
                          <a:blip r:embed="rId86"/>
                          <a:stretch>
                            <a:fillRect/>
                          </a:stretch>
                        </pic:blipFill>
                        <pic:spPr bwMode="auto">
                          <a:xfrm>
                            <a:off x="0" y="0"/>
                            <a:ext cx="2183130" cy="774065"/>
                          </a:xfrm>
                          <a:prstGeom prst="rect">
                            <a:avLst/>
                          </a:prstGeom>
                        </pic:spPr>
                      </pic:pic>
                    </a:graphicData>
                  </a:graphic>
                </wp:inline>
              </w:drawing>
            </w:r>
          </w:p>
        </w:tc>
        <w:tc>
          <w:tcPr>
            <w:tcW w:w="43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otkazivanje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vrlo teško 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 xml:space="preserve">potpuno ili gotovo potpuno </w:t>
            </w:r>
            <w:r>
              <w:rPr>
                <w:rFonts w:ascii="Times New Roman" w:eastAsia="Calibri" w:hAnsi="Times New Roman" w:cs="Times New Roman"/>
                <w:sz w:val="24"/>
                <w:szCs w:val="24"/>
              </w:rPr>
              <w:t>rušenje</w:t>
            </w:r>
          </w:p>
        </w:tc>
      </w:tr>
    </w:tbl>
    <w:p w:rsidR="00A07D92" w:rsidRDefault="00A07D92">
      <w:pPr>
        <w:spacing w:before="120" w:after="120" w:line="240" w:lineRule="auto"/>
        <w:jc w:val="center"/>
        <w:rPr>
          <w:rFonts w:eastAsia="Calibri" w:cs="Times New Roman"/>
          <w:color w:val="54883D"/>
          <w:sz w:val="20"/>
          <w:lang w:eastAsia="hr-HR"/>
        </w:rPr>
      </w:pPr>
    </w:p>
    <w:p w:rsidR="00A07D92" w:rsidRDefault="00495E63">
      <w:pPr>
        <w:tabs>
          <w:tab w:val="left" w:pos="897"/>
          <w:tab w:val="center" w:pos="4535"/>
        </w:tabs>
        <w:spacing w:before="0" w:line="259" w:lineRule="auto"/>
        <w:jc w:val="center"/>
        <w:rPr>
          <w:rFonts w:ascii="Calibri" w:eastAsia="Calibri" w:hAnsi="Calibri" w:cs="Times New Roman"/>
          <w:color w:val="auto"/>
          <w:szCs w:val="22"/>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21</w:t>
      </w:r>
      <w:r>
        <w:rPr>
          <w:rFonts w:eastAsia="Calibri"/>
          <w:bCs/>
          <w:sz w:val="20"/>
          <w:szCs w:val="20"/>
        </w:rPr>
        <w:fldChar w:fldCharType="end"/>
      </w:r>
      <w:r>
        <w:rPr>
          <w:rFonts w:eastAsia="Calibri"/>
          <w:bCs/>
          <w:color w:val="54883D"/>
          <w:sz w:val="20"/>
          <w:szCs w:val="20"/>
        </w:rPr>
        <w:t>. Stupnjevi oštećenja za AB građevne prema EMS-98 klasifikaciji</w:t>
      </w:r>
    </w:p>
    <w:tbl>
      <w:tblPr>
        <w:tblStyle w:val="Reetkatablice"/>
        <w:tblW w:w="9445" w:type="dxa"/>
        <w:tblLook w:val="04A0" w:firstRow="1" w:lastRow="0" w:firstColumn="1" w:lastColumn="0" w:noHBand="0" w:noVBand="1"/>
      </w:tblPr>
      <w:tblGrid>
        <w:gridCol w:w="1561"/>
        <w:gridCol w:w="3501"/>
        <w:gridCol w:w="4383"/>
      </w:tblGrid>
      <w:tr w:rsidR="00A07D92">
        <w:trPr>
          <w:tblHeader/>
        </w:trPr>
        <w:tc>
          <w:tcPr>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lastRenderedPageBreak/>
              <w:t>KATEGORIJA</w:t>
            </w:r>
          </w:p>
        </w:tc>
        <w:tc>
          <w:tcPr>
            <w:tcW w:w="35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SKICA</w:t>
            </w:r>
          </w:p>
        </w:tc>
        <w:tc>
          <w:tcPr>
            <w:tcW w:w="4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OPIS</w:t>
            </w:r>
          </w:p>
        </w:tc>
      </w:tr>
      <w:tr w:rsidR="00A07D92">
        <w:tc>
          <w:tcPr>
            <w:tcW w:w="1527"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I.</w:t>
            </w:r>
          </w:p>
        </w:tc>
        <w:tc>
          <w:tcPr>
            <w:tcW w:w="35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hAnsi="Times New Roman" w:cs="Times New Roman"/>
                <w:noProof/>
                <w:sz w:val="24"/>
                <w:lang w:eastAsia="hr-HR"/>
              </w:rPr>
              <w:drawing>
                <wp:inline distT="0" distB="0" distL="0" distR="0">
                  <wp:extent cx="2044700" cy="810895"/>
                  <wp:effectExtent l="0" t="0" r="0" b="0"/>
                  <wp:docPr id="43" name="Slika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69"/>
                          <pic:cNvPicPr>
                            <a:picLocks noChangeAspect="1" noChangeArrowheads="1"/>
                          </pic:cNvPicPr>
                        </pic:nvPicPr>
                        <pic:blipFill>
                          <a:blip r:embed="rId87"/>
                          <a:stretch>
                            <a:fillRect/>
                          </a:stretch>
                        </pic:blipFill>
                        <pic:spPr bwMode="auto">
                          <a:xfrm>
                            <a:off x="0" y="0"/>
                            <a:ext cx="2044700" cy="810895"/>
                          </a:xfrm>
                          <a:prstGeom prst="rect">
                            <a:avLst/>
                          </a:prstGeom>
                        </pic:spPr>
                      </pic:pic>
                    </a:graphicData>
                  </a:graphic>
                </wp:inline>
              </w:drawing>
            </w:r>
          </w:p>
        </w:tc>
        <w:tc>
          <w:tcPr>
            <w:tcW w:w="4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neznatno do blago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zanemarivo 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blago nekonstruktivno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 xml:space="preserve">tanke pukotine u žbuci </w:t>
            </w:r>
            <w:r>
              <w:rPr>
                <w:rFonts w:ascii="Times New Roman" w:eastAsia="Calibri" w:hAnsi="Times New Roman" w:cs="Times New Roman"/>
                <w:sz w:val="24"/>
                <w:szCs w:val="24"/>
              </w:rPr>
              <w:t>okvirnih elemenata ili zidova prizemlja</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tanke pukotine u pregradnim zidovima i ispuni</w:t>
            </w:r>
          </w:p>
        </w:tc>
      </w:tr>
      <w:tr w:rsidR="00A07D92">
        <w:tc>
          <w:tcPr>
            <w:tcW w:w="1527"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II.</w:t>
            </w:r>
          </w:p>
        </w:tc>
        <w:tc>
          <w:tcPr>
            <w:tcW w:w="35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hAnsi="Times New Roman" w:cs="Times New Roman"/>
                <w:noProof/>
                <w:sz w:val="24"/>
                <w:lang w:eastAsia="hr-HR"/>
              </w:rPr>
              <w:drawing>
                <wp:inline distT="0" distB="0" distL="0" distR="0">
                  <wp:extent cx="2044700" cy="888365"/>
                  <wp:effectExtent l="0" t="0" r="0" b="0"/>
                  <wp:docPr id="44"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ka 470"/>
                          <pic:cNvPicPr>
                            <a:picLocks noChangeAspect="1" noChangeArrowheads="1"/>
                          </pic:cNvPicPr>
                        </pic:nvPicPr>
                        <pic:blipFill>
                          <a:blip r:embed="rId88"/>
                          <a:stretch>
                            <a:fillRect/>
                          </a:stretch>
                        </pic:blipFill>
                        <pic:spPr bwMode="auto">
                          <a:xfrm>
                            <a:off x="0" y="0"/>
                            <a:ext cx="2044700" cy="888365"/>
                          </a:xfrm>
                          <a:prstGeom prst="rect">
                            <a:avLst/>
                          </a:prstGeom>
                        </pic:spPr>
                      </pic:pic>
                    </a:graphicData>
                  </a:graphic>
                </wp:inline>
              </w:drawing>
            </w:r>
          </w:p>
        </w:tc>
        <w:tc>
          <w:tcPr>
            <w:tcW w:w="4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umjereno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blago 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umjereno nekonstruktivno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pukotine u stupovima, gredama ili nosivim zidovima</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 xml:space="preserve">pukotine u pregradnim </w:t>
            </w:r>
            <w:r>
              <w:rPr>
                <w:rFonts w:ascii="Times New Roman" w:eastAsia="Calibri" w:hAnsi="Times New Roman" w:cs="Times New Roman"/>
                <w:sz w:val="24"/>
                <w:szCs w:val="24"/>
              </w:rPr>
              <w:t>zidovima i ispuni</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otpadanje lomljive obloge i žbuke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 xml:space="preserve">otpadanje morta iz sljubnica </w:t>
            </w:r>
            <w:proofErr w:type="spellStart"/>
            <w:r>
              <w:rPr>
                <w:rFonts w:ascii="Times New Roman" w:eastAsia="Calibri" w:hAnsi="Times New Roman" w:cs="Times New Roman"/>
                <w:sz w:val="24"/>
                <w:szCs w:val="24"/>
              </w:rPr>
              <w:t>nenosivog</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ziđa</w:t>
            </w:r>
            <w:proofErr w:type="spellEnd"/>
          </w:p>
        </w:tc>
      </w:tr>
      <w:tr w:rsidR="00A07D92">
        <w:tc>
          <w:tcPr>
            <w:tcW w:w="1527"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III.</w:t>
            </w:r>
          </w:p>
        </w:tc>
        <w:tc>
          <w:tcPr>
            <w:tcW w:w="35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hAnsi="Times New Roman" w:cs="Times New Roman"/>
                <w:noProof/>
                <w:sz w:val="24"/>
                <w:lang w:eastAsia="hr-HR"/>
              </w:rPr>
              <w:drawing>
                <wp:inline distT="0" distB="0" distL="0" distR="0">
                  <wp:extent cx="2044700" cy="1017905"/>
                  <wp:effectExtent l="0" t="0" r="0" b="0"/>
                  <wp:docPr id="45" name="Slika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ka 471"/>
                          <pic:cNvPicPr>
                            <a:picLocks noChangeAspect="1" noChangeArrowheads="1"/>
                          </pic:cNvPicPr>
                        </pic:nvPicPr>
                        <pic:blipFill>
                          <a:blip r:embed="rId89"/>
                          <a:stretch>
                            <a:fillRect/>
                          </a:stretch>
                        </pic:blipFill>
                        <pic:spPr bwMode="auto">
                          <a:xfrm>
                            <a:off x="0" y="0"/>
                            <a:ext cx="2044700" cy="1017905"/>
                          </a:xfrm>
                          <a:prstGeom prst="rect">
                            <a:avLst/>
                          </a:prstGeom>
                        </pic:spPr>
                      </pic:pic>
                    </a:graphicData>
                  </a:graphic>
                </wp:inline>
              </w:drawing>
            </w:r>
          </w:p>
        </w:tc>
        <w:tc>
          <w:tcPr>
            <w:tcW w:w="4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značajno do teško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umjereno 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teško nekonstruktivno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 xml:space="preserve">pukotine u spojevima okvira u prizemlju i spojevima </w:t>
            </w:r>
            <w:r>
              <w:rPr>
                <w:rFonts w:ascii="Times New Roman" w:eastAsia="Calibri" w:hAnsi="Times New Roman" w:cs="Times New Roman"/>
                <w:sz w:val="24"/>
                <w:szCs w:val="24"/>
              </w:rPr>
              <w:t>povezanih zidova</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otpadanje zaštitnog sloja betona</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izvijanje šipki armature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velike pukotine u pregradnim zidovima</w:t>
            </w:r>
          </w:p>
        </w:tc>
      </w:tr>
      <w:tr w:rsidR="00A07D92">
        <w:tc>
          <w:tcPr>
            <w:tcW w:w="152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IV.</w:t>
            </w:r>
          </w:p>
        </w:tc>
        <w:tc>
          <w:tcPr>
            <w:tcW w:w="35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hAnsi="Times New Roman" w:cs="Times New Roman"/>
                <w:noProof/>
                <w:sz w:val="24"/>
                <w:lang w:eastAsia="hr-HR"/>
              </w:rPr>
              <w:drawing>
                <wp:inline distT="0" distB="0" distL="0" distR="0">
                  <wp:extent cx="2044700" cy="1017905"/>
                  <wp:effectExtent l="0" t="0" r="0" b="0"/>
                  <wp:docPr id="46" name="Slika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72"/>
                          <pic:cNvPicPr>
                            <a:picLocks noChangeAspect="1" noChangeArrowheads="1"/>
                          </pic:cNvPicPr>
                        </pic:nvPicPr>
                        <pic:blipFill>
                          <a:blip r:embed="rId90"/>
                          <a:stretch>
                            <a:fillRect/>
                          </a:stretch>
                        </pic:blipFill>
                        <pic:spPr bwMode="auto">
                          <a:xfrm>
                            <a:off x="0" y="0"/>
                            <a:ext cx="2044700" cy="1017905"/>
                          </a:xfrm>
                          <a:prstGeom prst="rect">
                            <a:avLst/>
                          </a:prstGeom>
                        </pic:spPr>
                      </pic:pic>
                    </a:graphicData>
                  </a:graphic>
                </wp:inline>
              </w:drawing>
            </w:r>
          </w:p>
        </w:tc>
        <w:tc>
          <w:tcPr>
            <w:tcW w:w="4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vrlo teško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teško 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vrlo teško nekonstruktivno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 xml:space="preserve">velike pukotine u konstruktivnim elementima uz </w:t>
            </w:r>
            <w:r>
              <w:rPr>
                <w:rFonts w:ascii="Times New Roman" w:eastAsia="Calibri" w:hAnsi="Times New Roman" w:cs="Times New Roman"/>
                <w:sz w:val="24"/>
                <w:szCs w:val="24"/>
              </w:rPr>
              <w:t>otkazivanje betona u tlaku</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 xml:space="preserve">lom i </w:t>
            </w:r>
            <w:proofErr w:type="spellStart"/>
            <w:r>
              <w:rPr>
                <w:rFonts w:ascii="Times New Roman" w:eastAsia="Calibri" w:hAnsi="Times New Roman" w:cs="Times New Roman"/>
                <w:sz w:val="24"/>
                <w:szCs w:val="24"/>
              </w:rPr>
              <w:t>proklizavanje</w:t>
            </w:r>
            <w:proofErr w:type="spellEnd"/>
            <w:r>
              <w:rPr>
                <w:rFonts w:ascii="Times New Roman" w:eastAsia="Calibri" w:hAnsi="Times New Roman" w:cs="Times New Roman"/>
                <w:sz w:val="24"/>
                <w:szCs w:val="24"/>
              </w:rPr>
              <w:t xml:space="preserve"> armature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naginjanje stupova, otkazivanje nekoliko stupova i cijelog gornjeg kata</w:t>
            </w:r>
          </w:p>
        </w:tc>
      </w:tr>
      <w:tr w:rsidR="00A07D92">
        <w:tc>
          <w:tcPr>
            <w:tcW w:w="152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V.</w:t>
            </w:r>
          </w:p>
        </w:tc>
        <w:tc>
          <w:tcPr>
            <w:tcW w:w="350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hAnsi="Times New Roman" w:cs="Times New Roman"/>
                <w:noProof/>
                <w:sz w:val="24"/>
                <w:lang w:eastAsia="hr-HR"/>
              </w:rPr>
              <w:drawing>
                <wp:inline distT="0" distB="0" distL="0" distR="0">
                  <wp:extent cx="2044700" cy="793750"/>
                  <wp:effectExtent l="0" t="0" r="0" b="0"/>
                  <wp:docPr id="47" name="Slika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3"/>
                          <pic:cNvPicPr>
                            <a:picLocks noChangeAspect="1" noChangeArrowheads="1"/>
                          </pic:cNvPicPr>
                        </pic:nvPicPr>
                        <pic:blipFill>
                          <a:blip r:embed="rId91"/>
                          <a:stretch>
                            <a:fillRect/>
                          </a:stretch>
                        </pic:blipFill>
                        <pic:spPr bwMode="auto">
                          <a:xfrm>
                            <a:off x="0" y="0"/>
                            <a:ext cx="2044700" cy="793750"/>
                          </a:xfrm>
                          <a:prstGeom prst="rect">
                            <a:avLst/>
                          </a:prstGeom>
                        </pic:spPr>
                      </pic:pic>
                    </a:graphicData>
                  </a:graphic>
                </wp:inline>
              </w:drawing>
            </w:r>
          </w:p>
        </w:tc>
        <w:tc>
          <w:tcPr>
            <w:tcW w:w="4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otkazivanje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vrlo teško konstruktivno oštećenje</w:t>
            </w:r>
          </w:p>
          <w:p w:rsidR="00A07D92" w:rsidRDefault="00495E63">
            <w:pPr>
              <w:pStyle w:val="Odlomakpopisa"/>
              <w:numPr>
                <w:ilvl w:val="0"/>
                <w:numId w:val="18"/>
              </w:numPr>
              <w:spacing w:after="0"/>
              <w:rPr>
                <w:rFonts w:eastAsia="Calibri"/>
              </w:rPr>
            </w:pPr>
            <w:r>
              <w:rPr>
                <w:rFonts w:ascii="Times New Roman" w:eastAsia="Calibri" w:hAnsi="Times New Roman" w:cs="Times New Roman"/>
                <w:sz w:val="24"/>
                <w:szCs w:val="24"/>
              </w:rPr>
              <w:t>rušenje prizemlja ili dijelova konstrukcije.</w:t>
            </w:r>
          </w:p>
        </w:tc>
      </w:tr>
    </w:tbl>
    <w:p w:rsidR="00A07D92" w:rsidRDefault="00A07D92">
      <w:pPr>
        <w:rPr>
          <w:u w:val="single"/>
        </w:rPr>
      </w:pPr>
    </w:p>
    <w:p w:rsidR="00A07D92" w:rsidRDefault="00495E63">
      <w:pPr>
        <w:rPr>
          <w:u w:val="single"/>
        </w:rPr>
      </w:pPr>
      <w:r>
        <w:rPr>
          <w:u w:val="single"/>
        </w:rPr>
        <w:lastRenderedPageBreak/>
        <w:t>Stanovništvo i društvo</w:t>
      </w:r>
    </w:p>
    <w:p w:rsidR="00A07D92" w:rsidRDefault="00495E63">
      <w:r>
        <w:t>Ukupn</w:t>
      </w:r>
      <w:r>
        <w:t>a površina Grada Malog Lošinja iznosi 223 km</w:t>
      </w:r>
      <w:r>
        <w:rPr>
          <w:vertAlign w:val="superscript"/>
        </w:rPr>
        <w:t>2</w:t>
      </w:r>
      <w:r>
        <w:t>. Područje Grada Malog Lošinja sastoji se od 14 naselja. Naselje Mali Lošinj ima najveći broj stanovnika i to 5.561 stanovnika, dok je gustoća naseljenosti područja 33,80 stanovnika/km</w:t>
      </w:r>
      <w:r>
        <w:rPr>
          <w:vertAlign w:val="superscript"/>
        </w:rPr>
        <w:t>2</w:t>
      </w:r>
      <w:r>
        <w:t xml:space="preserve">. Naselje Mali Lošinj ima </w:t>
      </w:r>
      <w:r>
        <w:t xml:space="preserve">najviše stanovnika i najviše ugroženih se može očekivati u ovom naselju zbog veće gustoće naseljenosti. </w:t>
      </w:r>
    </w:p>
    <w:p w:rsidR="00A07D92" w:rsidRDefault="00495E63">
      <w:r>
        <w:t>Na području Grada Malog Lošinja nalazi se 8145  stambenih jedinica, od kojih je ukupno stalno nastanjeno njih 4184</w:t>
      </w:r>
    </w:p>
    <w:p w:rsidR="00A07D92" w:rsidRDefault="00495E63">
      <w:pPr>
        <w:shd w:val="clear" w:color="auto" w:fill="FFFFFF"/>
        <w:suppressAutoHyphens/>
        <w:spacing w:before="120" w:after="120"/>
        <w:ind w:right="74"/>
        <w:rPr>
          <w:rFonts w:eastAsia="Calibri"/>
          <w:color w:val="auto"/>
          <w:lang w:eastAsia="hr-HR"/>
        </w:rPr>
      </w:pPr>
      <w:r>
        <w:rPr>
          <w:rFonts w:eastAsia="Calibri"/>
          <w:color w:val="auto"/>
          <w:lang w:eastAsia="hr-HR"/>
        </w:rPr>
        <w:t>Sva naselja na području Grada slične</w:t>
      </w:r>
      <w:r>
        <w:rPr>
          <w:rFonts w:eastAsia="Calibri"/>
          <w:color w:val="auto"/>
          <w:lang w:eastAsia="hr-HR"/>
        </w:rPr>
        <w:t xml:space="preserve"> su tipologije, te je moguće stradavanje u gušće naseljenim područjima.</w:t>
      </w:r>
    </w:p>
    <w:p w:rsidR="00A07D92" w:rsidRDefault="00A07D92"/>
    <w:p w:rsidR="00A07D92" w:rsidRDefault="00495E63">
      <w:pPr>
        <w:pStyle w:val="Naslov3"/>
      </w:pPr>
      <w:bookmarkStart w:id="127" w:name="_Toc9596638"/>
      <w:bookmarkStart w:id="128" w:name="_Toc496856100"/>
      <w:bookmarkStart w:id="129" w:name="_Toc492284944"/>
      <w:bookmarkStart w:id="130" w:name="_Toc136522816"/>
      <w:r>
        <w:t>6.1.5 Uzrok</w:t>
      </w:r>
      <w:bookmarkEnd w:id="127"/>
      <w:bookmarkEnd w:id="128"/>
      <w:bookmarkEnd w:id="129"/>
      <w:bookmarkEnd w:id="130"/>
    </w:p>
    <w:p w:rsidR="00A07D92" w:rsidRDefault="00495E63">
      <w:r>
        <w:t xml:space="preserve">Unutarnji procesi uzrokovani su </w:t>
      </w:r>
      <w:proofErr w:type="spellStart"/>
      <w:r>
        <w:t>konvekcijskim</w:t>
      </w:r>
      <w:proofErr w:type="spellEnd"/>
      <w:r>
        <w:t xml:space="preserve"> gibanjima u unutrašnjosti Zemlje, koja su posljedica toplinske energije Zemlje i odgovorni su za kretanje oceanskih i kontine</w:t>
      </w:r>
      <w:r>
        <w:t>ntalnih ploča.</w:t>
      </w:r>
      <w:r>
        <w:rPr>
          <w:shd w:val="clear" w:color="auto" w:fill="FFFFFF"/>
        </w:rPr>
        <w:t xml:space="preserve"> Ploče se mogu međusobno primicati, razmicati ili kliziti jedna uz drugu, a granice između ploča područja su rezultat tektonskih aktivnosti.</w:t>
      </w:r>
      <w:r>
        <w:t xml:space="preserve"> Na kontaktima ploča oslobađa se golema količina energije koja uzrokuje deformacije stijena i nastanak</w:t>
      </w:r>
      <w:r>
        <w:t xml:space="preserve"> potresa. Unutarnji procesi utječu na kretanje masa u zemljinoj unutrašnjosti i na formiranje tektonskih pokreta, koji djeluju kao okidač za nastanak potresa. Republika Hrvatska nalazi se na Euroazijskoj ploči koja je </w:t>
      </w:r>
      <w:proofErr w:type="spellStart"/>
      <w:r>
        <w:t>litosferna</w:t>
      </w:r>
      <w:proofErr w:type="spellEnd"/>
      <w:r>
        <w:t xml:space="preserve"> ploča te obuhvaća </w:t>
      </w:r>
      <w:hyperlink r:id="rId92" w:tgtFrame="Euroazija">
        <w:r>
          <w:rPr>
            <w:rStyle w:val="ListLabel129"/>
          </w:rPr>
          <w:t>Euroaziju</w:t>
        </w:r>
      </w:hyperlink>
      <w:r>
        <w:t xml:space="preserve"> (kontinentalnu masu koja se sastoji od </w:t>
      </w:r>
      <w:hyperlink r:id="rId93" w:tgtFrame="Europa">
        <w:r>
          <w:rPr>
            <w:rStyle w:val="ListLabel129"/>
          </w:rPr>
          <w:t>Europe</w:t>
        </w:r>
      </w:hyperlink>
      <w:r>
        <w:t xml:space="preserve"> i </w:t>
      </w:r>
      <w:hyperlink r:id="rId94" w:tgtFrame="Azija">
        <w:r>
          <w:rPr>
            <w:rStyle w:val="ListLabel129"/>
          </w:rPr>
          <w:t>Azije</w:t>
        </w:r>
      </w:hyperlink>
      <w:r>
        <w:t xml:space="preserve">, bez </w:t>
      </w:r>
      <w:hyperlink r:id="rId95" w:tgtFrame="Indija">
        <w:r>
          <w:rPr>
            <w:rStyle w:val="ListLabel129"/>
          </w:rPr>
          <w:t>Indijskog potkontinenta</w:t>
        </w:r>
      </w:hyperlink>
      <w:r>
        <w:t xml:space="preserve">, </w:t>
      </w:r>
      <w:hyperlink r:id="rId96" w:tgtFrame="Arapski poluotok">
        <w:r>
          <w:rPr>
            <w:rStyle w:val="ListLabel129"/>
          </w:rPr>
          <w:t>Arapskog poluotoka</w:t>
        </w:r>
      </w:hyperlink>
      <w:r>
        <w:t xml:space="preserve"> i područja istočno od lanca </w:t>
      </w:r>
      <w:proofErr w:type="spellStart"/>
      <w:r>
        <w:t>Verkojansk</w:t>
      </w:r>
      <w:proofErr w:type="spellEnd"/>
      <w:r>
        <w:t xml:space="preserve"> u ist</w:t>
      </w:r>
      <w:r>
        <w:t xml:space="preserve">očnome </w:t>
      </w:r>
      <w:hyperlink r:id="rId97" w:tgtFrame="Sibir">
        <w:r>
          <w:rPr>
            <w:rStyle w:val="ListLabel129"/>
          </w:rPr>
          <w:t>Sibiru</w:t>
        </w:r>
      </w:hyperlink>
      <w:r>
        <w:t xml:space="preserve">). Na zapadu se proteže sve do </w:t>
      </w:r>
      <w:proofErr w:type="spellStart"/>
      <w:r>
        <w:t>Srednjeatlantskog</w:t>
      </w:r>
      <w:proofErr w:type="spellEnd"/>
      <w:r>
        <w:t xml:space="preserve"> hrpta.</w:t>
      </w:r>
    </w:p>
    <w:p w:rsidR="00A07D92" w:rsidRDefault="00495E63">
      <w:pPr>
        <w:rPr>
          <w:u w:val="single"/>
        </w:rPr>
      </w:pPr>
      <w:r>
        <w:rPr>
          <w:u w:val="single"/>
        </w:rPr>
        <w:t>RAZVOJ DOGAĐAJA KOJI JE PRETHODIO VELIKOJ NESREĆI</w:t>
      </w:r>
    </w:p>
    <w:p w:rsidR="00A07D92" w:rsidRDefault="00495E63">
      <w:pPr>
        <w:spacing w:before="0" w:after="0"/>
        <w:rPr>
          <w:highlight w:val="white"/>
        </w:rPr>
      </w:pPr>
      <w:r>
        <w:rPr>
          <w:shd w:val="clear" w:color="auto" w:fill="FFFFFF"/>
        </w:rPr>
        <w:t xml:space="preserve">Tektonski poremećaji u </w:t>
      </w:r>
      <w:proofErr w:type="spellStart"/>
      <w:r>
        <w:rPr>
          <w:shd w:val="clear" w:color="auto" w:fill="FFFFFF"/>
        </w:rPr>
        <w:t>litosferi</w:t>
      </w:r>
      <w:proofErr w:type="spellEnd"/>
      <w:r>
        <w:rPr>
          <w:shd w:val="clear" w:color="auto" w:fill="FFFFFF"/>
        </w:rPr>
        <w:t xml:space="preserve">, kao što su kretanje </w:t>
      </w:r>
      <w:proofErr w:type="spellStart"/>
      <w:r>
        <w:rPr>
          <w:shd w:val="clear" w:color="auto" w:fill="FFFFFF"/>
        </w:rPr>
        <w:t>litosfernih</w:t>
      </w:r>
      <w:proofErr w:type="spellEnd"/>
      <w:r>
        <w:rPr>
          <w:shd w:val="clear" w:color="auto" w:fill="FFFFFF"/>
        </w:rPr>
        <w:t xml:space="preserve"> ploča</w:t>
      </w:r>
      <w:r>
        <w:rPr>
          <w:shd w:val="clear" w:color="auto" w:fill="FFFFFF"/>
        </w:rPr>
        <w:t xml:space="preserve"> u zoni </w:t>
      </w:r>
      <w:proofErr w:type="spellStart"/>
      <w:r>
        <w:rPr>
          <w:shd w:val="clear" w:color="auto" w:fill="FFFFFF"/>
        </w:rPr>
        <w:t>subdukcije</w:t>
      </w:r>
      <w:proofErr w:type="spellEnd"/>
      <w:r>
        <w:rPr>
          <w:shd w:val="clear" w:color="auto" w:fill="FFFFFF"/>
        </w:rPr>
        <w:t>, mogu dovesti do pojave potresa. Uzrok nastanka potresa na području Primorsko-goranske županije povezan je s podvlačenjem (</w:t>
      </w:r>
      <w:proofErr w:type="spellStart"/>
      <w:r>
        <w:rPr>
          <w:shd w:val="clear" w:color="auto" w:fill="FFFFFF"/>
        </w:rPr>
        <w:t>subdukcijom</w:t>
      </w:r>
      <w:proofErr w:type="spellEnd"/>
      <w:r>
        <w:rPr>
          <w:shd w:val="clear" w:color="auto" w:fill="FFFFFF"/>
        </w:rPr>
        <w:t>) Jadranske platforme pod Dinaride, kao posljedica kretanja Afričke ploče u odnosu na Euro-azijsku ploč</w:t>
      </w:r>
      <w:r>
        <w:rPr>
          <w:shd w:val="clear" w:color="auto" w:fill="FFFFFF"/>
        </w:rPr>
        <w:t>u. Rasjedi, kao potencijalne žarišne točke, osim toga nastaju unutar pojedinih tektonskih ploča kao posljedica diferencijalnih naprezanja u Zemljinoj kori.</w:t>
      </w:r>
    </w:p>
    <w:p w:rsidR="00A07D92" w:rsidRDefault="00A07D92">
      <w:pPr>
        <w:spacing w:before="0" w:after="0" w:line="240" w:lineRule="auto"/>
        <w:jc w:val="center"/>
        <w:rPr>
          <w:u w:val="single"/>
        </w:rPr>
      </w:pPr>
    </w:p>
    <w:p w:rsidR="00A07D92" w:rsidRDefault="00495E63">
      <w:pPr>
        <w:rPr>
          <w:u w:val="single"/>
        </w:rPr>
      </w:pPr>
      <w:r>
        <w:rPr>
          <w:u w:val="single"/>
        </w:rPr>
        <w:t>OKIDAČ KOJI JE UZROKOVAO VELIKU NESREĆU</w:t>
      </w:r>
    </w:p>
    <w:p w:rsidR="00A07D92" w:rsidRDefault="00495E63">
      <w:pPr>
        <w:rPr>
          <w:highlight w:val="white"/>
        </w:rPr>
      </w:pPr>
      <w:r>
        <w:rPr>
          <w:shd w:val="clear" w:color="auto" w:fill="FFFFFF"/>
        </w:rPr>
        <w:t>Uzroci potresa su prirodni, preciznije rečeno tektonski, po</w:t>
      </w:r>
      <w:r>
        <w:rPr>
          <w:shd w:val="clear" w:color="auto" w:fill="FFFFFF"/>
        </w:rPr>
        <w:t>vezani s kretanjima u unutrašnjosti Zemlje, odnosno sa smicanjem velikih blokova stijena koje grade gornje dijelove zemljine kore. Energija se duž rasjeda nakuplja godinama i oslobađa u vidu manjih potresa od kojih većinu ljudi ne osjete. Nažalost, uslijed</w:t>
      </w:r>
      <w:r>
        <w:rPr>
          <w:shd w:val="clear" w:color="auto" w:fill="FFFFFF"/>
        </w:rPr>
        <w:t xml:space="preserve"> pritiska jednog bloka stijene na drugi, na nekim </w:t>
      </w:r>
      <w:proofErr w:type="spellStart"/>
      <w:r>
        <w:rPr>
          <w:shd w:val="clear" w:color="auto" w:fill="FFFFFF"/>
        </w:rPr>
        <w:t>seizmogenim</w:t>
      </w:r>
      <w:proofErr w:type="spellEnd"/>
      <w:r>
        <w:rPr>
          <w:shd w:val="clear" w:color="auto" w:fill="FFFFFF"/>
        </w:rPr>
        <w:t xml:space="preserve"> rasjedima nakupljanje energije može trajati i preko 100 godina. Kad takav pritisak prijeđe graničnu točku, dolazi do naglog smicanja blokova jedan o drugi pa se oslobađa ogromna količina energij</w:t>
      </w:r>
      <w:r>
        <w:rPr>
          <w:shd w:val="clear" w:color="auto" w:fill="FFFFFF"/>
        </w:rPr>
        <w:t>e koja rezultira jakim potresima.</w:t>
      </w:r>
    </w:p>
    <w:p w:rsidR="00A07D92" w:rsidRDefault="00A07D92">
      <w:pPr>
        <w:rPr>
          <w:highlight w:val="white"/>
        </w:rPr>
      </w:pPr>
    </w:p>
    <w:p w:rsidR="00A07D92" w:rsidRDefault="00495E63">
      <w:pPr>
        <w:pStyle w:val="Naslov3"/>
      </w:pPr>
      <w:bookmarkStart w:id="131" w:name="_Toc9596639"/>
      <w:bookmarkStart w:id="132" w:name="_Toc496856101"/>
      <w:bookmarkStart w:id="133" w:name="_Toc492284945"/>
      <w:bookmarkStart w:id="134" w:name="_Toc136522817"/>
      <w:r>
        <w:lastRenderedPageBreak/>
        <w:t xml:space="preserve">6.1.6 </w:t>
      </w:r>
      <w:bookmarkEnd w:id="131"/>
      <w:bookmarkEnd w:id="132"/>
      <w:bookmarkEnd w:id="133"/>
      <w:r>
        <w:t>Događaj s najgorim mogućim posljedicama</w:t>
      </w:r>
      <w:bookmarkEnd w:id="134"/>
    </w:p>
    <w:p w:rsidR="00A07D92" w:rsidRDefault="00495E63">
      <w:r>
        <w:t>Događaj sa najgorim mogućim posljedicama pretpostavlja nastanak potresa jačine VI° MCS ljestvice na području grada Malog Lošinja</w:t>
      </w:r>
    </w:p>
    <w:p w:rsidR="00A07D92" w:rsidRDefault="00495E63">
      <w:r>
        <w:t>Potrebno je istaknuti da trenutno nisu raspolo</w:t>
      </w:r>
      <w:r>
        <w:t>živi adekvatni ulazni podaci za detaljan proračun posljedica potresa. Trenutno ne postoji katastar građevina prema tipu gradnje u odnosu na otpornost na potrese stoga su i rezultati dobiveni raspoloživim ulaznim podacima aproksimativni.</w:t>
      </w:r>
    </w:p>
    <w:p w:rsidR="00A07D92" w:rsidRDefault="00495E63">
      <w:r>
        <w:t>U svrhu preciznijih</w:t>
      </w:r>
      <w:r>
        <w:t xml:space="preserve"> rezultata te same procjene rizika potrebno je da Grad Mali Lošinj izradi posebnu studiju koje bi sadržavale katastar građevina. Isto je potrebno napraviti i za prometnu infrastrukturu.</w:t>
      </w:r>
    </w:p>
    <w:p w:rsidR="00A07D92" w:rsidRDefault="00495E63">
      <w:pPr>
        <w:rPr>
          <w:b/>
        </w:rPr>
      </w:pPr>
      <w:r>
        <w:rPr>
          <w:b/>
        </w:rPr>
        <w:t>Prognoza šteta na stambenom fondu</w:t>
      </w:r>
    </w:p>
    <w:p w:rsidR="00A07D92" w:rsidRDefault="00495E63">
      <w:r>
        <w:t xml:space="preserve">Izračun procjene štete na stambenom </w:t>
      </w:r>
      <w:r>
        <w:t>fondu grada Malog Lošinja izrađuje se uz sljedeće pretpostavke:</w:t>
      </w:r>
    </w:p>
    <w:p w:rsidR="00A07D92" w:rsidRDefault="00495E63">
      <w:pPr>
        <w:pStyle w:val="Odlomakpopisa"/>
        <w:numPr>
          <w:ilvl w:val="0"/>
          <w:numId w:val="20"/>
        </w:numPr>
        <w:spacing w:line="276" w:lineRule="auto"/>
        <w:rPr>
          <w:sz w:val="22"/>
        </w:rPr>
      </w:pPr>
      <w:r>
        <w:rPr>
          <w:sz w:val="22"/>
        </w:rPr>
        <w:t>potres jačine VI° MCS ljestvice pogodio je područje Grada;</w:t>
      </w:r>
    </w:p>
    <w:p w:rsidR="00A07D92" w:rsidRDefault="00495E63">
      <w:pPr>
        <w:pStyle w:val="Odlomakpopisa"/>
        <w:numPr>
          <w:ilvl w:val="0"/>
          <w:numId w:val="20"/>
        </w:numPr>
        <w:spacing w:line="276" w:lineRule="auto"/>
        <w:rPr>
          <w:sz w:val="22"/>
        </w:rPr>
      </w:pPr>
      <w:r>
        <w:rPr>
          <w:sz w:val="22"/>
        </w:rPr>
        <w:t>prema Karti potresnih područja Republike Hrvatske za 475 godina, područje grada Malog Lošinja nalazi se u području s vršnom akcelerac</w:t>
      </w:r>
      <w:r>
        <w:rPr>
          <w:sz w:val="22"/>
        </w:rPr>
        <w:t>ijom 0,06 do 0,08 g,</w:t>
      </w:r>
    </w:p>
    <w:p w:rsidR="00A07D92" w:rsidRDefault="00495E63">
      <w:pPr>
        <w:pStyle w:val="Odlomakpopisa"/>
        <w:numPr>
          <w:ilvl w:val="0"/>
          <w:numId w:val="20"/>
        </w:numPr>
        <w:spacing w:line="276" w:lineRule="auto"/>
        <w:rPr>
          <w:sz w:val="22"/>
        </w:rPr>
      </w:pPr>
      <w:r>
        <w:rPr>
          <w:sz w:val="22"/>
        </w:rPr>
        <w:t>trajanje potresa je 15 sekundi;</w:t>
      </w:r>
    </w:p>
    <w:p w:rsidR="00A07D92" w:rsidRDefault="00495E63">
      <w:pPr>
        <w:pStyle w:val="Odlomakpopisa"/>
        <w:numPr>
          <w:ilvl w:val="0"/>
          <w:numId w:val="20"/>
        </w:numPr>
        <w:spacing w:line="276" w:lineRule="auto"/>
        <w:rPr>
          <w:sz w:val="22"/>
        </w:rPr>
      </w:pPr>
      <w:r>
        <w:rPr>
          <w:sz w:val="22"/>
        </w:rPr>
        <w:t>ukupan broj stanovnika u gradu Malom Lošinju iznosi 7.537 + broj turista za vrijeme turističke sezone 20 000, ukupno-27 537 stanovnika;</w:t>
      </w:r>
    </w:p>
    <w:p w:rsidR="00A07D92" w:rsidRDefault="00495E63">
      <w:pPr>
        <w:pStyle w:val="Odlomakpopisa"/>
        <w:numPr>
          <w:ilvl w:val="0"/>
          <w:numId w:val="20"/>
        </w:numPr>
        <w:spacing w:line="276" w:lineRule="auto"/>
        <w:rPr>
          <w:sz w:val="22"/>
        </w:rPr>
      </w:pPr>
      <w:r>
        <w:rPr>
          <w:sz w:val="22"/>
        </w:rPr>
        <w:t>ukupan broj stambenih jedinica na području grada Malog Lošinja izno</w:t>
      </w:r>
      <w:r>
        <w:rPr>
          <w:sz w:val="22"/>
        </w:rPr>
        <w:t>si 8145</w:t>
      </w:r>
      <w:r>
        <w:rPr>
          <w:color w:val="auto"/>
          <w:sz w:val="22"/>
        </w:rPr>
        <w:t>,</w:t>
      </w:r>
    </w:p>
    <w:p w:rsidR="00A07D92" w:rsidRDefault="00495E63">
      <w:pPr>
        <w:pStyle w:val="Odlomakpopisa"/>
        <w:numPr>
          <w:ilvl w:val="0"/>
          <w:numId w:val="20"/>
        </w:numPr>
        <w:spacing w:line="276" w:lineRule="auto"/>
        <w:rPr>
          <w:sz w:val="22"/>
        </w:rPr>
      </w:pPr>
      <w:r>
        <w:rPr>
          <w:sz w:val="22"/>
        </w:rPr>
        <w:t xml:space="preserve">u cilju sagledavanja mogućih šteta korišten je proračun koji određuje štete na objektima po kategorijama gradnje, broj ranjenih i poginulih, </w:t>
      </w:r>
    </w:p>
    <w:p w:rsidR="00A07D92" w:rsidRDefault="00495E63">
      <w:pPr>
        <w:pStyle w:val="Odlomakpopisa"/>
        <w:numPr>
          <w:ilvl w:val="0"/>
          <w:numId w:val="20"/>
        </w:numPr>
        <w:spacing w:line="276" w:lineRule="auto"/>
        <w:rPr>
          <w:sz w:val="22"/>
        </w:rPr>
      </w:pPr>
      <w:r>
        <w:rPr>
          <w:sz w:val="22"/>
        </w:rPr>
        <w:t>u trenutku potresa se svi stanovnici nalaze u svojim stambenim jedinicama.</w:t>
      </w:r>
    </w:p>
    <w:p w:rsidR="00A07D92" w:rsidRDefault="00A07D92">
      <w:pPr>
        <w:spacing w:before="0" w:after="0"/>
        <w:rPr>
          <w:i/>
          <w:highlight w:val="yellow"/>
          <w:u w:val="single"/>
        </w:rPr>
      </w:pPr>
    </w:p>
    <w:p w:rsidR="00A07D92" w:rsidRDefault="00A07D92">
      <w:pPr>
        <w:spacing w:before="0" w:after="0"/>
        <w:rPr>
          <w:i/>
          <w:highlight w:val="yellow"/>
          <w:u w:val="single"/>
        </w:rPr>
      </w:pPr>
    </w:p>
    <w:p w:rsidR="00A07D92" w:rsidRDefault="00495E63">
      <w:pPr>
        <w:rPr>
          <w:i/>
          <w:u w:val="single"/>
        </w:rPr>
      </w:pPr>
      <w:r>
        <w:rPr>
          <w:i/>
          <w:u w:val="single"/>
        </w:rPr>
        <w:t xml:space="preserve">Podjela objekata prema tipu </w:t>
      </w:r>
      <w:r>
        <w:rPr>
          <w:i/>
          <w:u w:val="single"/>
        </w:rPr>
        <w:t>građevina i razredu ranjivosti:</w:t>
      </w:r>
    </w:p>
    <w:p w:rsidR="00A07D92" w:rsidRDefault="00495E63">
      <w:pPr>
        <w:keepNext/>
        <w:jc w:val="center"/>
        <w:rPr>
          <w:rFonts w:eastAsia="Calibri"/>
          <w:bCs/>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22</w:t>
      </w:r>
      <w:r>
        <w:rPr>
          <w:rFonts w:eastAsia="Calibri"/>
          <w:bCs/>
          <w:sz w:val="20"/>
          <w:szCs w:val="20"/>
        </w:rPr>
        <w:fldChar w:fldCharType="end"/>
      </w:r>
      <w:r>
        <w:rPr>
          <w:rFonts w:eastAsia="Calibri"/>
          <w:bCs/>
          <w:color w:val="54883D"/>
          <w:sz w:val="20"/>
          <w:szCs w:val="20"/>
        </w:rPr>
        <w:t>. Tipovi građevina</w:t>
      </w:r>
    </w:p>
    <w:tbl>
      <w:tblPr>
        <w:tblStyle w:val="Reetkatablice"/>
        <w:tblW w:w="9060" w:type="dxa"/>
        <w:jc w:val="center"/>
        <w:tblLook w:val="04A0" w:firstRow="1" w:lastRow="0" w:firstColumn="1" w:lastColumn="0" w:noHBand="0" w:noVBand="1"/>
      </w:tblPr>
      <w:tblGrid>
        <w:gridCol w:w="2971"/>
        <w:gridCol w:w="6089"/>
      </w:tblGrid>
      <w:tr w:rsidR="00A07D92">
        <w:trPr>
          <w:jc w:val="center"/>
        </w:trPr>
        <w:tc>
          <w:tcPr>
            <w:tcW w:w="297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rFonts w:ascii="Times New Roman" w:hAnsi="Times New Roman" w:cs="Times New Roman"/>
                <w:b/>
                <w:sz w:val="20"/>
                <w:szCs w:val="20"/>
                <w:lang w:eastAsia="hr-HR"/>
              </w:rPr>
              <w:t>TIPOVI GRAĐEVINA</w:t>
            </w:r>
          </w:p>
        </w:tc>
        <w:tc>
          <w:tcPr>
            <w:tcW w:w="60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rFonts w:ascii="Times New Roman" w:hAnsi="Times New Roman" w:cs="Times New Roman"/>
                <w:b/>
                <w:sz w:val="20"/>
                <w:szCs w:val="20"/>
                <w:lang w:eastAsia="hr-HR"/>
              </w:rPr>
              <w:t>OPIS GRAĐEVINA</w:t>
            </w:r>
          </w:p>
        </w:tc>
      </w:tr>
      <w:tr w:rsidR="00A07D92">
        <w:trPr>
          <w:jc w:val="center"/>
        </w:trPr>
        <w:tc>
          <w:tcPr>
            <w:tcW w:w="297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rPr>
                <w:sz w:val="20"/>
                <w:szCs w:val="20"/>
              </w:rPr>
            </w:pPr>
            <w:r>
              <w:rPr>
                <w:rFonts w:ascii="Times New Roman" w:hAnsi="Times New Roman" w:cs="Times New Roman"/>
                <w:sz w:val="20"/>
                <w:szCs w:val="20"/>
                <w:lang w:eastAsia="hr-HR"/>
              </w:rPr>
              <w:t>Tip A  - I grupa objekata</w:t>
            </w:r>
          </w:p>
        </w:tc>
        <w:tc>
          <w:tcPr>
            <w:tcW w:w="60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rPr>
                <w:sz w:val="20"/>
                <w:szCs w:val="20"/>
              </w:rPr>
            </w:pPr>
            <w:r>
              <w:rPr>
                <w:rFonts w:ascii="Times New Roman" w:hAnsi="Times New Roman" w:cs="Times New Roman"/>
                <w:sz w:val="20"/>
                <w:szCs w:val="20"/>
                <w:lang w:eastAsia="hr-HR"/>
              </w:rPr>
              <w:t xml:space="preserve">zgrade od neobrađenog kamena, seoske građevine, kuće od nepečene opeke, kuće od nabijene gline (na području do </w:t>
            </w:r>
            <w:r>
              <w:rPr>
                <w:rFonts w:ascii="Times New Roman" w:hAnsi="Times New Roman" w:cs="Times New Roman"/>
                <w:sz w:val="20"/>
                <w:szCs w:val="20"/>
                <w:lang w:eastAsia="hr-HR"/>
              </w:rPr>
              <w:t>15%)</w:t>
            </w:r>
          </w:p>
        </w:tc>
      </w:tr>
      <w:tr w:rsidR="00A07D92">
        <w:trPr>
          <w:jc w:val="center"/>
        </w:trPr>
        <w:tc>
          <w:tcPr>
            <w:tcW w:w="297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rPr>
                <w:sz w:val="20"/>
                <w:szCs w:val="20"/>
              </w:rPr>
            </w:pPr>
            <w:r>
              <w:rPr>
                <w:rFonts w:ascii="Times New Roman" w:hAnsi="Times New Roman" w:cs="Times New Roman"/>
                <w:sz w:val="20"/>
                <w:szCs w:val="20"/>
                <w:lang w:eastAsia="hr-HR"/>
              </w:rPr>
              <w:t>Tip B – II grupa objekata</w:t>
            </w:r>
          </w:p>
        </w:tc>
        <w:tc>
          <w:tcPr>
            <w:tcW w:w="60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rPr>
                <w:sz w:val="20"/>
                <w:szCs w:val="20"/>
              </w:rPr>
            </w:pPr>
            <w:r>
              <w:rPr>
                <w:rFonts w:ascii="Times New Roman" w:hAnsi="Times New Roman" w:cs="Times New Roman"/>
                <w:sz w:val="20"/>
                <w:szCs w:val="20"/>
                <w:lang w:eastAsia="hr-HR"/>
              </w:rPr>
              <w:t>zgrade od opeke, građevine od krupnih blokova, građevine s drvenom konstrukcijom, građevine iz tesanog prirodnog kamena (na području do 60 %)</w:t>
            </w:r>
          </w:p>
        </w:tc>
      </w:tr>
      <w:tr w:rsidR="00A07D92">
        <w:trPr>
          <w:jc w:val="center"/>
        </w:trPr>
        <w:tc>
          <w:tcPr>
            <w:tcW w:w="297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rPr>
                <w:sz w:val="20"/>
                <w:szCs w:val="20"/>
              </w:rPr>
            </w:pPr>
            <w:r>
              <w:rPr>
                <w:rFonts w:ascii="Times New Roman" w:hAnsi="Times New Roman" w:cs="Times New Roman"/>
                <w:sz w:val="20"/>
                <w:szCs w:val="20"/>
                <w:lang w:eastAsia="hr-HR"/>
              </w:rPr>
              <w:t>Tip C – III grupa objekata</w:t>
            </w:r>
          </w:p>
        </w:tc>
        <w:tc>
          <w:tcPr>
            <w:tcW w:w="60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rPr>
                <w:sz w:val="20"/>
                <w:szCs w:val="20"/>
              </w:rPr>
            </w:pPr>
            <w:r>
              <w:rPr>
                <w:rFonts w:ascii="Times New Roman" w:hAnsi="Times New Roman" w:cs="Times New Roman"/>
                <w:sz w:val="20"/>
                <w:szCs w:val="20"/>
                <w:lang w:eastAsia="hr-HR"/>
              </w:rPr>
              <w:t>zgrade s armiranobetonskim i čeličnim skeletom, krupno</w:t>
            </w:r>
            <w:r>
              <w:rPr>
                <w:rFonts w:ascii="Times New Roman" w:hAnsi="Times New Roman" w:cs="Times New Roman"/>
                <w:sz w:val="20"/>
                <w:szCs w:val="20"/>
                <w:lang w:eastAsia="hr-HR"/>
              </w:rPr>
              <w:t>-</w:t>
            </w:r>
            <w:proofErr w:type="spellStart"/>
            <w:r>
              <w:rPr>
                <w:rFonts w:ascii="Times New Roman" w:hAnsi="Times New Roman" w:cs="Times New Roman"/>
                <w:sz w:val="20"/>
                <w:szCs w:val="20"/>
                <w:lang w:eastAsia="hr-HR"/>
              </w:rPr>
              <w:t>panelne</w:t>
            </w:r>
            <w:proofErr w:type="spellEnd"/>
            <w:r>
              <w:rPr>
                <w:rFonts w:ascii="Times New Roman" w:hAnsi="Times New Roman" w:cs="Times New Roman"/>
                <w:sz w:val="20"/>
                <w:szCs w:val="20"/>
                <w:lang w:eastAsia="hr-HR"/>
              </w:rPr>
              <w:t xml:space="preserve"> zgrade, dobro građene drvene zgrade (na području do 35%)</w:t>
            </w:r>
          </w:p>
        </w:tc>
      </w:tr>
    </w:tbl>
    <w:p w:rsidR="00A07D92" w:rsidRDefault="00495E63">
      <w:pPr>
        <w:jc w:val="center"/>
        <w:rPr>
          <w:i/>
          <w:color w:val="54883D"/>
          <w:sz w:val="20"/>
          <w:szCs w:val="20"/>
        </w:rPr>
      </w:pPr>
      <w:r>
        <w:rPr>
          <w:i/>
          <w:color w:val="54883D"/>
          <w:sz w:val="20"/>
          <w:szCs w:val="20"/>
        </w:rPr>
        <w:t>Izvor: dr. Ratko Stojanović, Zaštita i spašavanje ljudi i materijalnih dobara u vanrednim situacijama, Beograd, 1984. god.</w:t>
      </w:r>
    </w:p>
    <w:p w:rsidR="00A07D92" w:rsidRDefault="00495E63">
      <w:pPr>
        <w:tabs>
          <w:tab w:val="left" w:pos="897"/>
          <w:tab w:val="center" w:pos="4535"/>
        </w:tabs>
        <w:spacing w:before="0" w:line="259" w:lineRule="auto"/>
        <w:jc w:val="center"/>
        <w:rPr>
          <w:rFonts w:ascii="Calibri" w:eastAsia="Calibri" w:hAnsi="Calibri" w:cs="Times New Roman"/>
          <w:color w:val="auto"/>
          <w:szCs w:val="22"/>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23</w:t>
      </w:r>
      <w:r>
        <w:rPr>
          <w:rFonts w:eastAsia="Calibri"/>
          <w:bCs/>
          <w:sz w:val="20"/>
          <w:szCs w:val="20"/>
        </w:rPr>
        <w:fldChar w:fldCharType="end"/>
      </w:r>
      <w:r>
        <w:rPr>
          <w:rFonts w:eastAsia="Calibri"/>
          <w:bCs/>
          <w:color w:val="54883D"/>
          <w:sz w:val="20"/>
          <w:szCs w:val="20"/>
        </w:rPr>
        <w:t xml:space="preserve">. Razredi ranjivosti različitih </w:t>
      </w:r>
      <w:r>
        <w:rPr>
          <w:rFonts w:eastAsia="Calibri"/>
          <w:bCs/>
          <w:color w:val="54883D"/>
          <w:sz w:val="20"/>
          <w:szCs w:val="20"/>
        </w:rPr>
        <w:t>tipova zgrada (EMS-98)</w:t>
      </w:r>
    </w:p>
    <w:tbl>
      <w:tblPr>
        <w:tblStyle w:val="Reetkatablice"/>
        <w:tblW w:w="9061" w:type="dxa"/>
        <w:jc w:val="center"/>
        <w:tblLook w:val="04A0" w:firstRow="1" w:lastRow="0" w:firstColumn="1" w:lastColumn="0" w:noHBand="0" w:noVBand="1"/>
      </w:tblPr>
      <w:tblGrid>
        <w:gridCol w:w="4673"/>
        <w:gridCol w:w="709"/>
        <w:gridCol w:w="22"/>
        <w:gridCol w:w="636"/>
        <w:gridCol w:w="96"/>
        <w:gridCol w:w="658"/>
        <w:gridCol w:w="72"/>
        <w:gridCol w:w="683"/>
        <w:gridCol w:w="48"/>
        <w:gridCol w:w="707"/>
        <w:gridCol w:w="24"/>
        <w:gridCol w:w="733"/>
      </w:tblGrid>
      <w:tr w:rsidR="00A07D92">
        <w:trPr>
          <w:trHeight w:val="231"/>
          <w:tblHeader/>
          <w:jc w:val="center"/>
        </w:trPr>
        <w:tc>
          <w:tcPr>
            <w:tcW w:w="4672"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Tip konstrukcije</w:t>
            </w:r>
          </w:p>
        </w:tc>
        <w:tc>
          <w:tcPr>
            <w:tcW w:w="4388" w:type="dxa"/>
            <w:gridSpan w:val="11"/>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Razred ranjivosti</w:t>
            </w:r>
          </w:p>
        </w:tc>
      </w:tr>
      <w:tr w:rsidR="00A07D92">
        <w:trPr>
          <w:trHeight w:val="231"/>
          <w:tblHeader/>
          <w:jc w:val="center"/>
        </w:trPr>
        <w:tc>
          <w:tcPr>
            <w:tcW w:w="4672"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b/>
                <w:color w:val="auto"/>
                <w:sz w:val="20"/>
                <w:lang w:eastAsia="hr-HR"/>
              </w:rPr>
            </w:pP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A</w:t>
            </w: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B</w:t>
            </w: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C</w:t>
            </w: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D</w:t>
            </w: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E</w:t>
            </w: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b/>
                <w:color w:val="auto"/>
                <w:sz w:val="20"/>
              </w:rPr>
            </w:pPr>
            <w:r>
              <w:rPr>
                <w:rFonts w:ascii="Times New Roman" w:eastAsia="Calibri" w:hAnsi="Times New Roman" w:cs="Times New Roman"/>
                <w:b/>
                <w:color w:val="auto"/>
                <w:sz w:val="20"/>
                <w:lang w:eastAsia="hr-HR"/>
              </w:rPr>
              <w:t>F</w:t>
            </w:r>
          </w:p>
        </w:tc>
      </w:tr>
      <w:tr w:rsidR="00A07D92">
        <w:trPr>
          <w:jc w:val="center"/>
        </w:trPr>
        <w:tc>
          <w:tcPr>
            <w:tcW w:w="9060" w:type="dxa"/>
            <w:gridSpan w:val="1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lastRenderedPageBreak/>
              <w:t>Zidane zgrade</w:t>
            </w: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Od prirodnog, lomljenog i neobrađenog kamena</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w:t>
            </w: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Od nepečene opeke</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w:t>
            </w: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ascii="Times New Roman" w:eastAsia="Calibri" w:hAnsi="Times New Roman" w:cs="Times New Roman"/>
                <w:color w:val="auto"/>
                <w:sz w:val="20"/>
                <w:szCs w:val="20"/>
                <w:lang w:eastAsia="hr-HR"/>
              </w:rPr>
            </w:pPr>
            <w:r>
              <w:rPr>
                <w:rFonts w:ascii="Times New Roman" w:eastAsia="Calibri" w:hAnsi="Times New Roman" w:cs="Times New Roman"/>
                <w:noProof/>
                <w:color w:val="auto"/>
                <w:sz w:val="20"/>
                <w:szCs w:val="20"/>
                <w:lang w:eastAsia="hr-HR"/>
              </w:rPr>
              <mc:AlternateContent>
                <mc:Choice Requires="wps">
                  <w:drawing>
                    <wp:anchor distT="0" distB="0" distL="0" distR="0" simplePos="0" relativeHeight="22" behindDoc="0" locked="0" layoutInCell="1" allowOverlap="1" wp14:anchorId="583446F2">
                      <wp:simplePos x="0" y="0"/>
                      <wp:positionH relativeFrom="column">
                        <wp:posOffset>-208915</wp:posOffset>
                      </wp:positionH>
                      <wp:positionV relativeFrom="paragraph">
                        <wp:posOffset>94615</wp:posOffset>
                      </wp:positionV>
                      <wp:extent cx="285115" cy="129540"/>
                      <wp:effectExtent l="0" t="0" r="20320" b="23495"/>
                      <wp:wrapNone/>
                      <wp:docPr id="48" name="Strelica lijevo-desno 465"/>
                      <wp:cNvGraphicFramePr/>
                      <a:graphic xmlns:a="http://schemas.openxmlformats.org/drawingml/2006/main">
                        <a:graphicData uri="http://schemas.microsoft.com/office/word/2010/wordprocessingShape">
                          <wps:wsp>
                            <wps:cNvSpPr/>
                            <wps:spPr>
                              <a:xfrm>
                                <a:off x="0" y="0"/>
                                <a:ext cx="284400" cy="128880"/>
                              </a:xfrm>
                              <a:prstGeom prst="leftRightArrow">
                                <a:avLst>
                                  <a:gd name="adj1" fmla="val 50000"/>
                                  <a:gd name="adj2" fmla="val 50000"/>
                                </a:avLst>
                              </a:prstGeom>
                              <a:solidFill>
                                <a:srgbClr val="54883D"/>
                              </a:solidFill>
                              <a:ln w="25560">
                                <a:solidFill>
                                  <a:srgbClr val="54883D"/>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type id="shapetype_69" coordsize="21600,21600" o:spt="69" adj="10800,10800" path="m,10800l@2,l@2@5l@3@5l@3,l21600,10800l@3,21600l@3@6l@2@6l@2,21600xe">
                      <v:stroke joinstyle="miter"/>
                      <v:formulas>
                        <v:f eqn="val 10800"/>
                        <v:f eqn="val #1"/>
                        <v:f eqn="val #0"/>
                        <v:f eqn="sum width 0 @2"/>
                        <v:f eqn="prod 1 @1 2"/>
                        <v:f eqn="sum 10800 0 @4"/>
                        <v:f eqn="sum 10800 @4 0"/>
                        <v:f eqn="prod @5 @2 10800"/>
                        <v:f eqn="sum @2 0 @7"/>
                        <v:f eqn="sum @3 @7 0"/>
                      </v:formulas>
                      <v:path gradientshapeok="t" o:connecttype="rect" textboxrect="@8,@5,@9,@6"/>
                      <v:handles>
                        <v:h position="@3,@5"/>
                        <v:h position="@2,0"/>
                      </v:handles>
                    </v:shapetype>
                    <v:shape id="shape_0" ID="Strelica lijevo-desno 465" fillcolor="#54883d" stroked="t" style="position:absolute;margin-left:-16.45pt;margin-top:7.45pt;width:22.35pt;height:10.1pt" wp14:anchorId="583446F2" type="shapetype_69">
                      <w10:wrap type="none"/>
                      <v:fill o:detectmouseclick="t" type="solid" color2="#ab77c2"/>
                      <v:stroke color="#54883d" weight="25560" joinstyle="round" endcap="flat"/>
                    </v:shape>
                  </w:pict>
                </mc:Fallback>
              </mc:AlternateContent>
            </w: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Od grubo obrađenog kamena</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w:t>
            </w: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Od obrađenog kamena</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ascii="Times New Roman" w:eastAsia="Calibri" w:hAnsi="Times New Roman" w:cs="Times New Roman"/>
                <w:color w:val="auto"/>
                <w:sz w:val="20"/>
                <w:lang w:eastAsia="hr-HR"/>
              </w:rPr>
            </w:pPr>
            <w:r>
              <w:rPr>
                <w:rFonts w:ascii="Times New Roman" w:eastAsia="Calibri" w:hAnsi="Times New Roman" w:cs="Times New Roman"/>
                <w:noProof/>
                <w:color w:val="auto"/>
                <w:sz w:val="20"/>
                <w:lang w:eastAsia="hr-HR"/>
              </w:rPr>
              <mc:AlternateContent>
                <mc:Choice Requires="wps">
                  <w:drawing>
                    <wp:anchor distT="0" distB="0" distL="0" distR="0" simplePos="0" relativeHeight="23" behindDoc="0" locked="0" layoutInCell="1" allowOverlap="1" wp14:anchorId="58A6982F">
                      <wp:simplePos x="0" y="0"/>
                      <wp:positionH relativeFrom="column">
                        <wp:posOffset>198120</wp:posOffset>
                      </wp:positionH>
                      <wp:positionV relativeFrom="paragraph">
                        <wp:posOffset>60325</wp:posOffset>
                      </wp:positionV>
                      <wp:extent cx="285115" cy="129540"/>
                      <wp:effectExtent l="0" t="0" r="20320" b="23495"/>
                      <wp:wrapNone/>
                      <wp:docPr id="49" name="Strelica lijevo-desno 466"/>
                      <wp:cNvGraphicFramePr/>
                      <a:graphic xmlns:a="http://schemas.openxmlformats.org/drawingml/2006/main">
                        <a:graphicData uri="http://schemas.microsoft.com/office/word/2010/wordprocessingShape">
                          <wps:wsp>
                            <wps:cNvSpPr/>
                            <wps:spPr>
                              <a:xfrm>
                                <a:off x="0" y="0"/>
                                <a:ext cx="284400" cy="128880"/>
                              </a:xfrm>
                              <a:prstGeom prst="leftRightArrow">
                                <a:avLst>
                                  <a:gd name="adj1" fmla="val 50000"/>
                                  <a:gd name="adj2" fmla="val 50000"/>
                                </a:avLst>
                              </a:prstGeom>
                              <a:solidFill>
                                <a:srgbClr val="54883D"/>
                              </a:solidFill>
                              <a:ln w="25560">
                                <a:solidFill>
                                  <a:srgbClr val="54883D"/>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shape_0" ID="Strelica lijevo-desno 466" fillcolor="#54883d" stroked="t" style="position:absolute;margin-left:15.6pt;margin-top:4.75pt;width:22.35pt;height:10.1pt" wp14:anchorId="58A6982F" type="shapetype_69">
                      <w10:wrap type="none"/>
                      <v:fill o:detectmouseclick="t" type="solid" color2="#ab77c2"/>
                      <v:stroke color="#54883d" weight="25560" joinstyle="round" endcap="flat"/>
                    </v:shape>
                  </w:pict>
                </mc:Fallback>
              </mc:AlternateContent>
            </w: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proofErr w:type="spellStart"/>
            <w:r>
              <w:rPr>
                <w:rFonts w:ascii="Times New Roman" w:eastAsia="Calibri" w:hAnsi="Times New Roman" w:cs="Times New Roman"/>
                <w:color w:val="auto"/>
                <w:sz w:val="20"/>
                <w:lang w:eastAsia="hr-HR"/>
              </w:rPr>
              <w:t>Nearmirane</w:t>
            </w:r>
            <w:proofErr w:type="spellEnd"/>
            <w:r>
              <w:rPr>
                <w:rFonts w:ascii="Times New Roman" w:eastAsia="Calibri" w:hAnsi="Times New Roman" w:cs="Times New Roman"/>
                <w:color w:val="auto"/>
                <w:sz w:val="20"/>
                <w:lang w:eastAsia="hr-HR"/>
              </w:rPr>
              <w:t xml:space="preserve">, od </w:t>
            </w:r>
            <w:r>
              <w:rPr>
                <w:rFonts w:ascii="Times New Roman" w:eastAsia="Calibri" w:hAnsi="Times New Roman" w:cs="Times New Roman"/>
                <w:color w:val="auto"/>
                <w:sz w:val="20"/>
                <w:lang w:eastAsia="hr-HR"/>
              </w:rPr>
              <w:t>proizvedenih zidnih elemenata</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w:t>
            </w: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proofErr w:type="spellStart"/>
            <w:r>
              <w:rPr>
                <w:rFonts w:ascii="Times New Roman" w:eastAsia="Calibri" w:hAnsi="Times New Roman" w:cs="Times New Roman"/>
                <w:color w:val="auto"/>
                <w:sz w:val="20"/>
                <w:lang w:eastAsia="hr-HR"/>
              </w:rPr>
              <w:t>Nearmirane</w:t>
            </w:r>
            <w:proofErr w:type="spellEnd"/>
            <w:r>
              <w:rPr>
                <w:rFonts w:ascii="Times New Roman" w:eastAsia="Calibri" w:hAnsi="Times New Roman" w:cs="Times New Roman"/>
                <w:color w:val="auto"/>
                <w:sz w:val="20"/>
                <w:lang w:eastAsia="hr-HR"/>
              </w:rPr>
              <w:t>, s armirano-betonskim stropovima</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noProof/>
                <w:lang w:eastAsia="hr-HR"/>
              </w:rPr>
              <mc:AlternateContent>
                <mc:Choice Requires="wps">
                  <w:drawing>
                    <wp:anchor distT="0" distB="0" distL="0" distR="0" simplePos="0" relativeHeight="24" behindDoc="0" locked="0" layoutInCell="1" allowOverlap="1" wp14:anchorId="689A13E8">
                      <wp:simplePos x="0" y="0"/>
                      <wp:positionH relativeFrom="column">
                        <wp:posOffset>-198755</wp:posOffset>
                      </wp:positionH>
                      <wp:positionV relativeFrom="paragraph">
                        <wp:posOffset>60325</wp:posOffset>
                      </wp:positionV>
                      <wp:extent cx="285115" cy="129540"/>
                      <wp:effectExtent l="0" t="0" r="20320" b="23495"/>
                      <wp:wrapNone/>
                      <wp:docPr id="50" name="Strelica lijevo-desno 467"/>
                      <wp:cNvGraphicFramePr/>
                      <a:graphic xmlns:a="http://schemas.openxmlformats.org/drawingml/2006/main">
                        <a:graphicData uri="http://schemas.microsoft.com/office/word/2010/wordprocessingShape">
                          <wps:wsp>
                            <wps:cNvSpPr/>
                            <wps:spPr>
                              <a:xfrm>
                                <a:off x="0" y="0"/>
                                <a:ext cx="284400" cy="128880"/>
                              </a:xfrm>
                              <a:prstGeom prst="leftRightArrow">
                                <a:avLst>
                                  <a:gd name="adj1" fmla="val 50000"/>
                                  <a:gd name="adj2" fmla="val 50000"/>
                                </a:avLst>
                              </a:prstGeom>
                              <a:solidFill>
                                <a:srgbClr val="54883D"/>
                              </a:solidFill>
                              <a:ln w="25560">
                                <a:solidFill>
                                  <a:srgbClr val="54883D"/>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shape_0" ID="Strelica lijevo-desno 467" fillcolor="#54883d" stroked="t" style="position:absolute;margin-left:-15.65pt;margin-top:4.75pt;width:22.35pt;height:10.1pt" wp14:anchorId="689A13E8" type="shapetype_69">
                      <w10:wrap type="none"/>
                      <v:fill o:detectmouseclick="t" type="solid" color2="#ab77c2"/>
                      <v:stroke color="#54883d" weight="25560" joinstyle="round" endcap="flat"/>
                    </v:shape>
                  </w:pict>
                </mc:Fallback>
              </mc:AlternateContent>
            </w:r>
            <w:r>
              <w:rPr>
                <w:rFonts w:ascii="Times New Roman" w:eastAsia="Calibri" w:hAnsi="Times New Roman" w:cs="Times New Roman"/>
                <w:color w:val="auto"/>
                <w:sz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Armirane ili s omeđenim zidovima</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noProof/>
                <w:lang w:eastAsia="hr-HR"/>
              </w:rPr>
              <mc:AlternateContent>
                <mc:Choice Requires="wps">
                  <w:drawing>
                    <wp:anchor distT="0" distB="0" distL="0" distR="0" simplePos="0" relativeHeight="25" behindDoc="0" locked="0" layoutInCell="1" allowOverlap="1" wp14:anchorId="1F247625">
                      <wp:simplePos x="0" y="0"/>
                      <wp:positionH relativeFrom="column">
                        <wp:posOffset>266700</wp:posOffset>
                      </wp:positionH>
                      <wp:positionV relativeFrom="paragraph">
                        <wp:posOffset>111760</wp:posOffset>
                      </wp:positionV>
                      <wp:extent cx="285115" cy="129540"/>
                      <wp:effectExtent l="0" t="0" r="20320" b="23495"/>
                      <wp:wrapNone/>
                      <wp:docPr id="51" name="Strelica lijevo-desno 468"/>
                      <wp:cNvGraphicFramePr/>
                      <a:graphic xmlns:a="http://schemas.openxmlformats.org/drawingml/2006/main">
                        <a:graphicData uri="http://schemas.microsoft.com/office/word/2010/wordprocessingShape">
                          <wps:wsp>
                            <wps:cNvSpPr/>
                            <wps:spPr>
                              <a:xfrm>
                                <a:off x="0" y="0"/>
                                <a:ext cx="284400" cy="128880"/>
                              </a:xfrm>
                              <a:prstGeom prst="leftRightArrow">
                                <a:avLst>
                                  <a:gd name="adj1" fmla="val 50000"/>
                                  <a:gd name="adj2" fmla="val 50000"/>
                                </a:avLst>
                              </a:prstGeom>
                              <a:solidFill>
                                <a:srgbClr val="54883D"/>
                              </a:solidFill>
                              <a:ln w="25560">
                                <a:solidFill>
                                  <a:srgbClr val="54883D"/>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shape_0" ID="Strelica lijevo-desno 468" fillcolor="#54883d" stroked="t" style="position:absolute;margin-left:21pt;margin-top:8.8pt;width:22.35pt;height:10.1pt" wp14:anchorId="1F247625" type="shapetype_69">
                      <w10:wrap type="none"/>
                      <v:fill o:detectmouseclick="t" type="solid" color2="#ab77c2"/>
                      <v:stroke color="#54883d" weight="25560" joinstyle="round" endcap="flat"/>
                    </v:shape>
                  </w:pict>
                </mc:Fallback>
              </mc:AlternateContent>
            </w:r>
            <w:r>
              <w:rPr>
                <w:rFonts w:ascii="Times New Roman" w:eastAsia="Calibri" w:hAnsi="Times New Roman" w:cs="Times New Roman"/>
                <w:color w:val="auto"/>
                <w:sz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9060" w:type="dxa"/>
            <w:gridSpan w:val="1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Armirano-betonske zgrade</w:t>
            </w: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 xml:space="preserve">Okvirne, </w:t>
            </w:r>
            <w:proofErr w:type="spellStart"/>
            <w:r>
              <w:rPr>
                <w:rFonts w:ascii="Times New Roman" w:eastAsia="Calibri" w:hAnsi="Times New Roman" w:cs="Times New Roman"/>
                <w:color w:val="auto"/>
                <w:sz w:val="20"/>
                <w:lang w:eastAsia="hr-HR"/>
              </w:rPr>
              <w:t>neprojektirane</w:t>
            </w:r>
            <w:proofErr w:type="spellEnd"/>
            <w:r>
              <w:rPr>
                <w:rFonts w:ascii="Times New Roman" w:eastAsia="Calibri" w:hAnsi="Times New Roman" w:cs="Times New Roman"/>
                <w:color w:val="auto"/>
                <w:sz w:val="20"/>
                <w:lang w:eastAsia="hr-HR"/>
              </w:rPr>
              <w:t xml:space="preserve"> za potres</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Okvirne, umjerene potresne otpornosti</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noProof/>
                <w:lang w:eastAsia="hr-HR"/>
              </w:rPr>
              <mc:AlternateContent>
                <mc:Choice Requires="wps">
                  <w:drawing>
                    <wp:anchor distT="0" distB="0" distL="0" distR="0" simplePos="0" relativeHeight="26" behindDoc="0" locked="0" layoutInCell="1" allowOverlap="1" wp14:anchorId="12668B25">
                      <wp:simplePos x="0" y="0"/>
                      <wp:positionH relativeFrom="column">
                        <wp:posOffset>284480</wp:posOffset>
                      </wp:positionH>
                      <wp:positionV relativeFrom="paragraph">
                        <wp:posOffset>103505</wp:posOffset>
                      </wp:positionV>
                      <wp:extent cx="285115" cy="129540"/>
                      <wp:effectExtent l="0" t="0" r="20320" b="23495"/>
                      <wp:wrapNone/>
                      <wp:docPr id="52" name="Strelica lijevo-desno 474"/>
                      <wp:cNvGraphicFramePr/>
                      <a:graphic xmlns:a="http://schemas.openxmlformats.org/drawingml/2006/main">
                        <a:graphicData uri="http://schemas.microsoft.com/office/word/2010/wordprocessingShape">
                          <wps:wsp>
                            <wps:cNvSpPr/>
                            <wps:spPr>
                              <a:xfrm>
                                <a:off x="0" y="0"/>
                                <a:ext cx="284400" cy="128880"/>
                              </a:xfrm>
                              <a:prstGeom prst="leftRightArrow">
                                <a:avLst>
                                  <a:gd name="adj1" fmla="val 50000"/>
                                  <a:gd name="adj2" fmla="val 50000"/>
                                </a:avLst>
                              </a:prstGeom>
                              <a:solidFill>
                                <a:srgbClr val="54883D"/>
                              </a:solidFill>
                              <a:ln w="25560">
                                <a:solidFill>
                                  <a:srgbClr val="54883D"/>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shape_0" ID="Strelica lijevo-desno 474" fillcolor="#54883d" stroked="t" style="position:absolute;margin-left:22.4pt;margin-top:8.15pt;width:22.35pt;height:10.1pt" wp14:anchorId="12668B25" type="shapetype_69">
                      <w10:wrap type="none"/>
                      <v:fill o:detectmouseclick="t" type="solid" color2="#ab77c2"/>
                      <v:stroke color="#54883d" weight="25560" joinstyle="round" endcap="flat"/>
                    </v:shape>
                  </w:pict>
                </mc:Fallback>
              </mc:AlternateContent>
            </w:r>
            <w:r>
              <w:rPr>
                <w:rFonts w:ascii="Times New Roman" w:eastAsia="Calibri" w:hAnsi="Times New Roman" w:cs="Times New Roman"/>
                <w:color w:val="auto"/>
                <w:sz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Okvirne,</w:t>
            </w:r>
            <w:r>
              <w:rPr>
                <w:rFonts w:ascii="Times New Roman" w:eastAsia="Calibri" w:hAnsi="Times New Roman" w:cs="Times New Roman"/>
                <w:color w:val="auto"/>
                <w:sz w:val="20"/>
                <w:lang w:eastAsia="hr-HR"/>
              </w:rPr>
              <w:t xml:space="preserve"> velike potresne otpornosti</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noProof/>
                <w:lang w:eastAsia="hr-HR"/>
              </w:rPr>
              <mc:AlternateContent>
                <mc:Choice Requires="wps">
                  <w:drawing>
                    <wp:anchor distT="0" distB="0" distL="0" distR="0" simplePos="0" relativeHeight="27" behindDoc="0" locked="0" layoutInCell="1" allowOverlap="1" wp14:anchorId="0334E5E4">
                      <wp:simplePos x="0" y="0"/>
                      <wp:positionH relativeFrom="column">
                        <wp:posOffset>302260</wp:posOffset>
                      </wp:positionH>
                      <wp:positionV relativeFrom="paragraph">
                        <wp:posOffset>85725</wp:posOffset>
                      </wp:positionV>
                      <wp:extent cx="285115" cy="129540"/>
                      <wp:effectExtent l="0" t="0" r="20320" b="23495"/>
                      <wp:wrapNone/>
                      <wp:docPr id="53" name="Strelica lijevo-desno 475"/>
                      <wp:cNvGraphicFramePr/>
                      <a:graphic xmlns:a="http://schemas.openxmlformats.org/drawingml/2006/main">
                        <a:graphicData uri="http://schemas.microsoft.com/office/word/2010/wordprocessingShape">
                          <wps:wsp>
                            <wps:cNvSpPr/>
                            <wps:spPr>
                              <a:xfrm>
                                <a:off x="0" y="0"/>
                                <a:ext cx="284400" cy="128880"/>
                              </a:xfrm>
                              <a:prstGeom prst="leftRightArrow">
                                <a:avLst>
                                  <a:gd name="adj1" fmla="val 50000"/>
                                  <a:gd name="adj2" fmla="val 50000"/>
                                </a:avLst>
                              </a:prstGeom>
                              <a:solidFill>
                                <a:srgbClr val="54883D"/>
                              </a:solidFill>
                              <a:ln w="25560">
                                <a:solidFill>
                                  <a:srgbClr val="54883D"/>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shape_0" ID="Strelica lijevo-desno 475" fillcolor="#54883d" stroked="t" style="position:absolute;margin-left:23.8pt;margin-top:6.75pt;width:22.35pt;height:10.1pt" wp14:anchorId="0334E5E4" type="shapetype_69">
                      <w10:wrap type="none"/>
                      <v:fill o:detectmouseclick="t" type="solid" color2="#ab77c2"/>
                      <v:stroke color="#54883d" weight="25560" joinstyle="round" endcap="flat"/>
                    </v:shape>
                  </w:pict>
                </mc:Fallback>
              </mc:AlternateContent>
            </w:r>
            <w:r>
              <w:rPr>
                <w:rFonts w:ascii="Times New Roman" w:eastAsia="Calibri" w:hAnsi="Times New Roman" w:cs="Times New Roman"/>
                <w:color w:val="auto"/>
                <w:sz w:val="20"/>
                <w:lang w:eastAsia="hr-HR"/>
              </w:rPr>
              <w:t>O</w:t>
            </w: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 xml:space="preserve">S nosivim zidovima, </w:t>
            </w:r>
            <w:proofErr w:type="spellStart"/>
            <w:r>
              <w:rPr>
                <w:rFonts w:ascii="Times New Roman" w:eastAsia="Calibri" w:hAnsi="Times New Roman" w:cs="Times New Roman"/>
                <w:color w:val="auto"/>
                <w:sz w:val="20"/>
                <w:lang w:eastAsia="hr-HR"/>
              </w:rPr>
              <w:t>neprojektirane</w:t>
            </w:r>
            <w:proofErr w:type="spellEnd"/>
            <w:r>
              <w:rPr>
                <w:rFonts w:ascii="Times New Roman" w:eastAsia="Calibri" w:hAnsi="Times New Roman" w:cs="Times New Roman"/>
                <w:color w:val="auto"/>
                <w:sz w:val="20"/>
                <w:lang w:eastAsia="hr-HR"/>
              </w:rPr>
              <w:t xml:space="preserve"> na potres</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ascii="Times New Roman" w:eastAsia="Calibri" w:hAnsi="Times New Roman" w:cs="Times New Roman"/>
                <w:color w:val="auto"/>
                <w:sz w:val="20"/>
                <w:lang w:eastAsia="hr-HR"/>
              </w:rPr>
            </w:pPr>
            <w:r>
              <w:rPr>
                <w:rFonts w:ascii="Times New Roman" w:eastAsia="Calibri" w:hAnsi="Times New Roman" w:cs="Times New Roman"/>
                <w:noProof/>
                <w:color w:val="auto"/>
                <w:sz w:val="20"/>
                <w:lang w:eastAsia="hr-HR"/>
              </w:rPr>
              <mc:AlternateContent>
                <mc:Choice Requires="wps">
                  <w:drawing>
                    <wp:anchor distT="0" distB="0" distL="0" distR="0" simplePos="0" relativeHeight="28" behindDoc="0" locked="0" layoutInCell="1" allowOverlap="1" wp14:anchorId="5C0B133F">
                      <wp:simplePos x="0" y="0"/>
                      <wp:positionH relativeFrom="column">
                        <wp:posOffset>-215900</wp:posOffset>
                      </wp:positionH>
                      <wp:positionV relativeFrom="paragraph">
                        <wp:posOffset>68580</wp:posOffset>
                      </wp:positionV>
                      <wp:extent cx="285115" cy="129540"/>
                      <wp:effectExtent l="0" t="0" r="20320" b="23495"/>
                      <wp:wrapNone/>
                      <wp:docPr id="54" name="Strelica lijevo-desno 476"/>
                      <wp:cNvGraphicFramePr/>
                      <a:graphic xmlns:a="http://schemas.openxmlformats.org/drawingml/2006/main">
                        <a:graphicData uri="http://schemas.microsoft.com/office/word/2010/wordprocessingShape">
                          <wps:wsp>
                            <wps:cNvSpPr/>
                            <wps:spPr>
                              <a:xfrm>
                                <a:off x="0" y="0"/>
                                <a:ext cx="284400" cy="128880"/>
                              </a:xfrm>
                              <a:prstGeom prst="leftRightArrow">
                                <a:avLst>
                                  <a:gd name="adj1" fmla="val 50000"/>
                                  <a:gd name="adj2" fmla="val 50000"/>
                                </a:avLst>
                              </a:prstGeom>
                              <a:solidFill>
                                <a:srgbClr val="54883D"/>
                              </a:solidFill>
                              <a:ln w="25560">
                                <a:solidFill>
                                  <a:srgbClr val="54883D"/>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shape_0" ID="Strelica lijevo-desno 476" fillcolor="#54883d" stroked="t" style="position:absolute;margin-left:-17pt;margin-top:5.4pt;width:22.35pt;height:10.1pt" wp14:anchorId="5C0B133F" type="shapetype_69">
                      <w10:wrap type="none"/>
                      <v:fill o:detectmouseclick="t" type="solid" color2="#ab77c2"/>
                      <v:stroke color="#54883d" weight="25560" joinstyle="round" endcap="flat"/>
                    </v:shape>
                  </w:pict>
                </mc:Fallback>
              </mc:AlternateContent>
            </w: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S nosivim zidovima, umjerene potresne otpornosti</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ascii="Times New Roman" w:eastAsia="Calibri" w:hAnsi="Times New Roman" w:cs="Times New Roman"/>
                <w:color w:val="auto"/>
                <w:sz w:val="20"/>
                <w:lang w:eastAsia="hr-HR"/>
              </w:rPr>
            </w:pPr>
            <w:r>
              <w:rPr>
                <w:rFonts w:ascii="Times New Roman" w:eastAsia="Calibri" w:hAnsi="Times New Roman" w:cs="Times New Roman"/>
                <w:noProof/>
                <w:color w:val="auto"/>
                <w:sz w:val="20"/>
                <w:lang w:eastAsia="hr-HR"/>
              </w:rPr>
              <mc:AlternateContent>
                <mc:Choice Requires="wps">
                  <w:drawing>
                    <wp:anchor distT="0" distB="0" distL="0" distR="0" simplePos="0" relativeHeight="29" behindDoc="0" locked="0" layoutInCell="1" allowOverlap="1" wp14:anchorId="633AF89B">
                      <wp:simplePos x="0" y="0"/>
                      <wp:positionH relativeFrom="column">
                        <wp:posOffset>-172720</wp:posOffset>
                      </wp:positionH>
                      <wp:positionV relativeFrom="paragraph">
                        <wp:posOffset>85725</wp:posOffset>
                      </wp:positionV>
                      <wp:extent cx="285115" cy="129540"/>
                      <wp:effectExtent l="0" t="0" r="20320" b="23495"/>
                      <wp:wrapNone/>
                      <wp:docPr id="55" name="Strelica lijevo-desno 477"/>
                      <wp:cNvGraphicFramePr/>
                      <a:graphic xmlns:a="http://schemas.openxmlformats.org/drawingml/2006/main">
                        <a:graphicData uri="http://schemas.microsoft.com/office/word/2010/wordprocessingShape">
                          <wps:wsp>
                            <wps:cNvSpPr/>
                            <wps:spPr>
                              <a:xfrm>
                                <a:off x="0" y="0"/>
                                <a:ext cx="284400" cy="128880"/>
                              </a:xfrm>
                              <a:prstGeom prst="leftRightArrow">
                                <a:avLst>
                                  <a:gd name="adj1" fmla="val 50000"/>
                                  <a:gd name="adj2" fmla="val 50000"/>
                                </a:avLst>
                              </a:prstGeom>
                              <a:solidFill>
                                <a:srgbClr val="54883D"/>
                              </a:solidFill>
                              <a:ln w="25560">
                                <a:solidFill>
                                  <a:srgbClr val="54883D"/>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shape_0" ID="Strelica lijevo-desno 477" fillcolor="#54883d" stroked="t" style="position:absolute;margin-left:-13.6pt;margin-top:6.75pt;width:22.35pt;height:10.1pt" wp14:anchorId="633AF89B" type="shapetype_69">
                      <w10:wrap type="none"/>
                      <v:fill o:detectmouseclick="t" type="solid" color2="#ab77c2"/>
                      <v:stroke color="#54883d" weight="25560" joinstyle="round" endcap="flat"/>
                    </v:shape>
                  </w:pict>
                </mc:Fallback>
              </mc:AlternateContent>
            </w: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S nosivim zidovima, velike potresne otpornosti</w:t>
            </w:r>
          </w:p>
        </w:tc>
        <w:tc>
          <w:tcPr>
            <w:tcW w:w="7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658"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55"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O</w:t>
            </w:r>
          </w:p>
        </w:tc>
        <w:tc>
          <w:tcPr>
            <w:tcW w:w="75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ascii="Times New Roman" w:eastAsia="Calibri" w:hAnsi="Times New Roman" w:cs="Times New Roman"/>
                <w:color w:val="auto"/>
                <w:sz w:val="20"/>
                <w:lang w:eastAsia="hr-HR"/>
              </w:rPr>
            </w:pPr>
            <w:r>
              <w:rPr>
                <w:rFonts w:ascii="Times New Roman" w:eastAsia="Calibri" w:hAnsi="Times New Roman" w:cs="Times New Roman"/>
                <w:noProof/>
                <w:color w:val="auto"/>
                <w:sz w:val="20"/>
                <w:lang w:eastAsia="hr-HR"/>
              </w:rPr>
              <mc:AlternateContent>
                <mc:Choice Requires="wps">
                  <w:drawing>
                    <wp:anchor distT="0" distB="0" distL="0" distR="0" simplePos="0" relativeHeight="30" behindDoc="0" locked="0" layoutInCell="1" allowOverlap="1" wp14:anchorId="50BAAF3D">
                      <wp:simplePos x="0" y="0"/>
                      <wp:positionH relativeFrom="column">
                        <wp:posOffset>-215900</wp:posOffset>
                      </wp:positionH>
                      <wp:positionV relativeFrom="paragraph">
                        <wp:posOffset>103505</wp:posOffset>
                      </wp:positionV>
                      <wp:extent cx="285115" cy="129540"/>
                      <wp:effectExtent l="0" t="0" r="20320" b="23495"/>
                      <wp:wrapNone/>
                      <wp:docPr id="56" name="Strelica lijevo-desno 478"/>
                      <wp:cNvGraphicFramePr/>
                      <a:graphic xmlns:a="http://schemas.openxmlformats.org/drawingml/2006/main">
                        <a:graphicData uri="http://schemas.microsoft.com/office/word/2010/wordprocessingShape">
                          <wps:wsp>
                            <wps:cNvSpPr/>
                            <wps:spPr>
                              <a:xfrm>
                                <a:off x="0" y="0"/>
                                <a:ext cx="284400" cy="128880"/>
                              </a:xfrm>
                              <a:prstGeom prst="leftRightArrow">
                                <a:avLst>
                                  <a:gd name="adj1" fmla="val 50000"/>
                                  <a:gd name="adj2" fmla="val 50000"/>
                                </a:avLst>
                              </a:prstGeom>
                              <a:solidFill>
                                <a:srgbClr val="54883D"/>
                              </a:solidFill>
                              <a:ln w="25560">
                                <a:solidFill>
                                  <a:srgbClr val="54883D"/>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shape_0" ID="Strelica lijevo-desno 478" fillcolor="#54883d" stroked="t" style="position:absolute;margin-left:-17pt;margin-top:8.15pt;width:22.35pt;height:10.1pt" wp14:anchorId="50BAAF3D" type="shapetype_69">
                      <w10:wrap type="none"/>
                      <v:fill o:detectmouseclick="t" type="solid" color2="#ab77c2"/>
                      <v:stroke color="#54883d" weight="25560" joinstyle="round" endcap="flat"/>
                    </v:shape>
                  </w:pict>
                </mc:Fallback>
              </mc:AlternateContent>
            </w:r>
          </w:p>
        </w:tc>
      </w:tr>
      <w:tr w:rsidR="00A07D92">
        <w:trPr>
          <w:jc w:val="center"/>
        </w:trPr>
        <w:tc>
          <w:tcPr>
            <w:tcW w:w="9060" w:type="dxa"/>
            <w:gridSpan w:val="1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Čelične zgrade</w:t>
            </w: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Čelične zgrade</w:t>
            </w:r>
          </w:p>
        </w:tc>
        <w:tc>
          <w:tcPr>
            <w:tcW w:w="731"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32"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30"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31"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31"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noProof/>
                <w:lang w:eastAsia="hr-HR"/>
              </w:rPr>
              <mc:AlternateContent>
                <mc:Choice Requires="wps">
                  <w:drawing>
                    <wp:anchor distT="0" distB="0" distL="0" distR="0" simplePos="0" relativeHeight="31" behindDoc="0" locked="0" layoutInCell="1" allowOverlap="1" wp14:anchorId="7C0EA3F9">
                      <wp:simplePos x="0" y="0"/>
                      <wp:positionH relativeFrom="column">
                        <wp:posOffset>241300</wp:posOffset>
                      </wp:positionH>
                      <wp:positionV relativeFrom="paragraph">
                        <wp:posOffset>68580</wp:posOffset>
                      </wp:positionV>
                      <wp:extent cx="285115" cy="129540"/>
                      <wp:effectExtent l="0" t="0" r="20320" b="23495"/>
                      <wp:wrapNone/>
                      <wp:docPr id="57" name="Strelica lijevo-desno 479"/>
                      <wp:cNvGraphicFramePr/>
                      <a:graphic xmlns:a="http://schemas.openxmlformats.org/drawingml/2006/main">
                        <a:graphicData uri="http://schemas.microsoft.com/office/word/2010/wordprocessingShape">
                          <wps:wsp>
                            <wps:cNvSpPr/>
                            <wps:spPr>
                              <a:xfrm>
                                <a:off x="0" y="0"/>
                                <a:ext cx="284400" cy="128880"/>
                              </a:xfrm>
                              <a:prstGeom prst="leftRightArrow">
                                <a:avLst>
                                  <a:gd name="adj1" fmla="val 50000"/>
                                  <a:gd name="adj2" fmla="val 50000"/>
                                </a:avLst>
                              </a:prstGeom>
                              <a:solidFill>
                                <a:srgbClr val="54883D"/>
                              </a:solidFill>
                              <a:ln w="25560">
                                <a:solidFill>
                                  <a:srgbClr val="54883D"/>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shape_0" ID="Strelica lijevo-desno 479" fillcolor="#54883d" stroked="t" style="position:absolute;margin-left:19pt;margin-top:5.4pt;width:22.35pt;height:10.1pt" wp14:anchorId="7C0EA3F9" type="shapetype_69">
                      <w10:wrap type="none"/>
                      <v:fill o:detectmouseclick="t" type="solid" color2="#ab77c2"/>
                      <v:stroke color="#54883d" weight="25560" joinstyle="round" endcap="flat"/>
                    </v:shape>
                  </w:pict>
                </mc:Fallback>
              </mc:AlternateContent>
            </w:r>
            <w:r>
              <w:rPr>
                <w:rFonts w:ascii="Times New Roman" w:eastAsia="Calibri" w:hAnsi="Times New Roman" w:cs="Times New Roman"/>
                <w:color w:val="auto"/>
                <w:sz w:val="20"/>
                <w:lang w:eastAsia="hr-HR"/>
              </w:rPr>
              <w:t>O</w:t>
            </w:r>
          </w:p>
        </w:tc>
        <w:tc>
          <w:tcPr>
            <w:tcW w:w="73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r w:rsidR="00A07D92">
        <w:trPr>
          <w:jc w:val="center"/>
        </w:trPr>
        <w:tc>
          <w:tcPr>
            <w:tcW w:w="9060" w:type="dxa"/>
            <w:gridSpan w:val="1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 xml:space="preserve">Drvene </w:t>
            </w:r>
            <w:r>
              <w:rPr>
                <w:rFonts w:ascii="Times New Roman" w:eastAsia="Calibri" w:hAnsi="Times New Roman" w:cs="Times New Roman"/>
                <w:color w:val="auto"/>
                <w:sz w:val="20"/>
                <w:lang w:eastAsia="hr-HR"/>
              </w:rPr>
              <w:t>zgrade</w:t>
            </w:r>
          </w:p>
        </w:tc>
      </w:tr>
      <w:tr w:rsidR="00A07D92">
        <w:trPr>
          <w:jc w:val="center"/>
        </w:trPr>
        <w:tc>
          <w:tcPr>
            <w:tcW w:w="467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rFonts w:ascii="Times New Roman" w:eastAsia="Calibri" w:hAnsi="Times New Roman" w:cs="Times New Roman"/>
                <w:color w:val="auto"/>
                <w:sz w:val="20"/>
                <w:lang w:eastAsia="hr-HR"/>
              </w:rPr>
              <w:t>Drvene zgrade</w:t>
            </w:r>
          </w:p>
        </w:tc>
        <w:tc>
          <w:tcPr>
            <w:tcW w:w="731"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32"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30"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31"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120" w:line="240" w:lineRule="auto"/>
              <w:jc w:val="center"/>
              <w:rPr>
                <w:rFonts w:eastAsia="Calibri" w:cs="Times New Roman"/>
                <w:color w:val="auto"/>
                <w:sz w:val="20"/>
              </w:rPr>
            </w:pPr>
            <w:r>
              <w:rPr>
                <w:noProof/>
                <w:lang w:eastAsia="hr-HR"/>
              </w:rPr>
              <mc:AlternateContent>
                <mc:Choice Requires="wps">
                  <w:drawing>
                    <wp:anchor distT="0" distB="0" distL="0" distR="0" simplePos="0" relativeHeight="32" behindDoc="0" locked="0" layoutInCell="1" allowOverlap="1" wp14:anchorId="43A43849">
                      <wp:simplePos x="0" y="0"/>
                      <wp:positionH relativeFrom="column">
                        <wp:posOffset>258445</wp:posOffset>
                      </wp:positionH>
                      <wp:positionV relativeFrom="paragraph">
                        <wp:posOffset>77470</wp:posOffset>
                      </wp:positionV>
                      <wp:extent cx="285115" cy="129540"/>
                      <wp:effectExtent l="0" t="0" r="20320" b="23495"/>
                      <wp:wrapNone/>
                      <wp:docPr id="58" name="Strelica lijevo-desno 225"/>
                      <wp:cNvGraphicFramePr/>
                      <a:graphic xmlns:a="http://schemas.openxmlformats.org/drawingml/2006/main">
                        <a:graphicData uri="http://schemas.microsoft.com/office/word/2010/wordprocessingShape">
                          <wps:wsp>
                            <wps:cNvSpPr/>
                            <wps:spPr>
                              <a:xfrm>
                                <a:off x="0" y="0"/>
                                <a:ext cx="284400" cy="128880"/>
                              </a:xfrm>
                              <a:prstGeom prst="leftRightArrow">
                                <a:avLst>
                                  <a:gd name="adj1" fmla="val 50000"/>
                                  <a:gd name="adj2" fmla="val 50000"/>
                                </a:avLst>
                              </a:prstGeom>
                              <a:solidFill>
                                <a:srgbClr val="54883D"/>
                              </a:solidFill>
                              <a:ln w="25560">
                                <a:solidFill>
                                  <a:srgbClr val="54883D"/>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shape_0" ID="Strelica lijevo-desno 225" fillcolor="#54883d" stroked="t" style="position:absolute;margin-left:20.35pt;margin-top:6.1pt;width:22.35pt;height:10.1pt" wp14:anchorId="43A43849" type="shapetype_69">
                      <w10:wrap type="none"/>
                      <v:fill o:detectmouseclick="t" type="solid" color2="#ab77c2"/>
                      <v:stroke color="#54883d" weight="25560" joinstyle="round" endcap="flat"/>
                    </v:shape>
                  </w:pict>
                </mc:Fallback>
              </mc:AlternateContent>
            </w:r>
            <w:r>
              <w:rPr>
                <w:rFonts w:ascii="Times New Roman" w:eastAsia="Calibri" w:hAnsi="Times New Roman" w:cs="Times New Roman"/>
                <w:color w:val="auto"/>
                <w:sz w:val="20"/>
                <w:lang w:eastAsia="hr-HR"/>
              </w:rPr>
              <w:t>O</w:t>
            </w:r>
          </w:p>
        </w:tc>
        <w:tc>
          <w:tcPr>
            <w:tcW w:w="731"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c>
          <w:tcPr>
            <w:tcW w:w="73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120" w:after="120" w:line="240" w:lineRule="auto"/>
              <w:jc w:val="center"/>
              <w:rPr>
                <w:rFonts w:ascii="Times New Roman" w:eastAsia="Calibri" w:hAnsi="Times New Roman" w:cs="Times New Roman"/>
                <w:color w:val="auto"/>
                <w:sz w:val="20"/>
                <w:lang w:eastAsia="hr-HR"/>
              </w:rPr>
            </w:pPr>
          </w:p>
        </w:tc>
      </w:tr>
    </w:tbl>
    <w:p w:rsidR="00A07D92" w:rsidRDefault="00495E63">
      <w:pPr>
        <w:spacing w:after="0" w:line="240" w:lineRule="auto"/>
        <w:jc w:val="center"/>
        <w:rPr>
          <w:rFonts w:eastAsia="Calibri" w:cs="Times New Roman"/>
          <w:color w:val="54883D"/>
          <w:sz w:val="20"/>
          <w:lang w:eastAsia="hr-HR"/>
        </w:rPr>
      </w:pPr>
      <w:r>
        <w:rPr>
          <w:rFonts w:eastAsia="Calibri" w:cs="Times New Roman"/>
          <w:color w:val="54883D"/>
          <w:sz w:val="20"/>
          <w:lang w:eastAsia="hr-HR"/>
        </w:rPr>
        <w:t xml:space="preserve">Izvor: </w:t>
      </w:r>
      <w:proofErr w:type="spellStart"/>
      <w:r>
        <w:rPr>
          <w:rFonts w:eastAsia="Calibri" w:cs="Times New Roman"/>
          <w:color w:val="54883D"/>
          <w:sz w:val="20"/>
          <w:lang w:eastAsia="hr-HR"/>
        </w:rPr>
        <w:t>European</w:t>
      </w:r>
      <w:proofErr w:type="spellEnd"/>
      <w:r>
        <w:rPr>
          <w:rFonts w:eastAsia="Calibri" w:cs="Times New Roman"/>
          <w:color w:val="54883D"/>
          <w:sz w:val="20"/>
          <w:lang w:eastAsia="hr-HR"/>
        </w:rPr>
        <w:t xml:space="preserve"> </w:t>
      </w:r>
      <w:proofErr w:type="spellStart"/>
      <w:r>
        <w:rPr>
          <w:rFonts w:eastAsia="Calibri" w:cs="Times New Roman"/>
          <w:color w:val="54883D"/>
          <w:sz w:val="20"/>
          <w:lang w:eastAsia="hr-HR"/>
        </w:rPr>
        <w:t>Macroseismic</w:t>
      </w:r>
      <w:proofErr w:type="spellEnd"/>
      <w:r>
        <w:rPr>
          <w:rFonts w:eastAsia="Calibri" w:cs="Times New Roman"/>
          <w:color w:val="54883D"/>
          <w:sz w:val="20"/>
          <w:lang w:eastAsia="hr-HR"/>
        </w:rPr>
        <w:t xml:space="preserve"> </w:t>
      </w:r>
      <w:proofErr w:type="spellStart"/>
      <w:r>
        <w:rPr>
          <w:rFonts w:eastAsia="Calibri" w:cs="Times New Roman"/>
          <w:color w:val="54883D"/>
          <w:sz w:val="20"/>
          <w:lang w:eastAsia="hr-HR"/>
        </w:rPr>
        <w:t>Scale</w:t>
      </w:r>
      <w:proofErr w:type="spellEnd"/>
      <w:r>
        <w:rPr>
          <w:rFonts w:eastAsia="Calibri" w:cs="Times New Roman"/>
          <w:color w:val="54883D"/>
          <w:sz w:val="20"/>
          <w:lang w:eastAsia="hr-HR"/>
        </w:rPr>
        <w:t xml:space="preserve"> 1998, GFZ </w:t>
      </w:r>
      <w:proofErr w:type="spellStart"/>
      <w:r>
        <w:rPr>
          <w:rFonts w:eastAsia="Calibri" w:cs="Times New Roman"/>
          <w:color w:val="54883D"/>
          <w:sz w:val="20"/>
          <w:lang w:eastAsia="hr-HR"/>
        </w:rPr>
        <w:t>Potsdam</w:t>
      </w:r>
      <w:proofErr w:type="spellEnd"/>
      <w:r>
        <w:rPr>
          <w:rFonts w:eastAsia="Calibri" w:cs="Times New Roman"/>
          <w:color w:val="54883D"/>
          <w:sz w:val="20"/>
          <w:lang w:eastAsia="hr-HR"/>
        </w:rPr>
        <w:t xml:space="preserve">, </w:t>
      </w:r>
      <w:proofErr w:type="spellStart"/>
      <w:r>
        <w:rPr>
          <w:rFonts w:eastAsia="Calibri" w:cs="Times New Roman"/>
          <w:color w:val="54883D"/>
          <w:sz w:val="20"/>
          <w:lang w:eastAsia="hr-HR"/>
        </w:rPr>
        <w:t>Germany</w:t>
      </w:r>
      <w:proofErr w:type="spellEnd"/>
      <w:r>
        <w:rPr>
          <w:rFonts w:eastAsia="Calibri" w:cs="Times New Roman"/>
          <w:color w:val="54883D"/>
          <w:sz w:val="20"/>
          <w:lang w:eastAsia="hr-HR"/>
        </w:rPr>
        <w:t xml:space="preserve"> 1998.</w:t>
      </w:r>
    </w:p>
    <w:p w:rsidR="00A07D92" w:rsidRDefault="00A07D92">
      <w:pPr>
        <w:spacing w:before="0" w:after="0"/>
        <w:rPr>
          <w:highlight w:val="yellow"/>
        </w:rPr>
      </w:pPr>
    </w:p>
    <w:p w:rsidR="00A07D92" w:rsidRDefault="00495E63">
      <w:r>
        <w:t>Prema navedenoj raspodjeli u gradu Malom Lošinju ima sljedeći postotak tipova zgrada prema razredu ranjivosti:</w:t>
      </w:r>
    </w:p>
    <w:p w:rsidR="00A07D92" w:rsidRDefault="00495E63">
      <w:pPr>
        <w:numPr>
          <w:ilvl w:val="0"/>
          <w:numId w:val="11"/>
        </w:numPr>
        <w:tabs>
          <w:tab w:val="left" w:pos="2445"/>
        </w:tabs>
        <w:spacing w:before="72" w:after="72"/>
        <w:contextualSpacing/>
        <w:rPr>
          <w:color w:val="auto"/>
          <w:szCs w:val="22"/>
          <w:lang w:eastAsia="hr-HR"/>
        </w:rPr>
      </w:pPr>
      <w:r>
        <w:rPr>
          <w:b/>
          <w:color w:val="auto"/>
          <w:szCs w:val="22"/>
          <w:lang w:eastAsia="hr-HR"/>
        </w:rPr>
        <w:t>23%</w:t>
      </w:r>
      <w:r>
        <w:rPr>
          <w:color w:val="auto"/>
          <w:szCs w:val="22"/>
          <w:lang w:eastAsia="hr-HR"/>
        </w:rPr>
        <w:t xml:space="preserve"> zgrada tipa A</w:t>
      </w:r>
    </w:p>
    <w:p w:rsidR="00A07D92" w:rsidRDefault="00495E63">
      <w:pPr>
        <w:numPr>
          <w:ilvl w:val="0"/>
          <w:numId w:val="11"/>
        </w:numPr>
        <w:tabs>
          <w:tab w:val="left" w:pos="2445"/>
        </w:tabs>
        <w:spacing w:before="72" w:after="72"/>
        <w:contextualSpacing/>
        <w:rPr>
          <w:color w:val="auto"/>
          <w:szCs w:val="22"/>
          <w:lang w:eastAsia="hr-HR"/>
        </w:rPr>
      </w:pPr>
      <w:r>
        <w:rPr>
          <w:b/>
          <w:color w:val="auto"/>
          <w:szCs w:val="22"/>
          <w:lang w:eastAsia="hr-HR"/>
        </w:rPr>
        <w:t>7%</w:t>
      </w:r>
      <w:r>
        <w:rPr>
          <w:color w:val="auto"/>
          <w:szCs w:val="22"/>
          <w:lang w:eastAsia="hr-HR"/>
        </w:rPr>
        <w:t xml:space="preserve"> zgrada tipa B</w:t>
      </w:r>
    </w:p>
    <w:p w:rsidR="00A07D92" w:rsidRDefault="00495E63">
      <w:pPr>
        <w:numPr>
          <w:ilvl w:val="0"/>
          <w:numId w:val="11"/>
        </w:numPr>
        <w:tabs>
          <w:tab w:val="left" w:pos="2445"/>
        </w:tabs>
        <w:spacing w:before="72" w:after="72"/>
        <w:contextualSpacing/>
        <w:rPr>
          <w:color w:val="auto"/>
          <w:szCs w:val="22"/>
          <w:lang w:eastAsia="hr-HR"/>
        </w:rPr>
      </w:pPr>
      <w:r>
        <w:rPr>
          <w:b/>
          <w:color w:val="auto"/>
          <w:szCs w:val="22"/>
          <w:lang w:eastAsia="hr-HR"/>
        </w:rPr>
        <w:t>13%</w:t>
      </w:r>
      <w:r>
        <w:rPr>
          <w:color w:val="auto"/>
          <w:szCs w:val="22"/>
          <w:lang w:eastAsia="hr-HR"/>
        </w:rPr>
        <w:t xml:space="preserve"> zgrada tipa C</w:t>
      </w:r>
    </w:p>
    <w:p w:rsidR="00A07D92" w:rsidRDefault="00495E63">
      <w:pPr>
        <w:numPr>
          <w:ilvl w:val="0"/>
          <w:numId w:val="11"/>
        </w:numPr>
        <w:tabs>
          <w:tab w:val="left" w:pos="2445"/>
        </w:tabs>
        <w:spacing w:before="72" w:after="72"/>
        <w:contextualSpacing/>
        <w:rPr>
          <w:color w:val="auto"/>
          <w:szCs w:val="22"/>
          <w:lang w:eastAsia="hr-HR"/>
        </w:rPr>
      </w:pPr>
      <w:r>
        <w:rPr>
          <w:b/>
          <w:color w:val="auto"/>
          <w:szCs w:val="22"/>
          <w:lang w:eastAsia="hr-HR"/>
        </w:rPr>
        <w:t>40%</w:t>
      </w:r>
      <w:r>
        <w:rPr>
          <w:color w:val="auto"/>
          <w:szCs w:val="22"/>
          <w:lang w:eastAsia="hr-HR"/>
        </w:rPr>
        <w:t xml:space="preserve"> zgrada tipa D</w:t>
      </w:r>
    </w:p>
    <w:p w:rsidR="00A07D92" w:rsidRDefault="00495E63">
      <w:pPr>
        <w:numPr>
          <w:ilvl w:val="0"/>
          <w:numId w:val="11"/>
        </w:numPr>
        <w:tabs>
          <w:tab w:val="left" w:pos="2445"/>
        </w:tabs>
        <w:spacing w:before="72" w:after="72"/>
        <w:contextualSpacing/>
        <w:rPr>
          <w:color w:val="auto"/>
          <w:szCs w:val="22"/>
          <w:lang w:eastAsia="hr-HR"/>
        </w:rPr>
      </w:pPr>
      <w:r>
        <w:rPr>
          <w:b/>
          <w:color w:val="auto"/>
          <w:szCs w:val="22"/>
          <w:lang w:eastAsia="hr-HR"/>
        </w:rPr>
        <w:t>17%</w:t>
      </w:r>
      <w:r>
        <w:rPr>
          <w:color w:val="auto"/>
          <w:szCs w:val="22"/>
          <w:lang w:eastAsia="hr-HR"/>
        </w:rPr>
        <w:t xml:space="preserve"> zgrada tipa E</w:t>
      </w:r>
    </w:p>
    <w:p w:rsidR="00A07D92" w:rsidRDefault="00495E63">
      <w:pPr>
        <w:numPr>
          <w:ilvl w:val="0"/>
          <w:numId w:val="11"/>
        </w:numPr>
        <w:tabs>
          <w:tab w:val="left" w:pos="2445"/>
        </w:tabs>
        <w:spacing w:before="72" w:after="72"/>
        <w:contextualSpacing/>
        <w:rPr>
          <w:color w:val="auto"/>
          <w:szCs w:val="22"/>
          <w:lang w:eastAsia="hr-HR"/>
        </w:rPr>
      </w:pPr>
      <w:r>
        <w:rPr>
          <w:b/>
          <w:color w:val="auto"/>
          <w:szCs w:val="22"/>
          <w:lang w:eastAsia="hr-HR"/>
        </w:rPr>
        <w:t>0%</w:t>
      </w:r>
      <w:r>
        <w:rPr>
          <w:color w:val="auto"/>
          <w:szCs w:val="22"/>
          <w:lang w:eastAsia="hr-HR"/>
        </w:rPr>
        <w:t xml:space="preserve"> zgrada tipa F</w:t>
      </w:r>
    </w:p>
    <w:p w:rsidR="00A07D92" w:rsidRDefault="00A07D92">
      <w:pPr>
        <w:tabs>
          <w:tab w:val="left" w:pos="2445"/>
        </w:tabs>
        <w:spacing w:before="72" w:after="72"/>
        <w:contextualSpacing/>
        <w:rPr>
          <w:color w:val="auto"/>
          <w:szCs w:val="22"/>
          <w:lang w:eastAsia="hr-HR"/>
        </w:rPr>
      </w:pPr>
    </w:p>
    <w:tbl>
      <w:tblPr>
        <w:tblStyle w:val="Reetkatablice"/>
        <w:tblW w:w="9769" w:type="dxa"/>
        <w:tblLook w:val="04A0" w:firstRow="1" w:lastRow="0" w:firstColumn="1" w:lastColumn="0" w:noHBand="0" w:noVBand="1"/>
      </w:tblPr>
      <w:tblGrid>
        <w:gridCol w:w="1271"/>
        <w:gridCol w:w="1695"/>
        <w:gridCol w:w="1134"/>
        <w:gridCol w:w="1133"/>
        <w:gridCol w:w="1133"/>
        <w:gridCol w:w="1133"/>
        <w:gridCol w:w="1133"/>
        <w:gridCol w:w="1137"/>
      </w:tblGrid>
      <w:tr w:rsidR="00A07D92">
        <w:trPr>
          <w:trHeight w:val="211"/>
        </w:trPr>
        <w:tc>
          <w:tcPr>
            <w:tcW w:w="1270"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Tip gradnje</w:t>
            </w:r>
          </w:p>
        </w:tc>
        <w:tc>
          <w:tcPr>
            <w:tcW w:w="169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 xml:space="preserve">Ukupno </w:t>
            </w:r>
            <w:r>
              <w:rPr>
                <w:rFonts w:ascii="Times New Roman" w:hAnsi="Times New Roman" w:cs="Times New Roman"/>
                <w:b/>
                <w:sz w:val="20"/>
                <w:szCs w:val="20"/>
                <w:lang w:eastAsia="hr-HR"/>
              </w:rPr>
              <w:lastRenderedPageBreak/>
              <w:t xml:space="preserve">stambenih jedinica u Gradu </w:t>
            </w:r>
          </w:p>
        </w:tc>
        <w:tc>
          <w:tcPr>
            <w:tcW w:w="6803" w:type="dxa"/>
            <w:gridSpan w:val="6"/>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lastRenderedPageBreak/>
              <w:t>OŠTEĆENJA</w:t>
            </w:r>
          </w:p>
        </w:tc>
      </w:tr>
      <w:tr w:rsidR="00A07D92">
        <w:trPr>
          <w:trHeight w:val="165"/>
        </w:trPr>
        <w:tc>
          <w:tcPr>
            <w:tcW w:w="127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b/>
                <w:sz w:val="20"/>
                <w:szCs w:val="20"/>
                <w:lang w:eastAsia="hr-HR"/>
              </w:rPr>
            </w:pPr>
          </w:p>
        </w:tc>
        <w:tc>
          <w:tcPr>
            <w:tcW w:w="1694"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b/>
                <w:sz w:val="20"/>
                <w:szCs w:val="20"/>
                <w:lang w:eastAsia="hr-HR"/>
              </w:rPr>
            </w:pPr>
          </w:p>
        </w:tc>
        <w:tc>
          <w:tcPr>
            <w:tcW w:w="113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sz w:val="20"/>
                <w:szCs w:val="20"/>
                <w:lang w:eastAsia="hr-HR"/>
              </w:rPr>
              <w:t>Nema oštećenja</w:t>
            </w:r>
          </w:p>
        </w:tc>
        <w:tc>
          <w:tcPr>
            <w:tcW w:w="1133" w:type="dxa"/>
            <w:tcBorders>
              <w:top w:val="single" w:sz="4" w:space="0" w:color="54883D"/>
              <w:left w:val="single" w:sz="4" w:space="0" w:color="54883D"/>
              <w:bottom w:val="single" w:sz="4" w:space="0" w:color="54883D"/>
              <w:right w:val="single" w:sz="4" w:space="0" w:color="54883D"/>
            </w:tcBorders>
            <w:shd w:val="clear" w:color="auto" w:fill="DAEEF3" w:themeFill="accent5" w:themeFillTint="33"/>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I.</w:t>
            </w:r>
          </w:p>
        </w:tc>
        <w:tc>
          <w:tcPr>
            <w:tcW w:w="1133"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II.</w:t>
            </w:r>
          </w:p>
        </w:tc>
        <w:tc>
          <w:tcPr>
            <w:tcW w:w="1133"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III.</w:t>
            </w:r>
          </w:p>
        </w:tc>
        <w:tc>
          <w:tcPr>
            <w:tcW w:w="1133"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b/>
                <w:color w:val="auto"/>
                <w:sz w:val="20"/>
                <w:szCs w:val="20"/>
              </w:rPr>
            </w:pPr>
            <w:r>
              <w:rPr>
                <w:rFonts w:ascii="Times New Roman" w:hAnsi="Times New Roman" w:cs="Times New Roman"/>
                <w:b/>
                <w:color w:val="auto"/>
                <w:sz w:val="20"/>
                <w:szCs w:val="20"/>
                <w:lang w:eastAsia="hr-HR"/>
              </w:rPr>
              <w:t>IV.</w:t>
            </w:r>
          </w:p>
        </w:tc>
        <w:tc>
          <w:tcPr>
            <w:tcW w:w="113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V.</w:t>
            </w:r>
          </w:p>
        </w:tc>
      </w:tr>
      <w:tr w:rsidR="00A07D92">
        <w:trPr>
          <w:trHeight w:val="319"/>
        </w:trPr>
        <w:tc>
          <w:tcPr>
            <w:tcW w:w="127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b/>
                <w:sz w:val="20"/>
                <w:szCs w:val="20"/>
                <w:lang w:eastAsia="hr-HR"/>
              </w:rPr>
            </w:pPr>
          </w:p>
        </w:tc>
        <w:tc>
          <w:tcPr>
            <w:tcW w:w="1694"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b/>
                <w:sz w:val="20"/>
                <w:szCs w:val="20"/>
                <w:lang w:eastAsia="hr-HR"/>
              </w:rPr>
            </w:pPr>
          </w:p>
        </w:tc>
        <w:tc>
          <w:tcPr>
            <w:tcW w:w="1134"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szCs w:val="20"/>
                <w:lang w:eastAsia="hr-HR"/>
              </w:rPr>
            </w:pPr>
          </w:p>
        </w:tc>
        <w:tc>
          <w:tcPr>
            <w:tcW w:w="1133" w:type="dxa"/>
            <w:tcBorders>
              <w:top w:val="single" w:sz="4" w:space="0" w:color="54883D"/>
              <w:left w:val="single" w:sz="4" w:space="0" w:color="54883D"/>
              <w:bottom w:val="single" w:sz="4" w:space="0" w:color="54883D"/>
              <w:right w:val="single" w:sz="4" w:space="0" w:color="54883D"/>
            </w:tcBorders>
            <w:shd w:val="clear" w:color="auto" w:fill="DAEEF3" w:themeFill="accent5" w:themeFillTint="33"/>
            <w:vAlign w:val="center"/>
          </w:tcPr>
          <w:p w:rsidR="00A07D92" w:rsidRDefault="00495E63">
            <w:pPr>
              <w:spacing w:before="0" w:after="0" w:line="240" w:lineRule="auto"/>
              <w:jc w:val="center"/>
              <w:rPr>
                <w:sz w:val="20"/>
                <w:szCs w:val="20"/>
              </w:rPr>
            </w:pPr>
            <w:r>
              <w:rPr>
                <w:rFonts w:ascii="Times New Roman" w:hAnsi="Times New Roman" w:cs="Times New Roman"/>
                <w:sz w:val="20"/>
                <w:szCs w:val="20"/>
                <w:lang w:eastAsia="hr-HR"/>
              </w:rPr>
              <w:t>Neznatno do blago oštećenje</w:t>
            </w:r>
          </w:p>
        </w:tc>
        <w:tc>
          <w:tcPr>
            <w:tcW w:w="1133"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line="240" w:lineRule="auto"/>
              <w:jc w:val="center"/>
              <w:rPr>
                <w:sz w:val="20"/>
                <w:szCs w:val="20"/>
              </w:rPr>
            </w:pPr>
            <w:r>
              <w:rPr>
                <w:rFonts w:ascii="Times New Roman" w:hAnsi="Times New Roman" w:cs="Times New Roman"/>
                <w:sz w:val="20"/>
                <w:szCs w:val="20"/>
                <w:lang w:eastAsia="hr-HR"/>
              </w:rPr>
              <w:t>Umjereno oštećenje</w:t>
            </w:r>
          </w:p>
        </w:tc>
        <w:tc>
          <w:tcPr>
            <w:tcW w:w="1133"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line="240" w:lineRule="auto"/>
              <w:jc w:val="center"/>
              <w:rPr>
                <w:sz w:val="20"/>
                <w:szCs w:val="20"/>
              </w:rPr>
            </w:pPr>
            <w:r>
              <w:rPr>
                <w:rFonts w:ascii="Times New Roman" w:hAnsi="Times New Roman" w:cs="Times New Roman"/>
                <w:sz w:val="20"/>
                <w:szCs w:val="20"/>
                <w:lang w:eastAsia="hr-HR"/>
              </w:rPr>
              <w:t>Značajno do teško oštećenje</w:t>
            </w:r>
          </w:p>
        </w:tc>
        <w:tc>
          <w:tcPr>
            <w:tcW w:w="1133"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color w:val="auto"/>
                <w:sz w:val="20"/>
                <w:szCs w:val="20"/>
              </w:rPr>
            </w:pPr>
            <w:r>
              <w:rPr>
                <w:rFonts w:ascii="Times New Roman" w:hAnsi="Times New Roman" w:cs="Times New Roman"/>
                <w:color w:val="auto"/>
                <w:sz w:val="20"/>
                <w:szCs w:val="20"/>
                <w:lang w:eastAsia="hr-HR"/>
              </w:rPr>
              <w:t xml:space="preserve">Vrlo teško </w:t>
            </w:r>
            <w:r>
              <w:rPr>
                <w:rFonts w:ascii="Times New Roman" w:hAnsi="Times New Roman" w:cs="Times New Roman"/>
                <w:color w:val="auto"/>
                <w:sz w:val="20"/>
                <w:szCs w:val="20"/>
                <w:lang w:eastAsia="hr-HR"/>
              </w:rPr>
              <w:t>oštećenje</w:t>
            </w:r>
          </w:p>
        </w:tc>
        <w:tc>
          <w:tcPr>
            <w:tcW w:w="113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sz w:val="20"/>
                <w:szCs w:val="20"/>
              </w:rPr>
            </w:pPr>
            <w:r>
              <w:rPr>
                <w:rFonts w:ascii="Times New Roman" w:hAnsi="Times New Roman" w:cs="Times New Roman"/>
                <w:sz w:val="20"/>
                <w:szCs w:val="20"/>
                <w:lang w:eastAsia="hr-HR"/>
              </w:rPr>
              <w:t>Rušenje</w:t>
            </w:r>
          </w:p>
        </w:tc>
      </w:tr>
      <w:tr w:rsidR="00A07D92">
        <w:trPr>
          <w:trHeight w:val="319"/>
        </w:trPr>
        <w:tc>
          <w:tcPr>
            <w:tcW w:w="12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A</w:t>
            </w:r>
          </w:p>
        </w:tc>
        <w:tc>
          <w:tcPr>
            <w:tcW w:w="1694" w:type="dxa"/>
            <w:shd w:val="clear" w:color="auto" w:fill="auto"/>
            <w:vAlign w:val="center"/>
          </w:tcPr>
          <w:p w:rsidR="00A07D92" w:rsidRDefault="00495E63">
            <w:pPr>
              <w:spacing w:before="0" w:after="0" w:line="240" w:lineRule="auto"/>
              <w:jc w:val="center"/>
              <w:rPr>
                <w:sz w:val="20"/>
                <w:szCs w:val="20"/>
              </w:rPr>
            </w:pPr>
            <w:r>
              <w:rPr>
                <w:rFonts w:ascii="Calibri" w:hAnsi="Calibri" w:cs="Calibri"/>
                <w:color w:val="000000"/>
                <w:szCs w:val="22"/>
                <w:lang w:eastAsia="hr-HR"/>
              </w:rPr>
              <w:t>1873</w:t>
            </w:r>
          </w:p>
        </w:tc>
        <w:tc>
          <w:tcPr>
            <w:tcW w:w="1134" w:type="dxa"/>
            <w:shd w:val="clear" w:color="auto" w:fill="auto"/>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left w:val="nil"/>
            </w:tcBorders>
            <w:shd w:val="clear" w:color="000000" w:fill="DCE6F1"/>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1499</w:t>
            </w:r>
          </w:p>
        </w:tc>
        <w:tc>
          <w:tcPr>
            <w:tcW w:w="1133" w:type="dxa"/>
            <w:tcBorders>
              <w:left w:val="nil"/>
            </w:tcBorders>
            <w:shd w:val="clear" w:color="000000" w:fill="92D05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374,67</w:t>
            </w:r>
          </w:p>
        </w:tc>
        <w:tc>
          <w:tcPr>
            <w:tcW w:w="1133" w:type="dxa"/>
            <w:tcBorders>
              <w:left w:val="nil"/>
            </w:tcBorders>
            <w:shd w:val="clear" w:color="000000" w:fill="FFFF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left w:val="nil"/>
            </w:tcBorders>
            <w:shd w:val="clear" w:color="000000" w:fill="F79646"/>
            <w:vAlign w:val="bottom"/>
          </w:tcPr>
          <w:p w:rsidR="00A07D92" w:rsidRDefault="00495E63">
            <w:pPr>
              <w:spacing w:before="0" w:after="0" w:line="240" w:lineRule="auto"/>
              <w:jc w:val="center"/>
              <w:rPr>
                <w:color w:val="auto"/>
                <w:sz w:val="20"/>
                <w:szCs w:val="20"/>
              </w:rPr>
            </w:pPr>
            <w:r>
              <w:rPr>
                <w:rFonts w:ascii="Calibri" w:hAnsi="Calibri" w:cs="Calibri"/>
                <w:color w:val="000000"/>
                <w:szCs w:val="22"/>
                <w:lang w:eastAsia="hr-HR"/>
              </w:rPr>
              <w:t>0</w:t>
            </w:r>
          </w:p>
        </w:tc>
        <w:tc>
          <w:tcPr>
            <w:tcW w:w="1137" w:type="dxa"/>
            <w:tcBorders>
              <w:left w:val="nil"/>
            </w:tcBorders>
            <w:shd w:val="clear" w:color="000000" w:fill="FF00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r>
      <w:tr w:rsidR="00A07D92">
        <w:trPr>
          <w:trHeight w:val="319"/>
        </w:trPr>
        <w:tc>
          <w:tcPr>
            <w:tcW w:w="12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B</w:t>
            </w:r>
          </w:p>
        </w:tc>
        <w:tc>
          <w:tcPr>
            <w:tcW w:w="1694" w:type="dxa"/>
            <w:tcBorders>
              <w:top w:val="nil"/>
            </w:tcBorders>
            <w:shd w:val="clear" w:color="auto" w:fill="auto"/>
            <w:vAlign w:val="center"/>
          </w:tcPr>
          <w:p w:rsidR="00A07D92" w:rsidRDefault="00495E63">
            <w:pPr>
              <w:spacing w:before="0" w:after="0" w:line="240" w:lineRule="auto"/>
              <w:jc w:val="center"/>
              <w:rPr>
                <w:sz w:val="20"/>
                <w:szCs w:val="20"/>
              </w:rPr>
            </w:pPr>
            <w:r>
              <w:rPr>
                <w:rFonts w:ascii="Calibri" w:hAnsi="Calibri" w:cs="Calibri"/>
                <w:color w:val="000000"/>
                <w:szCs w:val="22"/>
                <w:lang w:eastAsia="hr-HR"/>
              </w:rPr>
              <w:t>570</w:t>
            </w:r>
          </w:p>
        </w:tc>
        <w:tc>
          <w:tcPr>
            <w:tcW w:w="1134" w:type="dxa"/>
            <w:tcBorders>
              <w:top w:val="nil"/>
            </w:tcBorders>
            <w:shd w:val="clear" w:color="auto" w:fill="auto"/>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tcBorders>
            <w:shd w:val="clear" w:color="000000" w:fill="DCE6F1"/>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456</w:t>
            </w:r>
          </w:p>
        </w:tc>
        <w:tc>
          <w:tcPr>
            <w:tcW w:w="1133" w:type="dxa"/>
            <w:tcBorders>
              <w:top w:val="nil"/>
              <w:left w:val="nil"/>
            </w:tcBorders>
            <w:shd w:val="clear" w:color="000000" w:fill="92D05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114</w:t>
            </w:r>
          </w:p>
        </w:tc>
        <w:tc>
          <w:tcPr>
            <w:tcW w:w="1133" w:type="dxa"/>
            <w:tcBorders>
              <w:top w:val="nil"/>
              <w:left w:val="nil"/>
            </w:tcBorders>
            <w:shd w:val="clear" w:color="000000" w:fill="FFFF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tcBorders>
            <w:shd w:val="clear" w:color="000000" w:fill="F79646"/>
            <w:vAlign w:val="bottom"/>
          </w:tcPr>
          <w:p w:rsidR="00A07D92" w:rsidRDefault="00495E63">
            <w:pPr>
              <w:spacing w:before="0" w:after="0" w:line="240" w:lineRule="auto"/>
              <w:jc w:val="center"/>
              <w:rPr>
                <w:color w:val="auto"/>
                <w:sz w:val="20"/>
                <w:szCs w:val="20"/>
              </w:rPr>
            </w:pPr>
            <w:r>
              <w:rPr>
                <w:rFonts w:ascii="Calibri" w:hAnsi="Calibri" w:cs="Calibri"/>
                <w:color w:val="000000"/>
                <w:szCs w:val="22"/>
                <w:lang w:eastAsia="hr-HR"/>
              </w:rPr>
              <w:t>0</w:t>
            </w:r>
          </w:p>
        </w:tc>
        <w:tc>
          <w:tcPr>
            <w:tcW w:w="1137" w:type="dxa"/>
            <w:tcBorders>
              <w:top w:val="nil"/>
              <w:left w:val="nil"/>
            </w:tcBorders>
            <w:shd w:val="clear" w:color="000000" w:fill="FF00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r>
      <w:tr w:rsidR="00A07D92">
        <w:trPr>
          <w:trHeight w:val="319"/>
        </w:trPr>
        <w:tc>
          <w:tcPr>
            <w:tcW w:w="12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C</w:t>
            </w:r>
          </w:p>
        </w:tc>
        <w:tc>
          <w:tcPr>
            <w:tcW w:w="1694" w:type="dxa"/>
            <w:tcBorders>
              <w:top w:val="nil"/>
            </w:tcBorders>
            <w:shd w:val="clear" w:color="auto" w:fill="auto"/>
            <w:vAlign w:val="center"/>
          </w:tcPr>
          <w:p w:rsidR="00A07D92" w:rsidRDefault="00495E63">
            <w:pPr>
              <w:spacing w:before="0" w:after="0" w:line="240" w:lineRule="auto"/>
              <w:jc w:val="center"/>
              <w:rPr>
                <w:sz w:val="20"/>
                <w:szCs w:val="20"/>
              </w:rPr>
            </w:pPr>
            <w:r>
              <w:rPr>
                <w:rFonts w:ascii="Calibri" w:hAnsi="Calibri" w:cs="Calibri"/>
                <w:color w:val="000000"/>
                <w:szCs w:val="22"/>
                <w:lang w:eastAsia="hr-HR"/>
              </w:rPr>
              <w:t>1059</w:t>
            </w:r>
          </w:p>
        </w:tc>
        <w:tc>
          <w:tcPr>
            <w:tcW w:w="1134" w:type="dxa"/>
            <w:tcBorders>
              <w:top w:val="nil"/>
            </w:tcBorders>
            <w:shd w:val="clear" w:color="auto" w:fill="auto"/>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847</w:t>
            </w:r>
          </w:p>
        </w:tc>
        <w:tc>
          <w:tcPr>
            <w:tcW w:w="1133" w:type="dxa"/>
            <w:tcBorders>
              <w:top w:val="nil"/>
              <w:left w:val="nil"/>
            </w:tcBorders>
            <w:shd w:val="clear" w:color="000000" w:fill="DCE6F1"/>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212</w:t>
            </w:r>
          </w:p>
        </w:tc>
        <w:tc>
          <w:tcPr>
            <w:tcW w:w="1133" w:type="dxa"/>
            <w:tcBorders>
              <w:top w:val="nil"/>
              <w:left w:val="nil"/>
            </w:tcBorders>
            <w:shd w:val="clear" w:color="000000" w:fill="92D05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tcBorders>
            <w:shd w:val="clear" w:color="000000" w:fill="FFFF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tcBorders>
            <w:shd w:val="clear" w:color="000000" w:fill="F79646"/>
            <w:vAlign w:val="bottom"/>
          </w:tcPr>
          <w:p w:rsidR="00A07D92" w:rsidRDefault="00495E63">
            <w:pPr>
              <w:spacing w:before="0" w:after="0" w:line="240" w:lineRule="auto"/>
              <w:jc w:val="center"/>
              <w:rPr>
                <w:color w:val="auto"/>
                <w:sz w:val="20"/>
                <w:szCs w:val="20"/>
              </w:rPr>
            </w:pPr>
            <w:r>
              <w:rPr>
                <w:rFonts w:ascii="Calibri" w:hAnsi="Calibri" w:cs="Calibri"/>
                <w:color w:val="000000"/>
                <w:szCs w:val="22"/>
                <w:lang w:eastAsia="hr-HR"/>
              </w:rPr>
              <w:t>0</w:t>
            </w:r>
          </w:p>
        </w:tc>
        <w:tc>
          <w:tcPr>
            <w:tcW w:w="1137" w:type="dxa"/>
            <w:tcBorders>
              <w:top w:val="nil"/>
              <w:left w:val="nil"/>
            </w:tcBorders>
            <w:shd w:val="clear" w:color="000000" w:fill="FF00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r>
      <w:tr w:rsidR="00A07D92">
        <w:trPr>
          <w:trHeight w:val="319"/>
        </w:trPr>
        <w:tc>
          <w:tcPr>
            <w:tcW w:w="12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D</w:t>
            </w:r>
          </w:p>
        </w:tc>
        <w:tc>
          <w:tcPr>
            <w:tcW w:w="1694" w:type="dxa"/>
            <w:tcBorders>
              <w:top w:val="nil"/>
            </w:tcBorders>
            <w:shd w:val="clear" w:color="auto" w:fill="auto"/>
            <w:vAlign w:val="center"/>
          </w:tcPr>
          <w:p w:rsidR="00A07D92" w:rsidRDefault="00495E63">
            <w:pPr>
              <w:spacing w:before="0" w:after="0" w:line="240" w:lineRule="auto"/>
              <w:jc w:val="center"/>
              <w:rPr>
                <w:sz w:val="20"/>
                <w:szCs w:val="20"/>
              </w:rPr>
            </w:pPr>
            <w:r>
              <w:rPr>
                <w:rFonts w:ascii="Calibri" w:hAnsi="Calibri" w:cs="Calibri"/>
                <w:color w:val="000000"/>
                <w:szCs w:val="22"/>
                <w:lang w:eastAsia="hr-HR"/>
              </w:rPr>
              <w:t>3258</w:t>
            </w:r>
          </w:p>
        </w:tc>
        <w:tc>
          <w:tcPr>
            <w:tcW w:w="1134" w:type="dxa"/>
            <w:tcBorders>
              <w:top w:val="nil"/>
            </w:tcBorders>
            <w:shd w:val="clear" w:color="auto" w:fill="auto"/>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3258</w:t>
            </w:r>
          </w:p>
        </w:tc>
        <w:tc>
          <w:tcPr>
            <w:tcW w:w="1133" w:type="dxa"/>
            <w:tcBorders>
              <w:top w:val="nil"/>
              <w:left w:val="nil"/>
            </w:tcBorders>
            <w:shd w:val="clear" w:color="000000" w:fill="DCE6F1"/>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tcBorders>
            <w:shd w:val="clear" w:color="000000" w:fill="92D05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tcBorders>
            <w:shd w:val="clear" w:color="000000" w:fill="FFFF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tcBorders>
            <w:shd w:val="clear" w:color="000000" w:fill="F79646"/>
            <w:vAlign w:val="bottom"/>
          </w:tcPr>
          <w:p w:rsidR="00A07D92" w:rsidRDefault="00495E63">
            <w:pPr>
              <w:spacing w:before="0" w:after="0" w:line="240" w:lineRule="auto"/>
              <w:jc w:val="center"/>
              <w:rPr>
                <w:color w:val="auto"/>
                <w:sz w:val="20"/>
                <w:szCs w:val="20"/>
              </w:rPr>
            </w:pPr>
            <w:r>
              <w:rPr>
                <w:rFonts w:ascii="Calibri" w:hAnsi="Calibri" w:cs="Calibri"/>
                <w:color w:val="000000"/>
                <w:szCs w:val="22"/>
                <w:lang w:eastAsia="hr-HR"/>
              </w:rPr>
              <w:t>0</w:t>
            </w:r>
          </w:p>
        </w:tc>
        <w:tc>
          <w:tcPr>
            <w:tcW w:w="1137" w:type="dxa"/>
            <w:tcBorders>
              <w:top w:val="nil"/>
              <w:left w:val="nil"/>
            </w:tcBorders>
            <w:shd w:val="clear" w:color="000000" w:fill="FF00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r>
      <w:tr w:rsidR="00A07D92">
        <w:trPr>
          <w:trHeight w:val="319"/>
        </w:trPr>
        <w:tc>
          <w:tcPr>
            <w:tcW w:w="12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E</w:t>
            </w:r>
          </w:p>
        </w:tc>
        <w:tc>
          <w:tcPr>
            <w:tcW w:w="1694" w:type="dxa"/>
            <w:tcBorders>
              <w:top w:val="nil"/>
            </w:tcBorders>
            <w:shd w:val="clear" w:color="auto" w:fill="auto"/>
            <w:vAlign w:val="center"/>
          </w:tcPr>
          <w:p w:rsidR="00A07D92" w:rsidRDefault="00495E63">
            <w:pPr>
              <w:spacing w:before="0" w:after="0" w:line="240" w:lineRule="auto"/>
              <w:jc w:val="center"/>
              <w:rPr>
                <w:sz w:val="20"/>
                <w:szCs w:val="20"/>
              </w:rPr>
            </w:pPr>
            <w:r>
              <w:rPr>
                <w:rFonts w:ascii="Calibri" w:hAnsi="Calibri" w:cs="Calibri"/>
                <w:color w:val="000000"/>
                <w:szCs w:val="22"/>
                <w:lang w:eastAsia="hr-HR"/>
              </w:rPr>
              <w:t>1385</w:t>
            </w:r>
          </w:p>
        </w:tc>
        <w:tc>
          <w:tcPr>
            <w:tcW w:w="1134" w:type="dxa"/>
            <w:tcBorders>
              <w:top w:val="nil"/>
            </w:tcBorders>
            <w:shd w:val="clear" w:color="auto" w:fill="auto"/>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1385</w:t>
            </w:r>
          </w:p>
        </w:tc>
        <w:tc>
          <w:tcPr>
            <w:tcW w:w="1133" w:type="dxa"/>
            <w:tcBorders>
              <w:top w:val="nil"/>
              <w:left w:val="nil"/>
            </w:tcBorders>
            <w:shd w:val="clear" w:color="000000" w:fill="DCE6F1"/>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tcBorders>
            <w:shd w:val="clear" w:color="000000" w:fill="92D05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tcBorders>
            <w:shd w:val="clear" w:color="000000" w:fill="FFFF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tcBorders>
            <w:shd w:val="clear" w:color="000000" w:fill="F79646"/>
            <w:vAlign w:val="bottom"/>
          </w:tcPr>
          <w:p w:rsidR="00A07D92" w:rsidRDefault="00495E63">
            <w:pPr>
              <w:spacing w:before="0" w:after="0" w:line="240" w:lineRule="auto"/>
              <w:jc w:val="center"/>
              <w:rPr>
                <w:color w:val="auto"/>
                <w:sz w:val="20"/>
                <w:szCs w:val="20"/>
              </w:rPr>
            </w:pPr>
            <w:r>
              <w:rPr>
                <w:rFonts w:ascii="Calibri" w:hAnsi="Calibri" w:cs="Calibri"/>
                <w:color w:val="000000"/>
                <w:szCs w:val="22"/>
                <w:lang w:eastAsia="hr-HR"/>
              </w:rPr>
              <w:t>0</w:t>
            </w:r>
          </w:p>
        </w:tc>
        <w:tc>
          <w:tcPr>
            <w:tcW w:w="1137" w:type="dxa"/>
            <w:tcBorders>
              <w:top w:val="nil"/>
              <w:left w:val="nil"/>
            </w:tcBorders>
            <w:shd w:val="clear" w:color="000000" w:fill="FF00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r>
      <w:tr w:rsidR="00A07D92">
        <w:trPr>
          <w:trHeight w:val="319"/>
        </w:trPr>
        <w:tc>
          <w:tcPr>
            <w:tcW w:w="12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F</w:t>
            </w:r>
          </w:p>
        </w:tc>
        <w:tc>
          <w:tcPr>
            <w:tcW w:w="1694" w:type="dxa"/>
            <w:tcBorders>
              <w:top w:val="nil"/>
            </w:tcBorders>
            <w:shd w:val="clear" w:color="auto" w:fill="auto"/>
            <w:vAlign w:val="center"/>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4" w:type="dxa"/>
            <w:tcBorders>
              <w:top w:val="nil"/>
              <w:bottom w:val="nil"/>
            </w:tcBorders>
            <w:shd w:val="clear" w:color="auto" w:fill="auto"/>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bottom w:val="nil"/>
            </w:tcBorders>
            <w:shd w:val="clear" w:color="000000" w:fill="DCE6F1"/>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bottom w:val="nil"/>
            </w:tcBorders>
            <w:shd w:val="clear" w:color="000000" w:fill="92D05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bottom w:val="nil"/>
            </w:tcBorders>
            <w:shd w:val="clear" w:color="000000" w:fill="FFFF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c>
          <w:tcPr>
            <w:tcW w:w="1133" w:type="dxa"/>
            <w:tcBorders>
              <w:top w:val="nil"/>
              <w:left w:val="nil"/>
              <w:bottom w:val="nil"/>
            </w:tcBorders>
            <w:shd w:val="clear" w:color="000000" w:fill="F79646"/>
            <w:vAlign w:val="bottom"/>
          </w:tcPr>
          <w:p w:rsidR="00A07D92" w:rsidRDefault="00495E63">
            <w:pPr>
              <w:spacing w:before="0" w:after="0" w:line="240" w:lineRule="auto"/>
              <w:jc w:val="center"/>
              <w:rPr>
                <w:color w:val="auto"/>
                <w:sz w:val="20"/>
                <w:szCs w:val="20"/>
              </w:rPr>
            </w:pPr>
            <w:r>
              <w:rPr>
                <w:rFonts w:ascii="Calibri" w:hAnsi="Calibri" w:cs="Calibri"/>
                <w:color w:val="000000"/>
                <w:szCs w:val="22"/>
                <w:lang w:eastAsia="hr-HR"/>
              </w:rPr>
              <w:t>0</w:t>
            </w:r>
          </w:p>
        </w:tc>
        <w:tc>
          <w:tcPr>
            <w:tcW w:w="1137" w:type="dxa"/>
            <w:tcBorders>
              <w:top w:val="nil"/>
              <w:left w:val="nil"/>
              <w:bottom w:val="nil"/>
            </w:tcBorders>
            <w:shd w:val="clear" w:color="000000" w:fill="FF0000"/>
            <w:vAlign w:val="bottom"/>
          </w:tcPr>
          <w:p w:rsidR="00A07D92" w:rsidRDefault="00495E63">
            <w:pPr>
              <w:spacing w:before="0" w:after="0" w:line="240" w:lineRule="auto"/>
              <w:jc w:val="center"/>
              <w:rPr>
                <w:sz w:val="20"/>
                <w:szCs w:val="20"/>
              </w:rPr>
            </w:pPr>
            <w:r>
              <w:rPr>
                <w:rFonts w:ascii="Calibri" w:hAnsi="Calibri" w:cs="Calibri"/>
                <w:color w:val="000000"/>
                <w:szCs w:val="22"/>
                <w:lang w:eastAsia="hr-HR"/>
              </w:rPr>
              <w:t>0</w:t>
            </w:r>
          </w:p>
        </w:tc>
      </w:tr>
      <w:tr w:rsidR="00A07D92">
        <w:trPr>
          <w:trHeight w:val="319"/>
        </w:trPr>
        <w:tc>
          <w:tcPr>
            <w:tcW w:w="12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UKUPNO:</w:t>
            </w:r>
          </w:p>
        </w:tc>
        <w:tc>
          <w:tcPr>
            <w:tcW w:w="16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Cs w:val="22"/>
              </w:rPr>
            </w:pPr>
            <w:r>
              <w:rPr>
                <w:rFonts w:ascii="Times New Roman" w:hAnsi="Times New Roman" w:cs="Times New Roman"/>
                <w:b/>
                <w:szCs w:val="22"/>
                <w:lang w:eastAsia="hr-HR"/>
              </w:rPr>
              <w:t>8145</w:t>
            </w:r>
          </w:p>
        </w:tc>
        <w:tc>
          <w:tcPr>
            <w:tcW w:w="1134" w:type="dxa"/>
            <w:tcBorders>
              <w:top w:val="single" w:sz="8" w:space="0" w:color="000000"/>
              <w:left w:val="single" w:sz="8" w:space="0" w:color="000000"/>
              <w:bottom w:val="single" w:sz="8" w:space="0" w:color="000000"/>
            </w:tcBorders>
            <w:shd w:val="clear" w:color="auto" w:fill="auto"/>
            <w:vAlign w:val="bottom"/>
          </w:tcPr>
          <w:p w:rsidR="00A07D92" w:rsidRDefault="00495E63">
            <w:pPr>
              <w:spacing w:before="0" w:after="0" w:line="240" w:lineRule="auto"/>
              <w:jc w:val="center"/>
              <w:rPr>
                <w:b/>
                <w:color w:val="000000"/>
                <w:szCs w:val="22"/>
              </w:rPr>
            </w:pPr>
            <w:r>
              <w:rPr>
                <w:rFonts w:ascii="Calibri" w:hAnsi="Calibri" w:cs="Calibri"/>
                <w:b/>
                <w:bCs/>
                <w:color w:val="000000"/>
                <w:szCs w:val="22"/>
                <w:lang w:eastAsia="hr-HR"/>
              </w:rPr>
              <w:t>5490</w:t>
            </w:r>
          </w:p>
        </w:tc>
        <w:tc>
          <w:tcPr>
            <w:tcW w:w="1133" w:type="dxa"/>
            <w:tcBorders>
              <w:top w:val="single" w:sz="8" w:space="0" w:color="000000"/>
              <w:left w:val="nil"/>
              <w:bottom w:val="single" w:sz="8" w:space="0" w:color="000000"/>
            </w:tcBorders>
            <w:shd w:val="clear" w:color="000000" w:fill="DCE6F1"/>
            <w:vAlign w:val="bottom"/>
          </w:tcPr>
          <w:p w:rsidR="00A07D92" w:rsidRDefault="00495E63">
            <w:pPr>
              <w:spacing w:before="0" w:after="0" w:line="240" w:lineRule="auto"/>
              <w:jc w:val="center"/>
              <w:rPr>
                <w:b/>
                <w:color w:val="000000"/>
                <w:szCs w:val="22"/>
              </w:rPr>
            </w:pPr>
            <w:r>
              <w:rPr>
                <w:rFonts w:ascii="Calibri" w:hAnsi="Calibri" w:cs="Calibri"/>
                <w:b/>
                <w:bCs/>
                <w:color w:val="000000"/>
                <w:szCs w:val="22"/>
                <w:lang w:eastAsia="hr-HR"/>
              </w:rPr>
              <w:t>2167</w:t>
            </w:r>
          </w:p>
        </w:tc>
        <w:tc>
          <w:tcPr>
            <w:tcW w:w="1133" w:type="dxa"/>
            <w:tcBorders>
              <w:top w:val="single" w:sz="8" w:space="0" w:color="000000"/>
              <w:left w:val="nil"/>
              <w:bottom w:val="single" w:sz="8" w:space="0" w:color="000000"/>
            </w:tcBorders>
            <w:shd w:val="clear" w:color="000000" w:fill="92D050"/>
            <w:vAlign w:val="bottom"/>
          </w:tcPr>
          <w:p w:rsidR="00A07D92" w:rsidRDefault="00495E63">
            <w:pPr>
              <w:spacing w:before="0" w:after="0" w:line="240" w:lineRule="auto"/>
              <w:jc w:val="center"/>
              <w:rPr>
                <w:b/>
                <w:color w:val="000000"/>
                <w:szCs w:val="22"/>
              </w:rPr>
            </w:pPr>
            <w:r>
              <w:rPr>
                <w:rFonts w:ascii="Calibri" w:hAnsi="Calibri" w:cs="Calibri"/>
                <w:b/>
                <w:bCs/>
                <w:color w:val="000000"/>
                <w:szCs w:val="22"/>
                <w:lang w:eastAsia="hr-HR"/>
              </w:rPr>
              <w:t>489</w:t>
            </w:r>
          </w:p>
        </w:tc>
        <w:tc>
          <w:tcPr>
            <w:tcW w:w="1133" w:type="dxa"/>
            <w:tcBorders>
              <w:top w:val="single" w:sz="8" w:space="0" w:color="000000"/>
              <w:left w:val="nil"/>
              <w:bottom w:val="single" w:sz="8" w:space="0" w:color="000000"/>
            </w:tcBorders>
            <w:shd w:val="clear" w:color="000000" w:fill="FFFF00"/>
            <w:vAlign w:val="bottom"/>
          </w:tcPr>
          <w:p w:rsidR="00A07D92" w:rsidRDefault="00495E63">
            <w:pPr>
              <w:spacing w:before="0" w:after="0" w:line="240" w:lineRule="auto"/>
              <w:jc w:val="center"/>
              <w:rPr>
                <w:b/>
                <w:color w:val="000000"/>
                <w:szCs w:val="22"/>
              </w:rPr>
            </w:pPr>
            <w:r>
              <w:rPr>
                <w:rFonts w:ascii="Calibri" w:hAnsi="Calibri" w:cs="Calibri"/>
                <w:b/>
                <w:bCs/>
                <w:color w:val="000000"/>
                <w:szCs w:val="22"/>
                <w:lang w:eastAsia="hr-HR"/>
              </w:rPr>
              <w:t>0</w:t>
            </w:r>
          </w:p>
        </w:tc>
        <w:tc>
          <w:tcPr>
            <w:tcW w:w="1133" w:type="dxa"/>
            <w:tcBorders>
              <w:top w:val="single" w:sz="8" w:space="0" w:color="000000"/>
              <w:left w:val="nil"/>
              <w:bottom w:val="single" w:sz="8" w:space="0" w:color="000000"/>
            </w:tcBorders>
            <w:shd w:val="clear" w:color="000000" w:fill="F79646"/>
            <w:vAlign w:val="bottom"/>
          </w:tcPr>
          <w:p w:rsidR="00A07D92" w:rsidRDefault="00495E63">
            <w:pPr>
              <w:spacing w:before="0" w:after="0" w:line="240" w:lineRule="auto"/>
              <w:jc w:val="center"/>
              <w:rPr>
                <w:b/>
                <w:color w:val="auto"/>
                <w:szCs w:val="22"/>
              </w:rPr>
            </w:pPr>
            <w:r>
              <w:rPr>
                <w:rFonts w:ascii="Calibri" w:hAnsi="Calibri" w:cs="Calibri"/>
                <w:b/>
                <w:bCs/>
                <w:color w:val="000000"/>
                <w:szCs w:val="22"/>
                <w:lang w:eastAsia="hr-HR"/>
              </w:rPr>
              <w:t>0</w:t>
            </w:r>
          </w:p>
        </w:tc>
        <w:tc>
          <w:tcPr>
            <w:tcW w:w="1137" w:type="dxa"/>
            <w:tcBorders>
              <w:top w:val="single" w:sz="8" w:space="0" w:color="000000"/>
              <w:left w:val="nil"/>
              <w:bottom w:val="single" w:sz="8" w:space="0" w:color="000000"/>
              <w:right w:val="single" w:sz="8" w:space="0" w:color="000000"/>
            </w:tcBorders>
            <w:shd w:val="clear" w:color="000000" w:fill="FF0000"/>
            <w:vAlign w:val="bottom"/>
          </w:tcPr>
          <w:p w:rsidR="00A07D92" w:rsidRDefault="00495E63">
            <w:pPr>
              <w:spacing w:before="0" w:after="0" w:line="240" w:lineRule="auto"/>
              <w:jc w:val="center"/>
              <w:rPr>
                <w:b/>
                <w:color w:val="000000"/>
                <w:szCs w:val="22"/>
              </w:rPr>
            </w:pPr>
            <w:r>
              <w:rPr>
                <w:rFonts w:ascii="Calibri" w:hAnsi="Calibri" w:cs="Calibri"/>
                <w:b/>
                <w:bCs/>
                <w:color w:val="000000"/>
                <w:szCs w:val="22"/>
                <w:lang w:eastAsia="hr-HR"/>
              </w:rPr>
              <w:t>0</w:t>
            </w:r>
          </w:p>
        </w:tc>
      </w:tr>
    </w:tbl>
    <w:p w:rsidR="00A07D92" w:rsidRDefault="00A07D92">
      <w:pPr>
        <w:spacing w:line="360" w:lineRule="auto"/>
        <w:rPr>
          <w:szCs w:val="22"/>
        </w:rPr>
      </w:pPr>
    </w:p>
    <w:p w:rsidR="00A07D92" w:rsidRDefault="00495E63">
      <w:pPr>
        <w:spacing w:line="360" w:lineRule="auto"/>
        <w:rPr>
          <w:szCs w:val="22"/>
        </w:rPr>
      </w:pPr>
      <w:r>
        <w:rPr>
          <w:szCs w:val="22"/>
        </w:rPr>
        <w:t xml:space="preserve">Objekti tipa A: </w:t>
      </w:r>
    </w:p>
    <w:p w:rsidR="00A07D92" w:rsidRDefault="00495E63">
      <w:pPr>
        <w:numPr>
          <w:ilvl w:val="0"/>
          <w:numId w:val="12"/>
        </w:numPr>
        <w:tabs>
          <w:tab w:val="left" w:pos="2445"/>
        </w:tabs>
        <w:spacing w:before="72" w:after="72"/>
        <w:contextualSpacing/>
        <w:rPr>
          <w:color w:val="auto"/>
          <w:szCs w:val="22"/>
          <w:lang w:eastAsia="hr-HR"/>
        </w:rPr>
      </w:pPr>
      <w:r>
        <w:rPr>
          <w:color w:val="auto"/>
          <w:szCs w:val="22"/>
          <w:lang w:eastAsia="hr-HR"/>
        </w:rPr>
        <w:t xml:space="preserve">0 objekta pretrpjeti će značajna do teška </w:t>
      </w:r>
      <w:r>
        <w:rPr>
          <w:color w:val="auto"/>
          <w:szCs w:val="22"/>
          <w:lang w:eastAsia="hr-HR"/>
        </w:rPr>
        <w:t>oštećenja,</w:t>
      </w:r>
    </w:p>
    <w:p w:rsidR="00A07D92" w:rsidRDefault="00495E63">
      <w:pPr>
        <w:numPr>
          <w:ilvl w:val="0"/>
          <w:numId w:val="12"/>
        </w:numPr>
        <w:tabs>
          <w:tab w:val="left" w:pos="2445"/>
        </w:tabs>
        <w:spacing w:before="72" w:after="72"/>
        <w:contextualSpacing/>
        <w:rPr>
          <w:color w:val="auto"/>
          <w:szCs w:val="22"/>
          <w:lang w:eastAsia="hr-HR"/>
        </w:rPr>
      </w:pPr>
      <w:r>
        <w:rPr>
          <w:color w:val="auto"/>
          <w:szCs w:val="22"/>
          <w:lang w:eastAsia="hr-HR"/>
        </w:rPr>
        <w:t>0 objekta pretrpjeti će vrlo teška oštećenja,</w:t>
      </w:r>
    </w:p>
    <w:p w:rsidR="00A07D92" w:rsidRDefault="00495E63">
      <w:pPr>
        <w:numPr>
          <w:ilvl w:val="0"/>
          <w:numId w:val="12"/>
        </w:numPr>
        <w:tabs>
          <w:tab w:val="left" w:pos="2445"/>
        </w:tabs>
        <w:spacing w:before="72" w:after="72"/>
        <w:contextualSpacing/>
        <w:rPr>
          <w:color w:val="auto"/>
          <w:szCs w:val="22"/>
          <w:lang w:eastAsia="hr-HR"/>
        </w:rPr>
      </w:pPr>
      <w:r>
        <w:rPr>
          <w:color w:val="auto"/>
          <w:szCs w:val="22"/>
          <w:lang w:eastAsia="hr-HR"/>
        </w:rPr>
        <w:t>0 objekta biti će srušen.</w:t>
      </w:r>
    </w:p>
    <w:p w:rsidR="00A07D92" w:rsidRDefault="00A07D92">
      <w:pPr>
        <w:tabs>
          <w:tab w:val="left" w:pos="2445"/>
        </w:tabs>
        <w:spacing w:before="72" w:after="72"/>
        <w:ind w:left="720"/>
        <w:contextualSpacing/>
        <w:rPr>
          <w:color w:val="auto"/>
          <w:szCs w:val="22"/>
          <w:lang w:eastAsia="hr-HR"/>
        </w:rPr>
      </w:pPr>
    </w:p>
    <w:p w:rsidR="00A07D92" w:rsidRDefault="00495E63">
      <w:pPr>
        <w:rPr>
          <w:szCs w:val="22"/>
        </w:rPr>
      </w:pPr>
      <w:r>
        <w:rPr>
          <w:szCs w:val="22"/>
        </w:rPr>
        <w:t>Objekti tipa B:</w:t>
      </w:r>
    </w:p>
    <w:p w:rsidR="00A07D92" w:rsidRDefault="00495E63">
      <w:pPr>
        <w:numPr>
          <w:ilvl w:val="0"/>
          <w:numId w:val="13"/>
        </w:numPr>
        <w:tabs>
          <w:tab w:val="left" w:pos="2445"/>
        </w:tabs>
        <w:spacing w:before="72" w:after="72"/>
        <w:contextualSpacing/>
        <w:rPr>
          <w:color w:val="auto"/>
          <w:szCs w:val="22"/>
          <w:lang w:eastAsia="hr-HR"/>
        </w:rPr>
      </w:pPr>
      <w:r>
        <w:rPr>
          <w:color w:val="auto"/>
          <w:szCs w:val="22"/>
          <w:lang w:eastAsia="hr-HR"/>
        </w:rPr>
        <w:t>114 objekta pretrpjeti će umjerena oštećenja,</w:t>
      </w:r>
    </w:p>
    <w:p w:rsidR="00A07D92" w:rsidRDefault="00495E63">
      <w:pPr>
        <w:numPr>
          <w:ilvl w:val="0"/>
          <w:numId w:val="13"/>
        </w:numPr>
        <w:tabs>
          <w:tab w:val="left" w:pos="2445"/>
        </w:tabs>
        <w:spacing w:before="72" w:after="72"/>
        <w:contextualSpacing/>
        <w:rPr>
          <w:color w:val="auto"/>
          <w:szCs w:val="22"/>
          <w:lang w:eastAsia="hr-HR"/>
        </w:rPr>
      </w:pPr>
      <w:r>
        <w:rPr>
          <w:color w:val="auto"/>
          <w:szCs w:val="22"/>
          <w:lang w:eastAsia="hr-HR"/>
        </w:rPr>
        <w:t>0 objekta pretrpjeti će značajna do teška oštećenja,</w:t>
      </w:r>
    </w:p>
    <w:p w:rsidR="00A07D92" w:rsidRDefault="00495E63">
      <w:pPr>
        <w:numPr>
          <w:ilvl w:val="0"/>
          <w:numId w:val="13"/>
        </w:numPr>
        <w:tabs>
          <w:tab w:val="left" w:pos="2445"/>
        </w:tabs>
        <w:spacing w:before="72" w:after="72"/>
        <w:contextualSpacing/>
        <w:rPr>
          <w:color w:val="auto"/>
          <w:szCs w:val="22"/>
          <w:lang w:eastAsia="hr-HR"/>
        </w:rPr>
      </w:pPr>
      <w:r>
        <w:rPr>
          <w:color w:val="auto"/>
          <w:szCs w:val="22"/>
          <w:lang w:eastAsia="hr-HR"/>
        </w:rPr>
        <w:t>0 objekta pretrpjeti će vrlo teška oštećenja.</w:t>
      </w:r>
    </w:p>
    <w:p w:rsidR="00A07D92" w:rsidRDefault="00A07D92">
      <w:pPr>
        <w:tabs>
          <w:tab w:val="left" w:pos="2445"/>
        </w:tabs>
        <w:spacing w:before="72" w:after="72"/>
        <w:ind w:left="720"/>
        <w:contextualSpacing/>
        <w:rPr>
          <w:color w:val="auto"/>
          <w:szCs w:val="22"/>
          <w:lang w:eastAsia="hr-HR"/>
        </w:rPr>
      </w:pPr>
    </w:p>
    <w:p w:rsidR="00A07D92" w:rsidRDefault="00495E63">
      <w:r>
        <w:t xml:space="preserve">Objekti </w:t>
      </w:r>
      <w:r>
        <w:t>tip C:</w:t>
      </w:r>
    </w:p>
    <w:p w:rsidR="00A07D92" w:rsidRDefault="00495E63">
      <w:pPr>
        <w:numPr>
          <w:ilvl w:val="0"/>
          <w:numId w:val="14"/>
        </w:numPr>
        <w:tabs>
          <w:tab w:val="left" w:pos="2445"/>
        </w:tabs>
        <w:spacing w:before="72" w:after="72"/>
        <w:contextualSpacing/>
        <w:rPr>
          <w:color w:val="auto"/>
          <w:szCs w:val="22"/>
          <w:lang w:eastAsia="hr-HR"/>
        </w:rPr>
      </w:pPr>
      <w:r>
        <w:rPr>
          <w:color w:val="auto"/>
          <w:szCs w:val="22"/>
          <w:lang w:eastAsia="hr-HR"/>
        </w:rPr>
        <w:t>212 objekta pretrpjeti će neznatna do blaga oštećenja,</w:t>
      </w:r>
    </w:p>
    <w:p w:rsidR="00A07D92" w:rsidRDefault="00495E63">
      <w:pPr>
        <w:numPr>
          <w:ilvl w:val="0"/>
          <w:numId w:val="14"/>
        </w:numPr>
        <w:tabs>
          <w:tab w:val="left" w:pos="2445"/>
        </w:tabs>
        <w:spacing w:before="72" w:after="72"/>
        <w:contextualSpacing/>
        <w:rPr>
          <w:b/>
          <w:color w:val="auto"/>
          <w:szCs w:val="22"/>
          <w:lang w:eastAsia="hr-HR"/>
        </w:rPr>
      </w:pPr>
      <w:r>
        <w:rPr>
          <w:color w:val="auto"/>
          <w:szCs w:val="22"/>
          <w:lang w:eastAsia="hr-HR"/>
        </w:rPr>
        <w:t>0 objekta pretrpjeti će umjerena oštećenja,</w:t>
      </w:r>
    </w:p>
    <w:p w:rsidR="00A07D92" w:rsidRDefault="00495E63">
      <w:pPr>
        <w:numPr>
          <w:ilvl w:val="0"/>
          <w:numId w:val="14"/>
        </w:numPr>
        <w:tabs>
          <w:tab w:val="left" w:pos="2445"/>
        </w:tabs>
        <w:spacing w:before="72" w:after="72"/>
        <w:contextualSpacing/>
        <w:rPr>
          <w:b/>
          <w:color w:val="auto"/>
          <w:szCs w:val="22"/>
          <w:lang w:eastAsia="hr-HR"/>
        </w:rPr>
      </w:pPr>
      <w:r>
        <w:rPr>
          <w:color w:val="auto"/>
          <w:szCs w:val="22"/>
          <w:lang w:eastAsia="hr-HR"/>
        </w:rPr>
        <w:t>0 objekta pretrpjeti će značajna do teška oštećenja.</w:t>
      </w:r>
    </w:p>
    <w:p w:rsidR="00A07D92" w:rsidRDefault="00A07D92">
      <w:pPr>
        <w:tabs>
          <w:tab w:val="left" w:pos="2445"/>
        </w:tabs>
        <w:spacing w:before="72" w:after="72"/>
        <w:contextualSpacing/>
        <w:rPr>
          <w:color w:val="auto"/>
          <w:szCs w:val="22"/>
          <w:lang w:eastAsia="hr-HR"/>
        </w:rPr>
      </w:pPr>
    </w:p>
    <w:p w:rsidR="00A07D92" w:rsidRDefault="00495E63">
      <w:r>
        <w:t>Objekti tipa D:</w:t>
      </w:r>
    </w:p>
    <w:p w:rsidR="00A07D92" w:rsidRDefault="00495E63">
      <w:pPr>
        <w:numPr>
          <w:ilvl w:val="0"/>
          <w:numId w:val="15"/>
        </w:numPr>
        <w:tabs>
          <w:tab w:val="left" w:pos="2445"/>
        </w:tabs>
        <w:spacing w:before="72" w:after="72"/>
        <w:contextualSpacing/>
        <w:rPr>
          <w:color w:val="auto"/>
          <w:szCs w:val="22"/>
          <w:lang w:eastAsia="hr-HR"/>
        </w:rPr>
      </w:pPr>
      <w:r>
        <w:rPr>
          <w:color w:val="auto"/>
          <w:szCs w:val="22"/>
          <w:lang w:eastAsia="hr-HR"/>
        </w:rPr>
        <w:t>0 objekta pretrpjeti će neznatna do blaga oštećenja,</w:t>
      </w:r>
    </w:p>
    <w:p w:rsidR="00A07D92" w:rsidRDefault="00495E63">
      <w:pPr>
        <w:numPr>
          <w:ilvl w:val="0"/>
          <w:numId w:val="15"/>
        </w:numPr>
        <w:tabs>
          <w:tab w:val="left" w:pos="2445"/>
        </w:tabs>
        <w:spacing w:before="72" w:after="72"/>
        <w:contextualSpacing/>
        <w:rPr>
          <w:color w:val="auto"/>
          <w:szCs w:val="22"/>
          <w:lang w:eastAsia="hr-HR"/>
        </w:rPr>
      </w:pPr>
      <w:r>
        <w:rPr>
          <w:color w:val="auto"/>
          <w:szCs w:val="22"/>
          <w:lang w:eastAsia="hr-HR"/>
        </w:rPr>
        <w:t>0 objekta pretrpjeti će umj</w:t>
      </w:r>
      <w:r>
        <w:rPr>
          <w:color w:val="auto"/>
          <w:szCs w:val="22"/>
          <w:lang w:eastAsia="hr-HR"/>
        </w:rPr>
        <w:t>erena oštećenja.</w:t>
      </w:r>
    </w:p>
    <w:p w:rsidR="00A07D92" w:rsidRDefault="00A07D92">
      <w:pPr>
        <w:tabs>
          <w:tab w:val="left" w:pos="2445"/>
        </w:tabs>
        <w:spacing w:before="72" w:after="72"/>
        <w:ind w:left="720"/>
        <w:contextualSpacing/>
        <w:rPr>
          <w:color w:val="auto"/>
          <w:szCs w:val="22"/>
          <w:lang w:eastAsia="hr-HR"/>
        </w:rPr>
      </w:pPr>
    </w:p>
    <w:p w:rsidR="00A07D92" w:rsidRDefault="00495E63">
      <w:pPr>
        <w:rPr>
          <w:color w:val="auto"/>
        </w:rPr>
      </w:pPr>
      <w:r>
        <w:rPr>
          <w:color w:val="auto"/>
        </w:rPr>
        <w:t>Objekti tipa E:</w:t>
      </w:r>
    </w:p>
    <w:p w:rsidR="00A07D92" w:rsidRDefault="00495E63">
      <w:pPr>
        <w:numPr>
          <w:ilvl w:val="0"/>
          <w:numId w:val="15"/>
        </w:numPr>
        <w:tabs>
          <w:tab w:val="left" w:pos="2445"/>
        </w:tabs>
        <w:spacing w:before="72" w:after="72"/>
        <w:contextualSpacing/>
        <w:rPr>
          <w:color w:val="auto"/>
          <w:szCs w:val="22"/>
          <w:lang w:eastAsia="hr-HR"/>
        </w:rPr>
      </w:pPr>
      <w:r>
        <w:rPr>
          <w:color w:val="auto"/>
          <w:szCs w:val="22"/>
          <w:lang w:eastAsia="hr-HR"/>
        </w:rPr>
        <w:t>1385 objekta neće pretrpjeti nikakva oštećenja.</w:t>
      </w:r>
    </w:p>
    <w:p w:rsidR="00A07D92" w:rsidRDefault="00A07D92">
      <w:pPr>
        <w:spacing w:after="0"/>
        <w:rPr>
          <w:i/>
          <w:iCs/>
          <w:color w:val="auto"/>
          <w:u w:val="single"/>
        </w:rPr>
      </w:pPr>
    </w:p>
    <w:p w:rsidR="00A07D92" w:rsidRDefault="00495E63">
      <w:pPr>
        <w:rPr>
          <w:i/>
          <w:iCs/>
          <w:color w:val="auto"/>
          <w:u w:val="single"/>
        </w:rPr>
      </w:pPr>
      <w:r>
        <w:rPr>
          <w:i/>
          <w:iCs/>
          <w:color w:val="auto"/>
          <w:u w:val="single"/>
        </w:rPr>
        <w:t>Procjena broja stradalih stanovnika</w:t>
      </w:r>
    </w:p>
    <w:tbl>
      <w:tblPr>
        <w:tblStyle w:val="Reetkatablice"/>
        <w:tblW w:w="8946" w:type="dxa"/>
        <w:jc w:val="center"/>
        <w:tblLook w:val="04A0" w:firstRow="1" w:lastRow="0" w:firstColumn="1" w:lastColumn="0" w:noHBand="0" w:noVBand="1"/>
      </w:tblPr>
      <w:tblGrid>
        <w:gridCol w:w="1494"/>
        <w:gridCol w:w="1120"/>
        <w:gridCol w:w="1129"/>
        <w:gridCol w:w="1189"/>
        <w:gridCol w:w="1127"/>
        <w:gridCol w:w="1062"/>
        <w:gridCol w:w="1825"/>
      </w:tblGrid>
      <w:tr w:rsidR="00A07D92">
        <w:trPr>
          <w:trHeight w:val="197"/>
          <w:jc w:val="center"/>
        </w:trPr>
        <w:tc>
          <w:tcPr>
            <w:tcW w:w="149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szCs w:val="20"/>
              </w:rPr>
            </w:pPr>
            <w:r>
              <w:rPr>
                <w:rFonts w:ascii="Times New Roman" w:hAnsi="Times New Roman" w:cs="Times New Roman"/>
                <w:b/>
                <w:sz w:val="20"/>
                <w:szCs w:val="20"/>
                <w:lang w:eastAsia="hr-HR"/>
              </w:rPr>
              <w:t>POSLJEDICE</w:t>
            </w:r>
          </w:p>
        </w:tc>
        <w:tc>
          <w:tcPr>
            <w:tcW w:w="5627" w:type="dxa"/>
            <w:gridSpan w:val="5"/>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ind w:right="-493"/>
              <w:jc w:val="center"/>
              <w:rPr>
                <w:b/>
                <w:iCs/>
                <w:color w:val="54883D"/>
                <w:sz w:val="20"/>
                <w:szCs w:val="20"/>
              </w:rPr>
            </w:pPr>
            <w:r>
              <w:rPr>
                <w:rFonts w:ascii="Times New Roman" w:hAnsi="Times New Roman" w:cs="Times New Roman"/>
                <w:b/>
                <w:iCs/>
                <w:color w:val="auto"/>
                <w:sz w:val="20"/>
                <w:szCs w:val="20"/>
                <w:lang w:eastAsia="hr-HR"/>
              </w:rPr>
              <w:t>OŠTEĆENJA</w:t>
            </w:r>
          </w:p>
        </w:tc>
        <w:tc>
          <w:tcPr>
            <w:tcW w:w="18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iCs/>
                <w:color w:val="auto"/>
                <w:sz w:val="20"/>
                <w:szCs w:val="20"/>
              </w:rPr>
            </w:pPr>
            <w:r>
              <w:rPr>
                <w:rFonts w:ascii="Times New Roman" w:hAnsi="Times New Roman" w:cs="Times New Roman"/>
                <w:b/>
                <w:iCs/>
                <w:color w:val="auto"/>
                <w:sz w:val="20"/>
                <w:szCs w:val="20"/>
                <w:lang w:eastAsia="hr-HR"/>
              </w:rPr>
              <w:t>BROJ ŽRTAVA</w:t>
            </w:r>
          </w:p>
        </w:tc>
      </w:tr>
      <w:tr w:rsidR="00A07D92">
        <w:trPr>
          <w:trHeight w:val="196"/>
          <w:jc w:val="center"/>
        </w:trPr>
        <w:tc>
          <w:tcPr>
            <w:tcW w:w="1494"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szCs w:val="20"/>
                <w:lang w:eastAsia="hr-HR"/>
              </w:rPr>
            </w:pPr>
          </w:p>
        </w:tc>
        <w:tc>
          <w:tcPr>
            <w:tcW w:w="1120" w:type="dxa"/>
            <w:tcBorders>
              <w:top w:val="single" w:sz="4" w:space="0" w:color="54883D"/>
              <w:left w:val="single" w:sz="4" w:space="0" w:color="54883D"/>
              <w:bottom w:val="single" w:sz="4" w:space="0" w:color="54883D"/>
              <w:right w:val="single" w:sz="4" w:space="0" w:color="54883D"/>
            </w:tcBorders>
            <w:shd w:val="clear" w:color="auto" w:fill="DAEEF3" w:themeFill="accent5" w:themeFillTint="33"/>
            <w:vAlign w:val="center"/>
          </w:tcPr>
          <w:p w:rsidR="00A07D92" w:rsidRDefault="00495E63">
            <w:pPr>
              <w:spacing w:before="0" w:after="0" w:line="240" w:lineRule="auto"/>
              <w:jc w:val="center"/>
              <w:rPr>
                <w:b/>
                <w:iCs/>
                <w:color w:val="auto"/>
                <w:sz w:val="20"/>
                <w:szCs w:val="20"/>
              </w:rPr>
            </w:pPr>
            <w:r>
              <w:rPr>
                <w:rFonts w:ascii="Times New Roman" w:hAnsi="Times New Roman" w:cs="Times New Roman"/>
                <w:b/>
                <w:iCs/>
                <w:color w:val="auto"/>
                <w:sz w:val="20"/>
                <w:szCs w:val="20"/>
                <w:lang w:eastAsia="hr-HR"/>
              </w:rPr>
              <w:t>I.</w:t>
            </w:r>
          </w:p>
        </w:tc>
        <w:tc>
          <w:tcPr>
            <w:tcW w:w="1129"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line="240" w:lineRule="auto"/>
              <w:jc w:val="center"/>
              <w:rPr>
                <w:b/>
                <w:iCs/>
                <w:color w:val="auto"/>
                <w:sz w:val="20"/>
                <w:szCs w:val="20"/>
              </w:rPr>
            </w:pPr>
            <w:r>
              <w:rPr>
                <w:rFonts w:ascii="Times New Roman" w:hAnsi="Times New Roman" w:cs="Times New Roman"/>
                <w:b/>
                <w:iCs/>
                <w:color w:val="auto"/>
                <w:sz w:val="20"/>
                <w:szCs w:val="20"/>
                <w:lang w:eastAsia="hr-HR"/>
              </w:rPr>
              <w:t>II.</w:t>
            </w:r>
          </w:p>
        </w:tc>
        <w:tc>
          <w:tcPr>
            <w:tcW w:w="1189"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line="240" w:lineRule="auto"/>
              <w:jc w:val="center"/>
              <w:rPr>
                <w:b/>
                <w:iCs/>
                <w:color w:val="auto"/>
                <w:sz w:val="20"/>
                <w:szCs w:val="20"/>
              </w:rPr>
            </w:pPr>
            <w:r>
              <w:rPr>
                <w:rFonts w:ascii="Times New Roman" w:hAnsi="Times New Roman" w:cs="Times New Roman"/>
                <w:b/>
                <w:iCs/>
                <w:color w:val="auto"/>
                <w:sz w:val="20"/>
                <w:szCs w:val="20"/>
                <w:lang w:eastAsia="hr-HR"/>
              </w:rPr>
              <w:t>III.</w:t>
            </w:r>
          </w:p>
        </w:tc>
        <w:tc>
          <w:tcPr>
            <w:tcW w:w="1127"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b/>
                <w:iCs/>
                <w:color w:val="auto"/>
                <w:sz w:val="20"/>
                <w:szCs w:val="20"/>
              </w:rPr>
            </w:pPr>
            <w:r>
              <w:rPr>
                <w:rFonts w:ascii="Times New Roman" w:hAnsi="Times New Roman" w:cs="Times New Roman"/>
                <w:b/>
                <w:iCs/>
                <w:color w:val="auto"/>
                <w:sz w:val="20"/>
                <w:szCs w:val="20"/>
                <w:lang w:eastAsia="hr-HR"/>
              </w:rPr>
              <w:t>IV.</w:t>
            </w:r>
          </w:p>
        </w:tc>
        <w:tc>
          <w:tcPr>
            <w:tcW w:w="1061"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b/>
                <w:iCs/>
                <w:color w:val="auto"/>
                <w:sz w:val="20"/>
                <w:szCs w:val="20"/>
              </w:rPr>
            </w:pPr>
            <w:r>
              <w:rPr>
                <w:rFonts w:ascii="Times New Roman" w:hAnsi="Times New Roman" w:cs="Times New Roman"/>
                <w:b/>
                <w:iCs/>
                <w:color w:val="auto"/>
                <w:sz w:val="20"/>
                <w:szCs w:val="20"/>
                <w:lang w:eastAsia="hr-HR"/>
              </w:rPr>
              <w:t>V.</w:t>
            </w:r>
          </w:p>
        </w:tc>
        <w:tc>
          <w:tcPr>
            <w:tcW w:w="1825"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A07D92">
            <w:pPr>
              <w:spacing w:before="0" w:after="0" w:line="240" w:lineRule="auto"/>
              <w:jc w:val="center"/>
              <w:rPr>
                <w:rFonts w:ascii="Times New Roman" w:hAnsi="Times New Roman" w:cs="Times New Roman"/>
                <w:sz w:val="20"/>
                <w:szCs w:val="20"/>
                <w:lang w:eastAsia="hr-HR"/>
              </w:rPr>
            </w:pPr>
          </w:p>
        </w:tc>
      </w:tr>
      <w:tr w:rsidR="00A07D92">
        <w:trPr>
          <w:trHeight w:val="432"/>
          <w:jc w:val="center"/>
        </w:trPr>
        <w:tc>
          <w:tcPr>
            <w:tcW w:w="1494" w:type="dxa"/>
            <w:tcBorders>
              <w:top w:val="single" w:sz="4" w:space="0" w:color="54883D"/>
              <w:left w:val="single" w:sz="4" w:space="0" w:color="54883D"/>
              <w:bottom w:val="single" w:sz="4" w:space="0" w:color="54883D"/>
              <w:right w:val="single" w:sz="4" w:space="0" w:color="54883D"/>
            </w:tcBorders>
            <w:shd w:val="clear" w:color="000000" w:fill="DCE6F1"/>
            <w:vAlign w:val="center"/>
          </w:tcPr>
          <w:p w:rsidR="00A07D92" w:rsidRDefault="00495E63">
            <w:pPr>
              <w:spacing w:before="0" w:after="0" w:line="240" w:lineRule="auto"/>
              <w:jc w:val="center"/>
              <w:rPr>
                <w:i/>
                <w:iCs/>
                <w:color w:val="54883D"/>
                <w:sz w:val="20"/>
                <w:szCs w:val="20"/>
              </w:rPr>
            </w:pPr>
            <w:r>
              <w:rPr>
                <w:rFonts w:ascii="Times New Roman" w:hAnsi="Times New Roman" w:cs="Times New Roman"/>
                <w:color w:val="000000"/>
                <w:sz w:val="20"/>
                <w:szCs w:val="20"/>
                <w:lang w:eastAsia="hr-HR"/>
              </w:rPr>
              <w:t>Bez ozljeda</w:t>
            </w:r>
          </w:p>
        </w:tc>
        <w:tc>
          <w:tcPr>
            <w:tcW w:w="1120" w:type="dxa"/>
            <w:shd w:val="clear" w:color="000000" w:fill="DCE6F1"/>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25885</w:t>
            </w:r>
          </w:p>
        </w:tc>
        <w:tc>
          <w:tcPr>
            <w:tcW w:w="1129" w:type="dxa"/>
            <w:tcBorders>
              <w:left w:val="nil"/>
            </w:tcBorders>
            <w:shd w:val="clear" w:color="000000" w:fill="DCE6F1"/>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1570</w:t>
            </w:r>
          </w:p>
        </w:tc>
        <w:tc>
          <w:tcPr>
            <w:tcW w:w="1189" w:type="dxa"/>
            <w:tcBorders>
              <w:left w:val="nil"/>
            </w:tcBorders>
            <w:shd w:val="clear" w:color="000000" w:fill="DCE6F1"/>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127" w:type="dxa"/>
            <w:tcBorders>
              <w:left w:val="nil"/>
            </w:tcBorders>
            <w:shd w:val="clear" w:color="000000" w:fill="DCE6F1"/>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061" w:type="dxa"/>
            <w:tcBorders>
              <w:left w:val="nil"/>
            </w:tcBorders>
            <w:shd w:val="clear" w:color="000000" w:fill="DCE6F1"/>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825" w:type="dxa"/>
            <w:tcBorders>
              <w:left w:val="nil"/>
              <w:right w:val="single" w:sz="8" w:space="0" w:color="000000"/>
            </w:tcBorders>
            <w:shd w:val="clear" w:color="000000" w:fill="DCE6F1"/>
            <w:vAlign w:val="bottom"/>
          </w:tcPr>
          <w:p w:rsidR="00A07D92" w:rsidRDefault="00495E63">
            <w:pPr>
              <w:spacing w:before="0" w:after="0" w:line="240" w:lineRule="auto"/>
              <w:jc w:val="center"/>
              <w:rPr>
                <w:b/>
                <w:i/>
                <w:iCs/>
                <w:color w:val="54883D"/>
                <w:szCs w:val="22"/>
              </w:rPr>
            </w:pPr>
            <w:r>
              <w:rPr>
                <w:rFonts w:ascii="Calibri" w:hAnsi="Calibri" w:cs="Calibri"/>
                <w:b/>
                <w:bCs/>
                <w:color w:val="000000"/>
                <w:szCs w:val="22"/>
                <w:lang w:eastAsia="hr-HR"/>
              </w:rPr>
              <w:t>27454</w:t>
            </w:r>
          </w:p>
        </w:tc>
      </w:tr>
      <w:tr w:rsidR="00A07D92">
        <w:trPr>
          <w:trHeight w:val="432"/>
          <w:jc w:val="center"/>
        </w:trPr>
        <w:tc>
          <w:tcPr>
            <w:tcW w:w="1494" w:type="dxa"/>
            <w:tcBorders>
              <w:top w:val="single" w:sz="4" w:space="0" w:color="54883D"/>
              <w:left w:val="single" w:sz="4" w:space="0" w:color="54883D"/>
              <w:bottom w:val="single" w:sz="4" w:space="0" w:color="54883D"/>
              <w:right w:val="single" w:sz="4" w:space="0" w:color="54883D"/>
            </w:tcBorders>
            <w:shd w:val="clear" w:color="000000" w:fill="92D050"/>
            <w:vAlign w:val="center"/>
          </w:tcPr>
          <w:p w:rsidR="00A07D92" w:rsidRDefault="00495E63">
            <w:pPr>
              <w:spacing w:before="0" w:after="0" w:line="240" w:lineRule="auto"/>
              <w:jc w:val="center"/>
              <w:rPr>
                <w:i/>
                <w:iCs/>
                <w:color w:val="54883D"/>
                <w:sz w:val="20"/>
                <w:szCs w:val="20"/>
              </w:rPr>
            </w:pPr>
            <w:r>
              <w:rPr>
                <w:rFonts w:ascii="Times New Roman" w:hAnsi="Times New Roman" w:cs="Times New Roman"/>
                <w:color w:val="000000"/>
                <w:sz w:val="20"/>
                <w:szCs w:val="20"/>
                <w:lang w:eastAsia="hr-HR"/>
              </w:rPr>
              <w:t>Lake ozlijede</w:t>
            </w:r>
          </w:p>
        </w:tc>
        <w:tc>
          <w:tcPr>
            <w:tcW w:w="1120" w:type="dxa"/>
            <w:tcBorders>
              <w:top w:val="nil"/>
            </w:tcBorders>
            <w:shd w:val="clear" w:color="000000" w:fill="92D05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129" w:type="dxa"/>
            <w:tcBorders>
              <w:top w:val="nil"/>
              <w:left w:val="nil"/>
            </w:tcBorders>
            <w:shd w:val="clear" w:color="000000" w:fill="92D05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50</w:t>
            </w:r>
          </w:p>
        </w:tc>
        <w:tc>
          <w:tcPr>
            <w:tcW w:w="1189" w:type="dxa"/>
            <w:tcBorders>
              <w:top w:val="nil"/>
              <w:left w:val="nil"/>
            </w:tcBorders>
            <w:shd w:val="clear" w:color="000000" w:fill="92D05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127" w:type="dxa"/>
            <w:tcBorders>
              <w:top w:val="nil"/>
              <w:left w:val="nil"/>
            </w:tcBorders>
            <w:shd w:val="clear" w:color="000000" w:fill="92D05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061" w:type="dxa"/>
            <w:tcBorders>
              <w:top w:val="nil"/>
              <w:left w:val="nil"/>
            </w:tcBorders>
            <w:shd w:val="clear" w:color="000000" w:fill="92D05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825" w:type="dxa"/>
            <w:tcBorders>
              <w:top w:val="nil"/>
              <w:left w:val="nil"/>
              <w:right w:val="single" w:sz="8" w:space="0" w:color="000000"/>
            </w:tcBorders>
            <w:shd w:val="clear" w:color="000000" w:fill="92D050"/>
            <w:vAlign w:val="bottom"/>
          </w:tcPr>
          <w:p w:rsidR="00A07D92" w:rsidRDefault="00495E63">
            <w:pPr>
              <w:spacing w:before="0" w:after="0" w:line="240" w:lineRule="auto"/>
              <w:jc w:val="center"/>
              <w:rPr>
                <w:b/>
                <w:i/>
                <w:iCs/>
                <w:color w:val="54883D"/>
                <w:szCs w:val="22"/>
              </w:rPr>
            </w:pPr>
            <w:r>
              <w:rPr>
                <w:rFonts w:ascii="Calibri" w:hAnsi="Calibri" w:cs="Calibri"/>
                <w:b/>
                <w:bCs/>
                <w:color w:val="000000"/>
                <w:szCs w:val="22"/>
                <w:lang w:eastAsia="hr-HR"/>
              </w:rPr>
              <w:t>50</w:t>
            </w:r>
          </w:p>
        </w:tc>
      </w:tr>
      <w:tr w:rsidR="00A07D92">
        <w:trPr>
          <w:trHeight w:val="648"/>
          <w:jc w:val="center"/>
        </w:trPr>
        <w:tc>
          <w:tcPr>
            <w:tcW w:w="1494"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line="240" w:lineRule="auto"/>
              <w:jc w:val="center"/>
              <w:rPr>
                <w:i/>
                <w:iCs/>
                <w:color w:val="54883D"/>
                <w:sz w:val="20"/>
                <w:szCs w:val="20"/>
              </w:rPr>
            </w:pPr>
            <w:r>
              <w:rPr>
                <w:rFonts w:ascii="Times New Roman" w:hAnsi="Times New Roman" w:cs="Times New Roman"/>
                <w:color w:val="000000"/>
                <w:sz w:val="20"/>
                <w:szCs w:val="20"/>
                <w:lang w:eastAsia="hr-HR"/>
              </w:rPr>
              <w:t xml:space="preserve">Liječenje kod </w:t>
            </w:r>
            <w:r>
              <w:rPr>
                <w:rFonts w:ascii="Times New Roman" w:hAnsi="Times New Roman" w:cs="Times New Roman"/>
                <w:color w:val="000000"/>
                <w:sz w:val="20"/>
                <w:szCs w:val="20"/>
                <w:lang w:eastAsia="hr-HR"/>
              </w:rPr>
              <w:t>doktora</w:t>
            </w:r>
          </w:p>
        </w:tc>
        <w:tc>
          <w:tcPr>
            <w:tcW w:w="1120" w:type="dxa"/>
            <w:tcBorders>
              <w:top w:val="nil"/>
            </w:tcBorders>
            <w:shd w:val="clear" w:color="000000" w:fill="FFFF0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129" w:type="dxa"/>
            <w:tcBorders>
              <w:top w:val="nil"/>
              <w:left w:val="nil"/>
            </w:tcBorders>
            <w:shd w:val="clear" w:color="000000" w:fill="FFFF0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33</w:t>
            </w:r>
          </w:p>
        </w:tc>
        <w:tc>
          <w:tcPr>
            <w:tcW w:w="1189" w:type="dxa"/>
            <w:tcBorders>
              <w:top w:val="nil"/>
              <w:left w:val="nil"/>
            </w:tcBorders>
            <w:shd w:val="clear" w:color="000000" w:fill="FFFF0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127" w:type="dxa"/>
            <w:tcBorders>
              <w:top w:val="nil"/>
              <w:left w:val="nil"/>
            </w:tcBorders>
            <w:shd w:val="clear" w:color="000000" w:fill="FFFF0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061" w:type="dxa"/>
            <w:tcBorders>
              <w:top w:val="nil"/>
              <w:left w:val="nil"/>
            </w:tcBorders>
            <w:shd w:val="clear" w:color="000000" w:fill="FFFF0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825" w:type="dxa"/>
            <w:tcBorders>
              <w:top w:val="nil"/>
              <w:left w:val="nil"/>
              <w:right w:val="single" w:sz="8" w:space="0" w:color="000000"/>
            </w:tcBorders>
            <w:shd w:val="clear" w:color="000000" w:fill="FFFF00"/>
            <w:vAlign w:val="bottom"/>
          </w:tcPr>
          <w:p w:rsidR="00A07D92" w:rsidRDefault="00495E63">
            <w:pPr>
              <w:spacing w:before="0" w:after="0" w:line="240" w:lineRule="auto"/>
              <w:jc w:val="center"/>
              <w:rPr>
                <w:b/>
                <w:i/>
                <w:iCs/>
                <w:color w:val="54883D"/>
                <w:szCs w:val="22"/>
              </w:rPr>
            </w:pPr>
            <w:r>
              <w:rPr>
                <w:rFonts w:ascii="Calibri" w:hAnsi="Calibri" w:cs="Calibri"/>
                <w:b/>
                <w:bCs/>
                <w:color w:val="000000"/>
                <w:szCs w:val="22"/>
                <w:lang w:eastAsia="hr-HR"/>
              </w:rPr>
              <w:t>33</w:t>
            </w:r>
          </w:p>
        </w:tc>
      </w:tr>
      <w:tr w:rsidR="00A07D92">
        <w:trPr>
          <w:trHeight w:val="444"/>
          <w:jc w:val="center"/>
        </w:trPr>
        <w:tc>
          <w:tcPr>
            <w:tcW w:w="1494"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i/>
                <w:iCs/>
                <w:color w:val="54883D"/>
                <w:sz w:val="20"/>
                <w:szCs w:val="20"/>
              </w:rPr>
            </w:pPr>
            <w:r>
              <w:rPr>
                <w:rFonts w:ascii="Times New Roman" w:hAnsi="Times New Roman" w:cs="Times New Roman"/>
                <w:color w:val="000000"/>
                <w:sz w:val="20"/>
                <w:szCs w:val="20"/>
                <w:lang w:eastAsia="hr-HR"/>
              </w:rPr>
              <w:lastRenderedPageBreak/>
              <w:t>Hospitalizacija</w:t>
            </w:r>
          </w:p>
        </w:tc>
        <w:tc>
          <w:tcPr>
            <w:tcW w:w="1120" w:type="dxa"/>
            <w:tcBorders>
              <w:top w:val="nil"/>
            </w:tcBorders>
            <w:shd w:val="clear" w:color="000000" w:fill="F79646"/>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129" w:type="dxa"/>
            <w:tcBorders>
              <w:top w:val="nil"/>
              <w:left w:val="nil"/>
            </w:tcBorders>
            <w:shd w:val="clear" w:color="000000" w:fill="F79646"/>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189" w:type="dxa"/>
            <w:tcBorders>
              <w:top w:val="nil"/>
              <w:left w:val="nil"/>
            </w:tcBorders>
            <w:shd w:val="clear" w:color="000000" w:fill="F79646"/>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127" w:type="dxa"/>
            <w:tcBorders>
              <w:top w:val="nil"/>
              <w:left w:val="nil"/>
            </w:tcBorders>
            <w:shd w:val="clear" w:color="000000" w:fill="F79646"/>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061" w:type="dxa"/>
            <w:tcBorders>
              <w:top w:val="nil"/>
              <w:left w:val="nil"/>
            </w:tcBorders>
            <w:shd w:val="clear" w:color="000000" w:fill="F79646"/>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825" w:type="dxa"/>
            <w:tcBorders>
              <w:top w:val="nil"/>
              <w:left w:val="nil"/>
              <w:right w:val="single" w:sz="8" w:space="0" w:color="000000"/>
            </w:tcBorders>
            <w:shd w:val="clear" w:color="000000" w:fill="F79646"/>
            <w:vAlign w:val="bottom"/>
          </w:tcPr>
          <w:p w:rsidR="00A07D92" w:rsidRDefault="00495E63">
            <w:pPr>
              <w:spacing w:before="0" w:after="0" w:line="240" w:lineRule="auto"/>
              <w:jc w:val="center"/>
              <w:rPr>
                <w:b/>
                <w:i/>
                <w:iCs/>
                <w:color w:val="54883D"/>
                <w:szCs w:val="22"/>
              </w:rPr>
            </w:pPr>
            <w:r>
              <w:rPr>
                <w:rFonts w:ascii="Calibri" w:hAnsi="Calibri" w:cs="Calibri"/>
                <w:b/>
                <w:bCs/>
                <w:color w:val="000000"/>
                <w:szCs w:val="22"/>
                <w:lang w:eastAsia="hr-HR"/>
              </w:rPr>
              <w:t>0</w:t>
            </w:r>
          </w:p>
        </w:tc>
      </w:tr>
      <w:tr w:rsidR="00A07D92">
        <w:trPr>
          <w:trHeight w:val="432"/>
          <w:jc w:val="center"/>
        </w:trPr>
        <w:tc>
          <w:tcPr>
            <w:tcW w:w="1494"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i/>
                <w:iCs/>
                <w:color w:val="54883D"/>
                <w:sz w:val="20"/>
                <w:szCs w:val="20"/>
              </w:rPr>
            </w:pPr>
            <w:r>
              <w:rPr>
                <w:rFonts w:ascii="Times New Roman" w:hAnsi="Times New Roman" w:cs="Times New Roman"/>
                <w:color w:val="000000"/>
                <w:sz w:val="20"/>
                <w:szCs w:val="20"/>
                <w:lang w:eastAsia="hr-HR"/>
              </w:rPr>
              <w:t>Smrt</w:t>
            </w:r>
          </w:p>
        </w:tc>
        <w:tc>
          <w:tcPr>
            <w:tcW w:w="1120" w:type="dxa"/>
            <w:tcBorders>
              <w:top w:val="nil"/>
            </w:tcBorders>
            <w:shd w:val="clear" w:color="000000" w:fill="FF000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129" w:type="dxa"/>
            <w:tcBorders>
              <w:top w:val="nil"/>
              <w:left w:val="nil"/>
            </w:tcBorders>
            <w:shd w:val="clear" w:color="000000" w:fill="FF000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189" w:type="dxa"/>
            <w:tcBorders>
              <w:top w:val="nil"/>
              <w:left w:val="nil"/>
            </w:tcBorders>
            <w:shd w:val="clear" w:color="000000" w:fill="FF000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127" w:type="dxa"/>
            <w:tcBorders>
              <w:top w:val="nil"/>
              <w:left w:val="nil"/>
            </w:tcBorders>
            <w:shd w:val="clear" w:color="000000" w:fill="FF000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061" w:type="dxa"/>
            <w:tcBorders>
              <w:top w:val="nil"/>
              <w:left w:val="nil"/>
            </w:tcBorders>
            <w:shd w:val="clear" w:color="000000" w:fill="FF0000"/>
            <w:vAlign w:val="bottom"/>
          </w:tcPr>
          <w:p w:rsidR="00A07D92" w:rsidRDefault="00495E63">
            <w:pPr>
              <w:spacing w:before="0" w:after="0" w:line="240" w:lineRule="auto"/>
              <w:jc w:val="center"/>
              <w:rPr>
                <w:i/>
                <w:iCs/>
                <w:color w:val="54883D"/>
                <w:sz w:val="20"/>
                <w:szCs w:val="20"/>
              </w:rPr>
            </w:pPr>
            <w:r>
              <w:rPr>
                <w:rFonts w:ascii="Calibri" w:hAnsi="Calibri" w:cs="Calibri"/>
                <w:color w:val="000000"/>
                <w:szCs w:val="22"/>
                <w:lang w:eastAsia="hr-HR"/>
              </w:rPr>
              <w:t>0</w:t>
            </w:r>
          </w:p>
        </w:tc>
        <w:tc>
          <w:tcPr>
            <w:tcW w:w="1825" w:type="dxa"/>
            <w:tcBorders>
              <w:top w:val="nil"/>
              <w:left w:val="nil"/>
              <w:right w:val="single" w:sz="8" w:space="0" w:color="000000"/>
            </w:tcBorders>
            <w:shd w:val="clear" w:color="000000" w:fill="FF0000"/>
            <w:vAlign w:val="bottom"/>
          </w:tcPr>
          <w:p w:rsidR="00A07D92" w:rsidRDefault="00495E63">
            <w:pPr>
              <w:spacing w:before="0" w:after="0" w:line="240" w:lineRule="auto"/>
              <w:jc w:val="center"/>
              <w:rPr>
                <w:b/>
                <w:i/>
                <w:iCs/>
                <w:color w:val="54883D"/>
                <w:szCs w:val="22"/>
              </w:rPr>
            </w:pPr>
            <w:r>
              <w:rPr>
                <w:rFonts w:ascii="Calibri" w:hAnsi="Calibri" w:cs="Calibri"/>
                <w:b/>
                <w:bCs/>
                <w:color w:val="000000"/>
                <w:szCs w:val="22"/>
                <w:lang w:eastAsia="hr-HR"/>
              </w:rPr>
              <w:t>0</w:t>
            </w:r>
          </w:p>
        </w:tc>
      </w:tr>
    </w:tbl>
    <w:p w:rsidR="00A07D92" w:rsidRDefault="00A07D92"/>
    <w:p w:rsidR="00A07D92" w:rsidRDefault="00495E63">
      <w:r>
        <w:t xml:space="preserve">Procjena stupnja oštećenja objekata i broja stanovnika u njima omogućuje procjenjivanje broja ozlijeđenih i poginulih stanovnika. Veći stupanj oštećenja građevine upućuje i na veći </w:t>
      </w:r>
      <w:r>
        <w:t>rizik od ozljeđivanja, pa se pri pojavi potresa od VI° prema ljestvici EMS-98 očekuju sljedeće posljedice na stanovnike Grada:</w:t>
      </w:r>
    </w:p>
    <w:p w:rsidR="00A07D92" w:rsidRDefault="00495E63">
      <w:pPr>
        <w:numPr>
          <w:ilvl w:val="0"/>
          <w:numId w:val="16"/>
        </w:numPr>
        <w:tabs>
          <w:tab w:val="left" w:pos="2445"/>
        </w:tabs>
        <w:spacing w:before="72" w:after="72"/>
        <w:contextualSpacing/>
        <w:rPr>
          <w:color w:val="auto"/>
          <w:szCs w:val="22"/>
          <w:lang w:eastAsia="hr-HR"/>
        </w:rPr>
      </w:pPr>
      <w:r>
        <w:rPr>
          <w:color w:val="auto"/>
          <w:szCs w:val="22"/>
          <w:lang w:eastAsia="hr-HR"/>
        </w:rPr>
        <w:t>27 454 osobe neće pretrpjeti nikakve ozljede,</w:t>
      </w:r>
    </w:p>
    <w:p w:rsidR="00A07D92" w:rsidRDefault="00495E63">
      <w:pPr>
        <w:numPr>
          <w:ilvl w:val="0"/>
          <w:numId w:val="16"/>
        </w:numPr>
        <w:tabs>
          <w:tab w:val="left" w:pos="2445"/>
        </w:tabs>
        <w:spacing w:before="72" w:after="72"/>
        <w:contextualSpacing/>
        <w:rPr>
          <w:color w:val="auto"/>
          <w:szCs w:val="22"/>
          <w:lang w:eastAsia="hr-HR"/>
        </w:rPr>
      </w:pPr>
      <w:r>
        <w:rPr>
          <w:color w:val="auto"/>
          <w:szCs w:val="22"/>
          <w:lang w:eastAsia="hr-HR"/>
        </w:rPr>
        <w:t>50 osoba zadobiti će lake ozljede,</w:t>
      </w:r>
    </w:p>
    <w:p w:rsidR="00A07D92" w:rsidRDefault="00495E63">
      <w:pPr>
        <w:numPr>
          <w:ilvl w:val="0"/>
          <w:numId w:val="16"/>
        </w:numPr>
        <w:tabs>
          <w:tab w:val="left" w:pos="2445"/>
        </w:tabs>
        <w:spacing w:before="72" w:after="72"/>
        <w:contextualSpacing/>
        <w:rPr>
          <w:color w:val="auto"/>
          <w:szCs w:val="22"/>
          <w:lang w:eastAsia="hr-HR"/>
        </w:rPr>
      </w:pPr>
      <w:r>
        <w:rPr>
          <w:color w:val="auto"/>
          <w:szCs w:val="22"/>
          <w:lang w:eastAsia="hr-HR"/>
        </w:rPr>
        <w:t xml:space="preserve">33 osoba zadobiti će ozljede koje mogu sanirati </w:t>
      </w:r>
      <w:r>
        <w:rPr>
          <w:color w:val="auto"/>
          <w:szCs w:val="22"/>
          <w:lang w:eastAsia="hr-HR"/>
        </w:rPr>
        <w:t>liječnici opće medicine ili hitna pomoć,</w:t>
      </w:r>
    </w:p>
    <w:p w:rsidR="00A07D92" w:rsidRDefault="00495E63">
      <w:pPr>
        <w:numPr>
          <w:ilvl w:val="0"/>
          <w:numId w:val="16"/>
        </w:numPr>
        <w:tabs>
          <w:tab w:val="left" w:pos="2445"/>
        </w:tabs>
        <w:spacing w:before="72" w:after="72"/>
        <w:contextualSpacing/>
        <w:rPr>
          <w:color w:val="auto"/>
          <w:szCs w:val="22"/>
          <w:lang w:eastAsia="hr-HR"/>
        </w:rPr>
      </w:pPr>
      <w:r>
        <w:rPr>
          <w:color w:val="auto"/>
          <w:szCs w:val="22"/>
          <w:lang w:eastAsia="hr-HR"/>
        </w:rPr>
        <w:t>0 osoba zadobiti će teške ozljede koje će zahtijevati bolničko liječenje,</w:t>
      </w:r>
    </w:p>
    <w:p w:rsidR="00A07D92" w:rsidRDefault="00495E63">
      <w:pPr>
        <w:numPr>
          <w:ilvl w:val="0"/>
          <w:numId w:val="16"/>
        </w:numPr>
        <w:tabs>
          <w:tab w:val="left" w:pos="2445"/>
        </w:tabs>
        <w:spacing w:before="72" w:after="72"/>
        <w:contextualSpacing/>
        <w:rPr>
          <w:color w:val="auto"/>
          <w:szCs w:val="22"/>
          <w:lang w:eastAsia="hr-HR"/>
        </w:rPr>
      </w:pPr>
      <w:r>
        <w:t>0 osoba smrtno će stradati.</w:t>
      </w:r>
    </w:p>
    <w:p w:rsidR="00A07D92" w:rsidRDefault="00A07D92">
      <w:pPr>
        <w:rPr>
          <w:rStyle w:val="Jakoisticanje"/>
          <w:color w:val="54883D"/>
        </w:rPr>
      </w:pPr>
    </w:p>
    <w:p w:rsidR="00A07D92" w:rsidRDefault="00495E63">
      <w:pPr>
        <w:rPr>
          <w:rStyle w:val="Jakoisticanje"/>
          <w:color w:val="54883D"/>
        </w:rPr>
      </w:pPr>
      <w:r>
        <w:rPr>
          <w:rStyle w:val="Jakoisticanje"/>
          <w:color w:val="54883D"/>
        </w:rPr>
        <w:t>Posljedice</w:t>
      </w:r>
    </w:p>
    <w:p w:rsidR="00A07D92" w:rsidRDefault="00495E63">
      <w:pPr>
        <w:rPr>
          <w:u w:val="single"/>
        </w:rPr>
      </w:pPr>
      <w:r>
        <w:rPr>
          <w:u w:val="single"/>
        </w:rPr>
        <w:t>Život i zdravlje ljudi</w:t>
      </w:r>
    </w:p>
    <w:p w:rsidR="00A07D92" w:rsidRDefault="00495E63">
      <w:pPr>
        <w:rPr>
          <w:color w:val="auto"/>
          <w:szCs w:val="22"/>
          <w:lang w:eastAsia="hr-HR"/>
        </w:rPr>
      </w:pPr>
      <w:r>
        <w:t>Na području grada Malog Lošinja sukladno statističkom praćenju te seizmološkim</w:t>
      </w:r>
      <w:r>
        <w:t xml:space="preserve"> procjenama i proračunima, razmatra se mogućim potres do VIº po EMS-98 ljestvici. Ovi primarni kao i sekundarni učinci potresa imali bi posljedice na život i zdravlje ljudi kako je prikazano u tablici te navedeno iznad.</w:t>
      </w:r>
    </w:p>
    <w:p w:rsidR="00A07D92" w:rsidRDefault="00495E63">
      <w:r>
        <w:t>Potrebno bi bilo zbrinuti sve obitel</w:t>
      </w:r>
      <w:r>
        <w:t>ji kojima bi njihovi stambeni objekti bili toliko oštećeni da nisu sigurni za korištenje. U otklanjanje posljedica nužno će se morati uključiti šira društvena zajednica, a oporavak može biti dugotrajan. S obzirom na uključene podatke, odabiru se katastrofa</w:t>
      </w:r>
      <w:r>
        <w:t>lne posljedice.</w:t>
      </w:r>
    </w:p>
    <w:p w:rsidR="00A07D92" w:rsidRDefault="00495E63">
      <w:pPr>
        <w:pStyle w:val="Opisslike"/>
      </w:pPr>
      <w:r>
        <w:t xml:space="preserve">Tablica </w:t>
      </w:r>
      <w:r>
        <w:fldChar w:fldCharType="begin"/>
      </w:r>
      <w:r>
        <w:instrText>SEQ Tabela \* ARABIC</w:instrText>
      </w:r>
      <w:r>
        <w:fldChar w:fldCharType="separate"/>
      </w:r>
      <w:r>
        <w:t>24</w:t>
      </w:r>
      <w:r>
        <w:fldChar w:fldCharType="end"/>
      </w:r>
      <w:r>
        <w:t>. Vrijednost kriterija za posljedice na život i zdravlje ljudi po kategorijama - potres</w:t>
      </w:r>
    </w:p>
    <w:tbl>
      <w:tblPr>
        <w:tblStyle w:val="ivopisnatablicareetke6-isticanje3122"/>
        <w:tblW w:w="8332" w:type="dxa"/>
        <w:jc w:val="center"/>
        <w:tblLook w:val="04A0" w:firstRow="1" w:lastRow="0" w:firstColumn="1" w:lastColumn="0" w:noHBand="0" w:noVBand="1"/>
      </w:tblPr>
      <w:tblGrid>
        <w:gridCol w:w="1528"/>
        <w:gridCol w:w="2566"/>
        <w:gridCol w:w="2252"/>
        <w:gridCol w:w="1986"/>
      </w:tblGrid>
      <w:tr w:rsidR="00A07D92" w:rsidTr="00A07D92">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BROJ UGROŽENIH OSOBA %</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&lt; 0,001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07D92" w:rsidTr="00A07D92">
        <w:trPr>
          <w:trHeight w:val="243"/>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0,001 - 0,0046</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0,0047 - 0,011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07D92" w:rsidTr="00A07D92">
        <w:trPr>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0,012 - 0,035</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0,036 &gt;</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bl>
    <w:p w:rsidR="00A07D92" w:rsidRDefault="00A07D92">
      <w:pPr>
        <w:rPr>
          <w:u w:val="single"/>
        </w:rPr>
      </w:pPr>
    </w:p>
    <w:p w:rsidR="00A07D92" w:rsidRDefault="00495E63">
      <w:pPr>
        <w:rPr>
          <w:u w:val="single"/>
        </w:rPr>
      </w:pPr>
      <w:r>
        <w:rPr>
          <w:u w:val="single"/>
        </w:rPr>
        <w:t>Gospodarstvo</w:t>
      </w:r>
    </w:p>
    <w:p w:rsidR="00A07D92" w:rsidRDefault="00495E63">
      <w:pPr>
        <w:tabs>
          <w:tab w:val="left" w:pos="2445"/>
        </w:tabs>
        <w:spacing w:before="72" w:after="72"/>
        <w:contextualSpacing/>
      </w:pPr>
      <w:r>
        <w:t xml:space="preserve">Procjena posljedica na gospodarstvo veže se na direktne (izravne) i indirektne (neizravne) gubitke. Direktni gubici se vežu za oštećenja građevina (stambenih jedinica) </w:t>
      </w:r>
      <w:r>
        <w:t xml:space="preserve">kao što je trošak popravka građevine (dovođenje građevine u dostatnu razinu sigurnosti) ili trošak uklanjanja građevine (za građevine koje su procijenjene da nisu sigurne za uporabu) i izgradnje novih (zamjenskih) građevina itd. Uobičajena je pretpostavka </w:t>
      </w:r>
      <w:r>
        <w:t xml:space="preserve">se da će se vrlo teško oštećene građevine morati ukloniti i ponovo izgraditi jer će šteta premašiti 50% vrijednosti građevine. </w:t>
      </w:r>
      <w:r>
        <w:lastRenderedPageBreak/>
        <w:t>Značajno do teško oštećenim građevinama ne bi izravno bila ugrožena nosivost konstrukcije pa je moguća sanacija (nakon procjene),</w:t>
      </w:r>
      <w:r>
        <w:t xml:space="preserve"> a građevine s umjerenim oštećenjem će se uglavnom moći brzo i jeftino sanirati.</w:t>
      </w:r>
    </w:p>
    <w:p w:rsidR="00A07D92" w:rsidRDefault="00495E63">
      <w:pPr>
        <w:spacing w:before="0" w:after="240"/>
        <w:rPr>
          <w:color w:val="auto"/>
          <w:szCs w:val="22"/>
          <w:lang w:eastAsia="hr-HR"/>
        </w:rPr>
      </w:pPr>
      <w:r>
        <w:rPr>
          <w:color w:val="auto"/>
          <w:szCs w:val="22"/>
          <w:lang w:eastAsia="hr-HR"/>
        </w:rPr>
        <w:t>Indirektni (neizravni) gubici bi bili vrlo značajni s obzirom da se u gradu Malog Lošinja nalaze se obrazovne, kulturne i zdravstvene institucije, poslovni subjekti i kulturna</w:t>
      </w:r>
      <w:r>
        <w:rPr>
          <w:color w:val="auto"/>
          <w:szCs w:val="22"/>
          <w:lang w:eastAsia="hr-HR"/>
        </w:rPr>
        <w:t xml:space="preserve"> baština neprocjenjive nacionalne vrijednosti itd. Troškovi se mogu promatrati kroz: prekid poslovanja, zaustavljene razne proizvodne aktivnosti (primjerice energija), prekid dostave resursa za održavanje poslovanja, gubitak opreme (industrijske, zdravstve</w:t>
      </w:r>
      <w:r>
        <w:rPr>
          <w:color w:val="auto"/>
          <w:szCs w:val="22"/>
          <w:lang w:eastAsia="hr-HR"/>
        </w:rPr>
        <w:t>ne, računalne, itd.) u objektima, gubitak zarade, oštećenje transportnih putova, prekid komunikacijske mreže, oštećenje ključne komunalne infrastrukture (energija, voda itd.), gubitak radnih mjesta, gubitak radne snage, povećane potrebe za smještajnim kapa</w:t>
      </w:r>
      <w:r>
        <w:rPr>
          <w:color w:val="auto"/>
          <w:szCs w:val="22"/>
          <w:lang w:eastAsia="hr-HR"/>
        </w:rPr>
        <w:t>citetima, zagađenje okoliša, srušene trgovine, itd. Ostali potencijalni indirektni utjecaji mogu biti: požari, odroni tla i otvaranje klizišta, poplave, tehničko-tehnološke katastrofe slijedom stradavanja gospodarskih objekata, epidemiološke i sanitarne op</w:t>
      </w:r>
      <w:r>
        <w:rPr>
          <w:color w:val="auto"/>
          <w:szCs w:val="22"/>
          <w:lang w:eastAsia="hr-HR"/>
        </w:rPr>
        <w:t>asnosti slijedom ne funkcioniranja nadležnih, prekidi proizvodnih i opskrbnih lanaca, nesreće na odlagalištima otpada itd.</w:t>
      </w:r>
    </w:p>
    <w:p w:rsidR="00A07D92" w:rsidRDefault="00A07D92">
      <w:pPr>
        <w:spacing w:before="0" w:after="0"/>
        <w:jc w:val="center"/>
        <w:rPr>
          <w:rFonts w:eastAsia="Calibri"/>
          <w:bCs/>
          <w:color w:val="54883D"/>
          <w:sz w:val="20"/>
          <w:szCs w:val="18"/>
        </w:rPr>
      </w:pPr>
    </w:p>
    <w:p w:rsidR="00A07D92" w:rsidRDefault="00495E63">
      <w:pPr>
        <w:spacing w:before="0" w:after="0"/>
        <w:jc w:val="center"/>
        <w:rPr>
          <w:rFonts w:eastAsia="Calibri"/>
          <w:b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25</w:t>
      </w:r>
      <w:r>
        <w:rPr>
          <w:rFonts w:eastAsia="Calibri"/>
          <w:bCs/>
          <w:sz w:val="20"/>
          <w:szCs w:val="18"/>
        </w:rPr>
        <w:fldChar w:fldCharType="end"/>
      </w:r>
      <w:r>
        <w:rPr>
          <w:rFonts w:eastAsia="Calibri"/>
          <w:bCs/>
          <w:color w:val="54883D"/>
          <w:sz w:val="20"/>
          <w:szCs w:val="18"/>
        </w:rPr>
        <w:t>. Približni jedinični troškovi izgradnje raznih objekata</w:t>
      </w:r>
    </w:p>
    <w:tbl>
      <w:tblPr>
        <w:tblStyle w:val="Reetkatablice"/>
        <w:tblW w:w="7933" w:type="dxa"/>
        <w:jc w:val="center"/>
        <w:tblLook w:val="04A0" w:firstRow="1" w:lastRow="0" w:firstColumn="1" w:lastColumn="0" w:noHBand="0" w:noVBand="1"/>
      </w:tblPr>
      <w:tblGrid>
        <w:gridCol w:w="6374"/>
        <w:gridCol w:w="1559"/>
      </w:tblGrid>
      <w:tr w:rsidR="00A07D92">
        <w:trPr>
          <w:tblHeade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rPr>
            </w:pPr>
            <w:r>
              <w:rPr>
                <w:rFonts w:ascii="Times New Roman" w:hAnsi="Times New Roman" w:cs="Times New Roman"/>
                <w:b/>
                <w:sz w:val="20"/>
                <w:lang w:eastAsia="hr-HR"/>
              </w:rPr>
              <w:t xml:space="preserve">Opis </w:t>
            </w:r>
            <w:proofErr w:type="spellStart"/>
            <w:r>
              <w:rPr>
                <w:rFonts w:ascii="Times New Roman" w:hAnsi="Times New Roman" w:cs="Times New Roman"/>
                <w:b/>
                <w:sz w:val="20"/>
                <w:lang w:eastAsia="hr-HR"/>
              </w:rPr>
              <w:t>Cost</w:t>
            </w:r>
            <w:proofErr w:type="spellEnd"/>
            <w:r>
              <w:rPr>
                <w:rFonts w:ascii="Times New Roman" w:hAnsi="Times New Roman" w:cs="Times New Roman"/>
                <w:b/>
                <w:sz w:val="20"/>
                <w:lang w:eastAsia="hr-HR"/>
              </w:rPr>
              <w:t xml:space="preserve"> (€/m</w:t>
            </w:r>
            <w:r>
              <w:rPr>
                <w:rFonts w:ascii="Times New Roman" w:hAnsi="Times New Roman" w:cs="Times New Roman"/>
                <w:b/>
                <w:sz w:val="20"/>
                <w:vertAlign w:val="superscript"/>
                <w:lang w:eastAsia="hr-HR"/>
              </w:rPr>
              <w:t>2</w:t>
            </w:r>
            <w:r>
              <w:rPr>
                <w:rFonts w:ascii="Times New Roman" w:hAnsi="Times New Roman" w:cs="Times New Roman"/>
                <w:b/>
                <w:sz w:val="20"/>
                <w:lang w:eastAsia="hr-HR"/>
              </w:rPr>
              <w:t xml:space="preserve">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rPr>
            </w:pPr>
            <w:r>
              <w:rPr>
                <w:rFonts w:ascii="Times New Roman" w:hAnsi="Times New Roman" w:cs="Times New Roman"/>
                <w:b/>
                <w:sz w:val="20"/>
                <w:lang w:eastAsia="hr-HR"/>
              </w:rPr>
              <w:t>Cijena (€/m</w:t>
            </w:r>
            <w:r>
              <w:rPr>
                <w:rFonts w:ascii="Times New Roman" w:hAnsi="Times New Roman" w:cs="Times New Roman"/>
                <w:b/>
                <w:sz w:val="20"/>
                <w:vertAlign w:val="superscript"/>
                <w:lang w:eastAsia="hr-HR"/>
              </w:rPr>
              <w:t>2</w:t>
            </w:r>
            <w:r>
              <w:rPr>
                <w:rFonts w:ascii="Times New Roman" w:hAnsi="Times New Roman" w:cs="Times New Roman"/>
                <w:b/>
                <w:sz w:val="20"/>
                <w:lang w:eastAsia="hr-HR"/>
              </w:rPr>
              <w:t xml:space="preserve"> )</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 xml:space="preserve">Jednostavne poljoprivredne građevine, pomoćne građevine i slično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28,4</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 xml:space="preserve">Spremišta (rezervoari) vode, trgovačka skladišta, štale i slično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49,5</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 xml:space="preserve">Tornjevi, vodotornjevi, ostala spremišta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78,4</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Uredi, trgovine, poljoprivredne građevine do visine jednog kata,</w:t>
            </w:r>
            <w:r>
              <w:rPr>
                <w:rFonts w:ascii="Times New Roman" w:hAnsi="Times New Roman" w:cs="Times New Roman"/>
                <w:sz w:val="20"/>
                <w:lang w:eastAsia="hr-HR"/>
              </w:rPr>
              <w:t xml:space="preserve"> jednostavna industrijska postrojenja i slično.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146,4</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 xml:space="preserve">Stambene zgrade do četiri kata, lokalne sportske građevine, parkirališta na kat, poslovne građevine i slično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175,8</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 xml:space="preserve">Stambene i poslovne građevine, složenije poljoprivredne i industrijske građevine, </w:t>
            </w:r>
            <w:r>
              <w:rPr>
                <w:rFonts w:ascii="Times New Roman" w:hAnsi="Times New Roman" w:cs="Times New Roman"/>
                <w:sz w:val="20"/>
                <w:lang w:eastAsia="hr-HR"/>
              </w:rPr>
              <w:t>građevine javnih institucija, domovi zdravlja, hoteli niže kategorije i slično</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200,5</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 xml:space="preserve">Privatne kuće, uredske zgrade, veliki trgovački centri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226,3</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 xml:space="preserve">Trgovački centri i hoteli viših kategorija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250,0</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 xml:space="preserve">Bolnice, knjižnice i kulturne građevine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300,5</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 xml:space="preserve">Radio i </w:t>
            </w:r>
            <w:r>
              <w:rPr>
                <w:rFonts w:ascii="Times New Roman" w:hAnsi="Times New Roman" w:cs="Times New Roman"/>
                <w:sz w:val="20"/>
                <w:lang w:eastAsia="hr-HR"/>
              </w:rPr>
              <w:t xml:space="preserve">TV postaje, obrazovne institucije, trgovački centri s dodatnim sadržajima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372,6</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 xml:space="preserve">Kongresni centri, zračne luke,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451,6</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 xml:space="preserve">Kliničko-bolnički centri, hoteli najviših kategorija </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513,3</w:t>
            </w:r>
          </w:p>
        </w:tc>
      </w:tr>
      <w:tr w:rsidR="00A07D92">
        <w:trPr>
          <w:jc w:val="center"/>
        </w:trPr>
        <w:tc>
          <w:tcPr>
            <w:tcW w:w="637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rPr>
            </w:pPr>
            <w:r>
              <w:rPr>
                <w:rFonts w:ascii="Times New Roman" w:hAnsi="Times New Roman" w:cs="Times New Roman"/>
                <w:sz w:val="20"/>
                <w:lang w:eastAsia="hr-HR"/>
              </w:rPr>
              <w:t>Kazališta, operne i koncertne dvorane</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rFonts w:ascii="Times New Roman" w:hAnsi="Times New Roman" w:cs="Times New Roman"/>
                <w:sz w:val="20"/>
                <w:lang w:eastAsia="hr-HR"/>
              </w:rPr>
              <w:t>615,3</w:t>
            </w:r>
          </w:p>
        </w:tc>
      </w:tr>
    </w:tbl>
    <w:p w:rsidR="00A07D92" w:rsidRDefault="00495E63">
      <w:pPr>
        <w:jc w:val="center"/>
        <w:rPr>
          <w:i/>
          <w:color w:val="54883D"/>
          <w:sz w:val="20"/>
        </w:rPr>
      </w:pPr>
      <w:r>
        <w:rPr>
          <w:i/>
          <w:color w:val="54883D"/>
          <w:sz w:val="20"/>
        </w:rPr>
        <w:t xml:space="preserve">Izvor: Bal </w:t>
      </w:r>
      <w:proofErr w:type="spellStart"/>
      <w:r>
        <w:rPr>
          <w:i/>
          <w:color w:val="54883D"/>
          <w:sz w:val="20"/>
        </w:rPr>
        <w:t>I.E</w:t>
      </w:r>
      <w:proofErr w:type="spellEnd"/>
      <w:r>
        <w:rPr>
          <w:i/>
          <w:color w:val="54883D"/>
          <w:sz w:val="20"/>
        </w:rPr>
        <w:t xml:space="preserve">., </w:t>
      </w:r>
      <w:proofErr w:type="spellStart"/>
      <w:r>
        <w:rPr>
          <w:i/>
          <w:color w:val="54883D"/>
          <w:sz w:val="20"/>
        </w:rPr>
        <w:t>Crowley</w:t>
      </w:r>
      <w:proofErr w:type="spellEnd"/>
      <w:r>
        <w:rPr>
          <w:i/>
          <w:color w:val="54883D"/>
          <w:sz w:val="20"/>
        </w:rPr>
        <w:t xml:space="preserve"> H., </w:t>
      </w:r>
      <w:proofErr w:type="spellStart"/>
      <w:r>
        <w:rPr>
          <w:i/>
          <w:color w:val="54883D"/>
          <w:sz w:val="20"/>
        </w:rPr>
        <w:t>Pinho</w:t>
      </w:r>
      <w:proofErr w:type="spellEnd"/>
      <w:r>
        <w:rPr>
          <w:i/>
          <w:color w:val="54883D"/>
          <w:sz w:val="20"/>
        </w:rPr>
        <w:t xml:space="preserve"> R. (2010.) </w:t>
      </w:r>
      <w:proofErr w:type="spellStart"/>
      <w:r>
        <w:rPr>
          <w:i/>
          <w:color w:val="54883D"/>
          <w:sz w:val="20"/>
        </w:rPr>
        <w:t>Displacement</w:t>
      </w:r>
      <w:proofErr w:type="spellEnd"/>
      <w:r>
        <w:rPr>
          <w:i/>
          <w:color w:val="54883D"/>
          <w:sz w:val="20"/>
        </w:rPr>
        <w:t xml:space="preserve"> - </w:t>
      </w:r>
      <w:proofErr w:type="spellStart"/>
      <w:r>
        <w:rPr>
          <w:i/>
          <w:color w:val="54883D"/>
          <w:sz w:val="20"/>
        </w:rPr>
        <w:t>Based</w:t>
      </w:r>
      <w:proofErr w:type="spellEnd"/>
      <w:r>
        <w:rPr>
          <w:i/>
          <w:color w:val="54883D"/>
          <w:sz w:val="20"/>
        </w:rPr>
        <w:t xml:space="preserve"> </w:t>
      </w:r>
      <w:proofErr w:type="spellStart"/>
      <w:r>
        <w:rPr>
          <w:i/>
          <w:color w:val="54883D"/>
          <w:sz w:val="20"/>
        </w:rPr>
        <w:t>Earthquake</w:t>
      </w:r>
      <w:proofErr w:type="spellEnd"/>
      <w:r>
        <w:rPr>
          <w:i/>
          <w:color w:val="54883D"/>
          <w:sz w:val="20"/>
        </w:rPr>
        <w:t xml:space="preserve"> </w:t>
      </w:r>
      <w:proofErr w:type="spellStart"/>
      <w:r>
        <w:rPr>
          <w:i/>
          <w:color w:val="54883D"/>
          <w:sz w:val="20"/>
        </w:rPr>
        <w:t>Loss</w:t>
      </w:r>
      <w:proofErr w:type="spellEnd"/>
      <w:r>
        <w:rPr>
          <w:i/>
          <w:color w:val="54883D"/>
          <w:sz w:val="20"/>
        </w:rPr>
        <w:t xml:space="preserve"> </w:t>
      </w:r>
      <w:proofErr w:type="spellStart"/>
      <w:r>
        <w:rPr>
          <w:i/>
          <w:color w:val="54883D"/>
          <w:sz w:val="20"/>
        </w:rPr>
        <w:t>Assessment</w:t>
      </w:r>
      <w:proofErr w:type="spellEnd"/>
      <w:r>
        <w:rPr>
          <w:i/>
          <w:color w:val="54883D"/>
          <w:sz w:val="20"/>
        </w:rPr>
        <w:t xml:space="preserve">: </w:t>
      </w:r>
      <w:proofErr w:type="spellStart"/>
      <w:r>
        <w:rPr>
          <w:i/>
          <w:color w:val="54883D"/>
          <w:sz w:val="20"/>
        </w:rPr>
        <w:t>Method</w:t>
      </w:r>
      <w:proofErr w:type="spellEnd"/>
      <w:r>
        <w:rPr>
          <w:i/>
          <w:color w:val="54883D"/>
          <w:sz w:val="20"/>
        </w:rPr>
        <w:t xml:space="preserve"> </w:t>
      </w:r>
      <w:proofErr w:type="spellStart"/>
      <w:r>
        <w:rPr>
          <w:i/>
          <w:color w:val="54883D"/>
          <w:sz w:val="20"/>
        </w:rPr>
        <w:t>Development</w:t>
      </w:r>
      <w:proofErr w:type="spellEnd"/>
      <w:r>
        <w:rPr>
          <w:i/>
          <w:color w:val="54883D"/>
          <w:sz w:val="20"/>
        </w:rPr>
        <w:t xml:space="preserve"> </w:t>
      </w:r>
      <w:proofErr w:type="spellStart"/>
      <w:r>
        <w:rPr>
          <w:i/>
          <w:color w:val="54883D"/>
          <w:sz w:val="20"/>
        </w:rPr>
        <w:t>and</w:t>
      </w:r>
      <w:proofErr w:type="spellEnd"/>
      <w:r>
        <w:rPr>
          <w:i/>
          <w:color w:val="54883D"/>
          <w:sz w:val="20"/>
        </w:rPr>
        <w:t xml:space="preserve"> </w:t>
      </w:r>
      <w:proofErr w:type="spellStart"/>
      <w:r>
        <w:rPr>
          <w:i/>
          <w:color w:val="54883D"/>
          <w:sz w:val="20"/>
        </w:rPr>
        <w:t>Application</w:t>
      </w:r>
      <w:proofErr w:type="spellEnd"/>
      <w:r>
        <w:rPr>
          <w:i/>
          <w:color w:val="54883D"/>
          <w:sz w:val="20"/>
        </w:rPr>
        <w:t xml:space="preserve"> to </w:t>
      </w:r>
      <w:proofErr w:type="spellStart"/>
      <w:r>
        <w:rPr>
          <w:i/>
          <w:color w:val="54883D"/>
          <w:sz w:val="20"/>
        </w:rPr>
        <w:t>Turkish</w:t>
      </w:r>
      <w:proofErr w:type="spellEnd"/>
      <w:r>
        <w:rPr>
          <w:i/>
          <w:color w:val="54883D"/>
          <w:sz w:val="20"/>
        </w:rPr>
        <w:t xml:space="preserve"> Building </w:t>
      </w:r>
      <w:proofErr w:type="spellStart"/>
      <w:r>
        <w:rPr>
          <w:i/>
          <w:color w:val="54883D"/>
          <w:sz w:val="20"/>
        </w:rPr>
        <w:t>Stock</w:t>
      </w:r>
      <w:proofErr w:type="spellEnd"/>
      <w:r>
        <w:rPr>
          <w:i/>
          <w:color w:val="54883D"/>
          <w:sz w:val="20"/>
        </w:rPr>
        <w:t xml:space="preserve">, </w:t>
      </w:r>
      <w:proofErr w:type="spellStart"/>
      <w:r>
        <w:rPr>
          <w:i/>
          <w:color w:val="54883D"/>
          <w:sz w:val="20"/>
        </w:rPr>
        <w:t>Research</w:t>
      </w:r>
      <w:proofErr w:type="spellEnd"/>
      <w:r>
        <w:rPr>
          <w:i/>
          <w:color w:val="54883D"/>
          <w:sz w:val="20"/>
        </w:rPr>
        <w:t xml:space="preserve"> </w:t>
      </w:r>
      <w:proofErr w:type="spellStart"/>
      <w:r>
        <w:rPr>
          <w:i/>
          <w:color w:val="54883D"/>
          <w:sz w:val="20"/>
        </w:rPr>
        <w:t>Report</w:t>
      </w:r>
      <w:proofErr w:type="spellEnd"/>
      <w:r>
        <w:rPr>
          <w:i/>
          <w:color w:val="54883D"/>
          <w:sz w:val="20"/>
        </w:rPr>
        <w:t xml:space="preserve"> Rose 2010/02, IUSS </w:t>
      </w:r>
      <w:proofErr w:type="spellStart"/>
      <w:r>
        <w:rPr>
          <w:i/>
          <w:color w:val="54883D"/>
          <w:sz w:val="20"/>
        </w:rPr>
        <w:t>Press</w:t>
      </w:r>
      <w:proofErr w:type="spellEnd"/>
      <w:r>
        <w:rPr>
          <w:i/>
          <w:color w:val="54883D"/>
          <w:sz w:val="20"/>
        </w:rPr>
        <w:t xml:space="preserve">, </w:t>
      </w:r>
      <w:proofErr w:type="spellStart"/>
      <w:r>
        <w:rPr>
          <w:i/>
          <w:color w:val="54883D"/>
          <w:sz w:val="20"/>
        </w:rPr>
        <w:t>Pavia</w:t>
      </w:r>
      <w:proofErr w:type="spellEnd"/>
      <w:r>
        <w:rPr>
          <w:i/>
          <w:color w:val="54883D"/>
          <w:sz w:val="20"/>
        </w:rPr>
        <w:t xml:space="preserve">, </w:t>
      </w:r>
      <w:proofErr w:type="spellStart"/>
      <w:r>
        <w:rPr>
          <w:i/>
          <w:color w:val="54883D"/>
          <w:sz w:val="20"/>
        </w:rPr>
        <w:t>Italy</w:t>
      </w:r>
      <w:proofErr w:type="spellEnd"/>
    </w:p>
    <w:p w:rsidR="00A07D92" w:rsidRDefault="00495E63">
      <w:r>
        <w:t xml:space="preserve">Za izračun troškova štete na stambenom fondu, korišteni su podaci iz </w:t>
      </w:r>
      <w:r>
        <w:rPr>
          <w:color w:val="auto"/>
        </w:rPr>
        <w:t xml:space="preserve">tablice 33. </w:t>
      </w:r>
      <w:r>
        <w:t>ukupne štete samo na stambenom fondu iznosile bi:</w:t>
      </w:r>
    </w:p>
    <w:p w:rsidR="00A07D92" w:rsidRDefault="00495E63">
      <w:pPr>
        <w:pStyle w:val="Odlomakpopisa"/>
        <w:numPr>
          <w:ilvl w:val="0"/>
          <w:numId w:val="20"/>
        </w:numPr>
        <w:spacing w:line="276" w:lineRule="auto"/>
        <w:rPr>
          <w:sz w:val="22"/>
        </w:rPr>
      </w:pPr>
      <w:r>
        <w:rPr>
          <w:sz w:val="22"/>
        </w:rPr>
        <w:t>za 875 građevina koje se mogu popraviti uz prosječno pravo nužnog popravka (nužni smještaj) od 50 m</w:t>
      </w:r>
      <w:r>
        <w:rPr>
          <w:sz w:val="22"/>
          <w:vertAlign w:val="superscript"/>
        </w:rPr>
        <w:t>2</w:t>
      </w:r>
      <w:r>
        <w:rPr>
          <w:sz w:val="22"/>
        </w:rPr>
        <w:t xml:space="preserve"> i cijenu od 15% obnove kuće ukupna šteta iznosi 489 x 226,3 €/m</w:t>
      </w:r>
      <w:r>
        <w:rPr>
          <w:sz w:val="22"/>
          <w:vertAlign w:val="superscript"/>
        </w:rPr>
        <w:t>2</w:t>
      </w:r>
      <w:r>
        <w:rPr>
          <w:sz w:val="22"/>
        </w:rPr>
        <w:t xml:space="preserve"> x (0,15 x 50 m</w:t>
      </w:r>
      <w:r>
        <w:rPr>
          <w:sz w:val="22"/>
          <w:vertAlign w:val="superscript"/>
        </w:rPr>
        <w:t>2</w:t>
      </w:r>
      <w:r>
        <w:rPr>
          <w:sz w:val="22"/>
        </w:rPr>
        <w:t>) = 829.955,2</w:t>
      </w:r>
      <w:r>
        <w:rPr>
          <w:sz w:val="22"/>
        </w:rPr>
        <w:t>5 €</w:t>
      </w:r>
    </w:p>
    <w:p w:rsidR="00A07D92" w:rsidRDefault="00495E63">
      <w:pPr>
        <w:pStyle w:val="Odlomakpopisa"/>
        <w:numPr>
          <w:ilvl w:val="0"/>
          <w:numId w:val="20"/>
        </w:numPr>
        <w:spacing w:line="276" w:lineRule="auto"/>
        <w:rPr>
          <w:sz w:val="22"/>
        </w:rPr>
      </w:pPr>
      <w:r>
        <w:rPr>
          <w:sz w:val="22"/>
        </w:rPr>
        <w:lastRenderedPageBreak/>
        <w:t>za najmanje popravke 1624 građevina uz isto pravo popravka od 50 m</w:t>
      </w:r>
      <w:r>
        <w:rPr>
          <w:sz w:val="22"/>
          <w:vertAlign w:val="superscript"/>
        </w:rPr>
        <w:t>2</w:t>
      </w:r>
      <w:r>
        <w:rPr>
          <w:sz w:val="22"/>
        </w:rPr>
        <w:t xml:space="preserve"> po obitelji i 5% ukupne cijene obnove cijele kuće ukupni trošak iznosi 1624 x 226,3 €/m</w:t>
      </w:r>
      <w:r>
        <w:rPr>
          <w:sz w:val="22"/>
          <w:vertAlign w:val="superscript"/>
        </w:rPr>
        <w:t xml:space="preserve">2 </w:t>
      </w:r>
      <w:r>
        <w:rPr>
          <w:sz w:val="22"/>
        </w:rPr>
        <w:t>x (0,05 x 50 m</w:t>
      </w:r>
      <w:r>
        <w:rPr>
          <w:sz w:val="22"/>
          <w:vertAlign w:val="superscript"/>
        </w:rPr>
        <w:t>2</w:t>
      </w:r>
      <w:r>
        <w:rPr>
          <w:sz w:val="22"/>
        </w:rPr>
        <w:t>) =  1.225.980,25 €</w:t>
      </w:r>
    </w:p>
    <w:p w:rsidR="00A07D92" w:rsidRDefault="00495E63">
      <w:pPr>
        <w:pStyle w:val="Opisslike"/>
      </w:pPr>
      <w:r>
        <w:t xml:space="preserve">Tablica </w:t>
      </w:r>
      <w:r>
        <w:fldChar w:fldCharType="begin"/>
      </w:r>
      <w:r>
        <w:instrText>SEQ Tabela \* ARABIC</w:instrText>
      </w:r>
      <w:r>
        <w:fldChar w:fldCharType="separate"/>
      </w:r>
      <w:r>
        <w:t>26</w:t>
      </w:r>
      <w:r>
        <w:fldChar w:fldCharType="end"/>
      </w:r>
      <w:r>
        <w:t>. Vrijednost kriterija za p</w:t>
      </w:r>
      <w:r>
        <w:t>osljedice na gospodarstvo po kategorijama – potres</w:t>
      </w:r>
    </w:p>
    <w:tbl>
      <w:tblPr>
        <w:tblStyle w:val="ivopisnatablicareetke6-isticanje323"/>
        <w:tblW w:w="8439" w:type="dxa"/>
        <w:jc w:val="center"/>
        <w:tblLook w:val="04A0" w:firstRow="1" w:lastRow="0" w:firstColumn="1" w:lastColumn="0" w:noHBand="0" w:noVBand="1"/>
      </w:tblPr>
      <w:tblGrid>
        <w:gridCol w:w="1528"/>
        <w:gridCol w:w="2295"/>
        <w:gridCol w:w="3117"/>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rsidR="00A07D92" w:rsidRDefault="00A07D92">
      <w:pPr>
        <w:rPr>
          <w:u w:val="single"/>
        </w:rPr>
      </w:pPr>
    </w:p>
    <w:p w:rsidR="00A07D92" w:rsidRDefault="00495E63">
      <w:pPr>
        <w:rPr>
          <w:u w:val="single"/>
        </w:rPr>
      </w:pPr>
      <w:r>
        <w:rPr>
          <w:u w:val="single"/>
        </w:rPr>
        <w:t>Društvena stabilnost i politika</w:t>
      </w:r>
    </w:p>
    <w:p w:rsidR="00A07D92" w:rsidRDefault="00495E63">
      <w:pPr>
        <w:spacing w:after="0"/>
        <w:rPr>
          <w:b/>
          <w:color w:val="auto"/>
          <w:szCs w:val="20"/>
          <w:u w:val="single"/>
        </w:rPr>
      </w:pPr>
      <w:r>
        <w:rPr>
          <w:b/>
          <w:color w:val="auto"/>
          <w:szCs w:val="20"/>
          <w:u w:val="single"/>
        </w:rPr>
        <w:t xml:space="preserve">Posljedice na kritičnu infrastrukturu: </w:t>
      </w:r>
    </w:p>
    <w:p w:rsidR="00A07D92" w:rsidRDefault="00495E63">
      <w:pPr>
        <w:spacing w:before="120" w:after="120"/>
        <w:ind w:right="74"/>
        <w:rPr>
          <w:rStyle w:val="Jakoisticanje"/>
          <w:color w:val="54883D"/>
        </w:rPr>
      </w:pPr>
      <w:r>
        <w:rPr>
          <w:rStyle w:val="Jakoisticanje"/>
          <w:color w:val="54883D"/>
        </w:rPr>
        <w:t xml:space="preserve">Energetika </w:t>
      </w:r>
    </w:p>
    <w:p w:rsidR="00A07D92" w:rsidRDefault="00495E63">
      <w:r>
        <w:t>U slučaju potresa od VIº po MCS došlo bi do oštećenja elektroenergetskih objekata koja bi dovela do nestanka električne energije na području</w:t>
      </w:r>
      <w:r>
        <w:t xml:space="preserve"> grada Malog Lošinja, prekida u opskrbi vodom prekida komunikacija te prestanka proizvodnje i rada tvrtki na području Grada. </w:t>
      </w:r>
    </w:p>
    <w:p w:rsidR="00A07D92" w:rsidRDefault="00495E63">
      <w:r>
        <w:t>Obzirom na opremljenost i ekipiranost HEP-a sve posljedice bi trebale biti otklonjene unutar 48 sati čime funkcioniranje grada Mal</w:t>
      </w:r>
      <w:r>
        <w:t>og Lošinja neće biti dovedeno u pitanje. Ukoliko do otklanjanja problema ipak ne bi došlo u spomenutom vremenu, koristit će se alternativni načini dobivanja električne energije (agregati).</w:t>
      </w:r>
    </w:p>
    <w:p w:rsidR="00A07D92" w:rsidRDefault="00495E63">
      <w:pPr>
        <w:spacing w:before="120" w:after="120"/>
        <w:ind w:right="74"/>
        <w:rPr>
          <w:rStyle w:val="Jakoisticanje"/>
          <w:color w:val="54883D"/>
        </w:rPr>
      </w:pPr>
      <w:r>
        <w:rPr>
          <w:rStyle w:val="Jakoisticanje"/>
          <w:color w:val="54883D"/>
        </w:rPr>
        <w:t>Vodno gospodarstvo</w:t>
      </w:r>
    </w:p>
    <w:p w:rsidR="00A07D92" w:rsidRDefault="00495E63">
      <w:pPr>
        <w:pStyle w:val="OdlomakChar"/>
        <w:spacing w:before="120" w:after="120" w:line="276" w:lineRule="auto"/>
        <w:ind w:left="6" w:right="74" w:firstLine="0"/>
        <w:rPr>
          <w:rFonts w:cs="Arial"/>
          <w:sz w:val="22"/>
        </w:rPr>
      </w:pPr>
      <w:r>
        <w:rPr>
          <w:rFonts w:cs="Arial"/>
          <w:sz w:val="22"/>
        </w:rPr>
        <w:t xml:space="preserve">Ukoliko bi došlo do potresa VI° MCS ljestvice </w:t>
      </w:r>
      <w:r>
        <w:rPr>
          <w:rFonts w:cs="Arial"/>
          <w:sz w:val="22"/>
        </w:rPr>
        <w:t>moglo bi doći do manjeg zamućenja i zagađenja vode te kratkotrajnog prekida opskrbe vodom u naseljima na području Grada.</w:t>
      </w:r>
    </w:p>
    <w:p w:rsidR="00A07D92" w:rsidRDefault="00495E63">
      <w:pPr>
        <w:spacing w:before="120" w:after="120"/>
        <w:ind w:right="74"/>
        <w:rPr>
          <w:rStyle w:val="Jakoisticanje"/>
          <w:color w:val="54883D"/>
        </w:rPr>
      </w:pPr>
      <w:r>
        <w:rPr>
          <w:rStyle w:val="Jakoisticanje"/>
          <w:color w:val="54883D"/>
        </w:rPr>
        <w:t>Zdravstvo</w:t>
      </w:r>
    </w:p>
    <w:p w:rsidR="00A07D92" w:rsidRDefault="00495E63">
      <w:pPr>
        <w:spacing w:before="120" w:after="120"/>
        <w:ind w:right="74"/>
        <w:rPr>
          <w:rStyle w:val="Jakoisticanje"/>
          <w:rFonts w:eastAsiaTheme="minorHAnsi"/>
          <w:i w:val="0"/>
          <w:iCs w:val="0"/>
          <w:color w:val="000000" w:themeColor="text1"/>
        </w:rPr>
      </w:pPr>
      <w:r>
        <w:rPr>
          <w:rFonts w:eastAsiaTheme="minorHAnsi"/>
        </w:rPr>
        <w:t xml:space="preserve">Poteškoće u pružanja medicinskih usluga kao i moguća oštećenja zdravstvenih ustanova na području grada Malog Lošinja. Prekid </w:t>
      </w:r>
      <w:r>
        <w:rPr>
          <w:rFonts w:eastAsiaTheme="minorHAnsi"/>
        </w:rPr>
        <w:t>redovitog funkcioniranja trajao bi sve do sanacija šteta. Uspostava pružanja medicinskih usluga bi se organizirala na drugoj lokaciji. Smanjena zdravstvena skrb.</w:t>
      </w:r>
    </w:p>
    <w:p w:rsidR="00A07D92" w:rsidRDefault="00495E63">
      <w:pPr>
        <w:spacing w:before="120" w:after="120"/>
        <w:ind w:right="74"/>
        <w:rPr>
          <w:rStyle w:val="Jakoisticanje"/>
          <w:color w:val="54883D"/>
        </w:rPr>
      </w:pPr>
      <w:r>
        <w:rPr>
          <w:rStyle w:val="Jakoisticanje"/>
          <w:color w:val="54883D"/>
        </w:rPr>
        <w:t>Prijevoz opasnih tvari</w:t>
      </w:r>
    </w:p>
    <w:p w:rsidR="00A07D92" w:rsidRDefault="00495E63">
      <w:pPr>
        <w:rPr>
          <w:rFonts w:eastAsiaTheme="minorHAnsi"/>
        </w:rPr>
      </w:pPr>
      <w:r>
        <w:rPr>
          <w:rFonts w:eastAsiaTheme="minorHAnsi"/>
        </w:rPr>
        <w:t>Ukoliko dođe do potresa jačine VI</w:t>
      </w:r>
      <w:r>
        <w:t xml:space="preserve">° MCS može doći do nekontroliranog </w:t>
      </w:r>
      <w:proofErr w:type="spellStart"/>
      <w:r>
        <w:t>ispuštanaj</w:t>
      </w:r>
      <w:proofErr w:type="spellEnd"/>
      <w:r>
        <w:t xml:space="preserve"> opasnih tvari u zrak, vodu i tlo što može rezultirati nastankom požara, eksplozije, širenja toksičnih oblaka ili onečišćenja vode i tla. Mala je vjerojatnost nastanka nesreće opasnih tvari zbog sigurnog načina projektiranja spremišta opasnih tva</w:t>
      </w:r>
      <w:r>
        <w:t>ri.</w:t>
      </w:r>
    </w:p>
    <w:p w:rsidR="00A07D92" w:rsidRDefault="00495E63">
      <w:pPr>
        <w:rPr>
          <w:rStyle w:val="Jakoisticanje"/>
          <w:color w:val="54883D"/>
        </w:rPr>
      </w:pPr>
      <w:r>
        <w:rPr>
          <w:rStyle w:val="Jakoisticanje"/>
          <w:color w:val="54883D"/>
        </w:rPr>
        <w:t>Komunikacijska i informacijska tehnologija</w:t>
      </w:r>
    </w:p>
    <w:p w:rsidR="00A07D92" w:rsidRDefault="00495E63">
      <w:pPr>
        <w:spacing w:before="120" w:after="120"/>
        <w:ind w:right="74"/>
      </w:pPr>
      <w:r>
        <w:t>Mogući su kratkotrajni prekidi u radu fiksne telefonske mreže, TV odašiljača i TV signala, te smanjeni signali mobilne telefonije.</w:t>
      </w:r>
    </w:p>
    <w:p w:rsidR="00A07D92" w:rsidRDefault="00495E63">
      <w:pPr>
        <w:spacing w:before="120" w:after="120"/>
        <w:ind w:right="74"/>
        <w:rPr>
          <w:rStyle w:val="Jakoisticanje"/>
          <w:color w:val="54883D"/>
        </w:rPr>
      </w:pPr>
      <w:r>
        <w:rPr>
          <w:rStyle w:val="Jakoisticanje"/>
          <w:color w:val="54883D"/>
        </w:rPr>
        <w:t>Promet</w:t>
      </w:r>
    </w:p>
    <w:p w:rsidR="00A07D92" w:rsidRDefault="00495E63">
      <w:pPr>
        <w:spacing w:before="120" w:after="120"/>
        <w:ind w:right="74"/>
      </w:pPr>
      <w:r>
        <w:lastRenderedPageBreak/>
        <w:t>Predviđena snaga potresa može imati oštećenja cestovnih prometnica i kr</w:t>
      </w:r>
      <w:r>
        <w:t xml:space="preserve">atkotrajnog prekida cestovnog prometa. Može doći do odrona cesta na strmim kosinama i do mjestimičnih pukotina u cestama. Posljedice su prekid javnog prometa, povećan broj prometnih  nesreća, izolacija, prekid u distribuciji hrane i </w:t>
      </w:r>
      <w:proofErr w:type="spellStart"/>
      <w:r>
        <w:t>ljekova</w:t>
      </w:r>
      <w:proofErr w:type="spellEnd"/>
      <w:r>
        <w:t>, otežan dolazak</w:t>
      </w:r>
      <w:r>
        <w:t xml:space="preserve"> snaga civilne zaštite.</w:t>
      </w:r>
    </w:p>
    <w:p w:rsidR="00A07D92" w:rsidRDefault="00495E63">
      <w:pPr>
        <w:spacing w:before="120" w:after="120"/>
        <w:ind w:right="74"/>
        <w:rPr>
          <w:i/>
          <w:iCs/>
          <w:color w:val="54883D"/>
        </w:rPr>
      </w:pPr>
      <w:r>
        <w:rPr>
          <w:i/>
          <w:iCs/>
          <w:color w:val="54883D"/>
        </w:rPr>
        <w:t>Financije</w:t>
      </w:r>
    </w:p>
    <w:p w:rsidR="00A07D92" w:rsidRDefault="00495E63">
      <w:pPr>
        <w:spacing w:before="120" w:after="120"/>
        <w:ind w:right="74"/>
      </w:pPr>
      <w:r>
        <w:t>Može doći do oštećenja objekata, ali neće predstavljati veći problem obzirom da je riječ o manjim transakcijama i bankomat uslugama.</w:t>
      </w:r>
    </w:p>
    <w:p w:rsidR="00A07D92" w:rsidRDefault="00495E63">
      <w:pPr>
        <w:spacing w:before="120" w:after="120"/>
        <w:ind w:right="74"/>
        <w:rPr>
          <w:i/>
          <w:iCs/>
          <w:color w:val="54883D"/>
        </w:rPr>
      </w:pPr>
      <w:r>
        <w:rPr>
          <w:i/>
          <w:iCs/>
          <w:color w:val="54883D"/>
        </w:rPr>
        <w:t>Javne službe</w:t>
      </w:r>
    </w:p>
    <w:p w:rsidR="00A07D92" w:rsidRDefault="00495E63">
      <w:r>
        <w:rPr>
          <w:szCs w:val="20"/>
        </w:rPr>
        <w:t>Oštećenje objekata navedenih snaga uzrokovalo bi nemogućnost pravovremene re</w:t>
      </w:r>
      <w:r>
        <w:rPr>
          <w:szCs w:val="20"/>
        </w:rPr>
        <w:t xml:space="preserve">akcije snaga civilne zaštite koje ne bi bile u mogućnosti u potrebnoj mjeri izvršavati svoje redovite zadaće (pružanje </w:t>
      </w:r>
      <w:r>
        <w:t>zdravstvene zaštite, osiguranje javnog reda i mira, gašenje požara). Smanjene mogućnosti intervencija zbog uništenja dijela materijalno-t</w:t>
      </w:r>
      <w:r>
        <w:t>ehničkih sredstava.</w:t>
      </w:r>
    </w:p>
    <w:p w:rsidR="00A07D92" w:rsidRDefault="00A07D92">
      <w:pPr>
        <w:spacing w:before="120" w:after="120"/>
        <w:ind w:right="74"/>
        <w:rPr>
          <w:i/>
          <w:iCs/>
          <w:color w:val="54883D"/>
        </w:rPr>
      </w:pPr>
    </w:p>
    <w:p w:rsidR="00A07D92" w:rsidRDefault="00495E63">
      <w:pPr>
        <w:spacing w:before="120" w:after="120"/>
        <w:ind w:right="74"/>
        <w:rPr>
          <w:rStyle w:val="Jakoisticanje"/>
          <w:color w:val="54883D"/>
        </w:rPr>
      </w:pPr>
      <w:r>
        <w:rPr>
          <w:rStyle w:val="Jakoisticanje"/>
          <w:color w:val="54883D"/>
        </w:rPr>
        <w:t>Hrana</w:t>
      </w:r>
    </w:p>
    <w:p w:rsidR="00A07D92" w:rsidRDefault="00495E63">
      <w:pPr>
        <w:rPr>
          <w:rStyle w:val="Jakoisticanje"/>
          <w:i w:val="0"/>
          <w:iCs w:val="0"/>
          <w:color w:val="000000" w:themeColor="text1"/>
        </w:rPr>
      </w:pPr>
      <w:r>
        <w:t>Procjenjuje se da bi potres od VI stupnjeva po MCS mogao prouzročiti oštećenja na objektima za prodaju i proizvodnju hrane, što bi dovelo do manjih količina hrane.</w:t>
      </w:r>
    </w:p>
    <w:p w:rsidR="00A07D92" w:rsidRDefault="00495E63">
      <w:pPr>
        <w:spacing w:before="120" w:after="120"/>
        <w:ind w:right="74"/>
        <w:rPr>
          <w:rStyle w:val="Jakoisticanje"/>
          <w:color w:val="54883D"/>
        </w:rPr>
      </w:pPr>
      <w:r>
        <w:rPr>
          <w:rStyle w:val="Jakoisticanje"/>
          <w:color w:val="54883D"/>
        </w:rPr>
        <w:t>Nacionalni spomenici i vrijednosti</w:t>
      </w:r>
    </w:p>
    <w:p w:rsidR="00A07D92" w:rsidRDefault="00495E63">
      <w:pPr>
        <w:spacing w:before="120" w:after="120"/>
        <w:ind w:right="74"/>
        <w:rPr>
          <w:rFonts w:eastAsiaTheme="minorHAnsi"/>
        </w:rPr>
      </w:pPr>
      <w:r>
        <w:rPr>
          <w:rFonts w:eastAsiaTheme="minorHAnsi"/>
        </w:rPr>
        <w:t>U slučaju potresa od VIº po MC</w:t>
      </w:r>
      <w:r>
        <w:rPr>
          <w:rFonts w:eastAsiaTheme="minorHAnsi"/>
        </w:rPr>
        <w:t>S ljestvici pojedini objekti kao što su sakralni objekti, povijesne građevine i tradicionalne kuće pretrpjele bi određena oštećenja – pucanje prozorskih stakala, oštećenje krovišta</w:t>
      </w:r>
    </w:p>
    <w:p w:rsidR="00A07D92" w:rsidRDefault="00A07D92">
      <w:pPr>
        <w:pStyle w:val="Opisslike"/>
        <w:spacing w:after="0"/>
      </w:pPr>
    </w:p>
    <w:p w:rsidR="00A07D92" w:rsidRDefault="00495E63">
      <w:pPr>
        <w:pStyle w:val="Opisslike"/>
        <w:spacing w:after="0"/>
      </w:pPr>
      <w:r>
        <w:t xml:space="preserve">Tablica </w:t>
      </w:r>
      <w:r>
        <w:fldChar w:fldCharType="begin"/>
      </w:r>
      <w:r>
        <w:instrText>SEQ Tabela \* ARABIC</w:instrText>
      </w:r>
      <w:r>
        <w:fldChar w:fldCharType="separate"/>
      </w:r>
      <w:r>
        <w:t>27</w:t>
      </w:r>
      <w:r>
        <w:fldChar w:fldCharType="end"/>
      </w:r>
      <w:r>
        <w:t>. Vrijednost kriterija za posljedice na d</w:t>
      </w:r>
      <w:r>
        <w:t xml:space="preserve">ruštvenu stabilnost i politiku </w:t>
      </w:r>
    </w:p>
    <w:p w:rsidR="00A07D92" w:rsidRDefault="00495E63">
      <w:pPr>
        <w:pStyle w:val="Opisslike"/>
      </w:pPr>
      <w:r>
        <w:t>- oštećena kritična infrastruktura – potres</w:t>
      </w:r>
    </w:p>
    <w:tbl>
      <w:tblPr>
        <w:tblStyle w:val="ivopisnatablicareetke6-isticanje323"/>
        <w:tblW w:w="8439" w:type="dxa"/>
        <w:jc w:val="center"/>
        <w:tblLook w:val="04A0" w:firstRow="1" w:lastRow="0" w:firstColumn="1" w:lastColumn="0" w:noHBand="0" w:noVBand="1"/>
      </w:tblPr>
      <w:tblGrid>
        <w:gridCol w:w="1528"/>
        <w:gridCol w:w="2295"/>
        <w:gridCol w:w="3117"/>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rsidR="00A07D92" w:rsidRDefault="00A07D92">
      <w:pPr>
        <w:rPr>
          <w:rFonts w:eastAsiaTheme="minorHAnsi"/>
          <w:b/>
          <w:szCs w:val="22"/>
          <w:u w:val="single"/>
        </w:rPr>
      </w:pPr>
    </w:p>
    <w:p w:rsidR="00A07D92" w:rsidRDefault="00495E63">
      <w:pPr>
        <w:rPr>
          <w:rFonts w:eastAsiaTheme="minorHAnsi"/>
          <w:b/>
          <w:szCs w:val="22"/>
          <w:u w:val="single"/>
        </w:rPr>
      </w:pPr>
      <w:r>
        <w:rPr>
          <w:rFonts w:eastAsiaTheme="minorHAnsi"/>
          <w:b/>
          <w:szCs w:val="22"/>
          <w:u w:val="single"/>
        </w:rPr>
        <w:t>Posljedice po građevine javnog društvenog značaja:</w:t>
      </w:r>
    </w:p>
    <w:p w:rsidR="00A07D92" w:rsidRDefault="00495E63">
      <w:pPr>
        <w:rPr>
          <w:rFonts w:eastAsia="Calibri"/>
          <w:szCs w:val="22"/>
        </w:rPr>
      </w:pPr>
      <w:r>
        <w:rPr>
          <w:rFonts w:eastAsia="Calibri"/>
          <w:szCs w:val="22"/>
        </w:rPr>
        <w:t xml:space="preserve">Na području grada Malog Lošinja nalaze se osnovne škole, dječji vrtići, ambulante opće prakse, ordinacija medicine rada, stomatološka </w:t>
      </w:r>
      <w:r>
        <w:rPr>
          <w:rFonts w:eastAsia="Calibri"/>
          <w:szCs w:val="22"/>
        </w:rPr>
        <w:t>ambulanta, crkve te prostori gradske uprave i ugostiteljski objekti. Budući da se u tim prostorima kreće i borave veći broj građana u slučaju jačeg potresa moglo bi biti i stradalih osoba.</w:t>
      </w:r>
    </w:p>
    <w:p w:rsidR="00A07D92" w:rsidRDefault="00A07D92"/>
    <w:p w:rsidR="00A07D92" w:rsidRDefault="00495E63">
      <w:pPr>
        <w:pStyle w:val="Opisslike"/>
        <w:spacing w:after="0"/>
      </w:pPr>
      <w:r>
        <w:t xml:space="preserve">Tablica </w:t>
      </w:r>
      <w:r>
        <w:fldChar w:fldCharType="begin"/>
      </w:r>
      <w:r>
        <w:instrText>SEQ Tabela \* ARABIC</w:instrText>
      </w:r>
      <w:r>
        <w:fldChar w:fldCharType="separate"/>
      </w:r>
      <w:r>
        <w:t>28</w:t>
      </w:r>
      <w:r>
        <w:fldChar w:fldCharType="end"/>
      </w:r>
      <w:r>
        <w:t>. Vrijednost kriterija za posljed</w:t>
      </w:r>
      <w:r>
        <w:t>ice na društvenu stabilnost i politiku</w:t>
      </w:r>
    </w:p>
    <w:p w:rsidR="00A07D92" w:rsidRDefault="00495E63">
      <w:pPr>
        <w:pStyle w:val="Opisslike"/>
      </w:pPr>
      <w:r>
        <w:t>- štete/gubitci na ustanovama/građevinama javnog društvenog značaja - potres</w:t>
      </w:r>
    </w:p>
    <w:tbl>
      <w:tblPr>
        <w:tblStyle w:val="ivopisnatablicareetke6-isticanje323"/>
        <w:tblW w:w="8439" w:type="dxa"/>
        <w:jc w:val="center"/>
        <w:tblLook w:val="04A0" w:firstRow="1" w:lastRow="0" w:firstColumn="1" w:lastColumn="0" w:noHBand="0" w:noVBand="1"/>
      </w:tblPr>
      <w:tblGrid>
        <w:gridCol w:w="1528"/>
        <w:gridCol w:w="2295"/>
        <w:gridCol w:w="3117"/>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lastRenderedPageBreak/>
              <w:t>KATEGORIJA</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 xml:space="preserve">919.266,10 </w:t>
            </w:r>
            <w:r>
              <w:rPr>
                <w:color w:val="auto"/>
                <w:sz w:val="20"/>
                <w:szCs w:val="20"/>
              </w:rPr>
              <w:t>–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rsidR="00A07D92" w:rsidRDefault="00A07D92">
      <w:pPr>
        <w:jc w:val="center"/>
      </w:pPr>
    </w:p>
    <w:p w:rsidR="00A07D92" w:rsidRDefault="00495E63">
      <w:pPr>
        <w:pStyle w:val="Opisslike"/>
      </w:pPr>
      <w:r>
        <w:t xml:space="preserve">Tablica </w:t>
      </w:r>
      <w:r>
        <w:fldChar w:fldCharType="begin"/>
      </w:r>
      <w:r>
        <w:instrText>SEQ Tabela \* ARABIC</w:instrText>
      </w:r>
      <w:r>
        <w:fldChar w:fldCharType="separate"/>
      </w:r>
      <w:r>
        <w:t>29</w:t>
      </w:r>
      <w:r>
        <w:fldChar w:fldCharType="end"/>
      </w:r>
      <w:r>
        <w:t>. Vrijednost kriterija za društvenu stabilnost i politiku - zbirno – potres</w:t>
      </w:r>
    </w:p>
    <w:tbl>
      <w:tblPr>
        <w:tblStyle w:val="ivopisnatablicareetke6-isticanje31"/>
        <w:tblW w:w="8217" w:type="dxa"/>
        <w:jc w:val="center"/>
        <w:tblLook w:val="04A0" w:firstRow="1" w:lastRow="0" w:firstColumn="1" w:lastColumn="0" w:noHBand="0" w:noVBand="1"/>
      </w:tblPr>
      <w:tblGrid>
        <w:gridCol w:w="1557"/>
        <w:gridCol w:w="2108"/>
        <w:gridCol w:w="2834"/>
        <w:gridCol w:w="1718"/>
      </w:tblGrid>
      <w:tr w:rsidR="00A07D92" w:rsidTr="00A07D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jc w:val="center"/>
              <w:rPr>
                <w:b w:val="0"/>
                <w:sz w:val="20"/>
              </w:rPr>
            </w:pPr>
            <w:r>
              <w:rPr>
                <w:color w:val="76923C" w:themeColor="accent3" w:themeShade="BF"/>
                <w:sz w:val="20"/>
              </w:rPr>
              <w:t>KATEGORIJA</w:t>
            </w:r>
          </w:p>
        </w:tc>
        <w:tc>
          <w:tcPr>
            <w:tcW w:w="21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Pr>
                <w:color w:val="76923C" w:themeColor="accent3" w:themeShade="BF"/>
                <w:sz w:val="20"/>
              </w:rPr>
              <w:t>KRITIČNA INFRASTRUKTURA</w:t>
            </w:r>
          </w:p>
        </w:tc>
        <w:tc>
          <w:tcPr>
            <w:tcW w:w="28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Pr>
                <w:color w:val="76923C" w:themeColor="accent3" w:themeShade="BF"/>
                <w:sz w:val="20"/>
              </w:rPr>
              <w:t>USTANOVE/GRAĐEVINE</w:t>
            </w:r>
            <w:r>
              <w:rPr>
                <w:color w:val="76923C" w:themeColor="accent3" w:themeShade="BF"/>
                <w:sz w:val="20"/>
              </w:rPr>
              <w:t xml:space="preserve"> JAVNOG DRUŠTVENOG ZNAČAJA</w:t>
            </w:r>
          </w:p>
        </w:tc>
        <w:tc>
          <w:tcPr>
            <w:tcW w:w="171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Pr>
                <w:color w:val="76923C" w:themeColor="accent3" w:themeShade="BF"/>
                <w:sz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1.</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171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2.</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x</w:t>
            </w: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x</w:t>
            </w:r>
          </w:p>
        </w:tc>
        <w:tc>
          <w:tcPr>
            <w:tcW w:w="171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3.</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171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4.</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171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5.</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171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r>
    </w:tbl>
    <w:p w:rsidR="00A07D92" w:rsidRDefault="00A07D92">
      <w:pPr>
        <w:rPr>
          <w:rStyle w:val="Jakoisticanje"/>
          <w:color w:val="54883D"/>
        </w:rPr>
      </w:pPr>
    </w:p>
    <w:p w:rsidR="00A07D92" w:rsidRDefault="00A07D92">
      <w:pPr>
        <w:rPr>
          <w:rStyle w:val="Jakoisticanje"/>
          <w:color w:val="54883D"/>
        </w:rPr>
      </w:pPr>
    </w:p>
    <w:p w:rsidR="00A07D92" w:rsidRDefault="00495E63">
      <w:pPr>
        <w:rPr>
          <w:i/>
          <w:iCs/>
          <w:color w:val="54883D"/>
        </w:rPr>
      </w:pPr>
      <w:r>
        <w:rPr>
          <w:rStyle w:val="Jakoisticanje"/>
          <w:color w:val="54883D"/>
        </w:rPr>
        <w:t>Vjerojatnost događaja</w:t>
      </w:r>
    </w:p>
    <w:p w:rsidR="00A07D92" w:rsidRDefault="00495E63">
      <w:r>
        <w:t xml:space="preserve">Odabir scenarija odgovara potresnom djelovanju prema </w:t>
      </w:r>
      <w:r>
        <w:rPr>
          <w:i/>
          <w:iCs/>
        </w:rPr>
        <w:t xml:space="preserve">Karti potresnih područja </w:t>
      </w:r>
      <w:r>
        <w:t>s prikazom poredbenih vršnih ubrzanja tla za povratni period od 475 godina.</w:t>
      </w:r>
    </w:p>
    <w:p w:rsidR="00A07D92" w:rsidRDefault="00495E63">
      <w:pPr>
        <w:pStyle w:val="Opisslike"/>
      </w:pPr>
      <w:r>
        <w:t xml:space="preserve">Tablica </w:t>
      </w:r>
      <w:r>
        <w:fldChar w:fldCharType="begin"/>
      </w:r>
      <w:r>
        <w:instrText>SEQ Tabela \* ARABIC</w:instrText>
      </w:r>
      <w:r>
        <w:fldChar w:fldCharType="separate"/>
      </w:r>
      <w:r>
        <w:t>30</w:t>
      </w:r>
      <w:r>
        <w:fldChar w:fldCharType="end"/>
      </w:r>
      <w:r>
        <w:t>. Vjerojatnost/frekvencija - potres</w:t>
      </w:r>
    </w:p>
    <w:tbl>
      <w:tblPr>
        <w:tblStyle w:val="ivopisnatablicareetke6-isticanje31"/>
        <w:tblW w:w="9493" w:type="dxa"/>
        <w:tblLook w:val="04A0" w:firstRow="1" w:lastRow="0" w:firstColumn="1" w:lastColumn="0" w:noHBand="0" w:noVBand="1"/>
      </w:tblPr>
      <w:tblGrid>
        <w:gridCol w:w="1554"/>
        <w:gridCol w:w="1701"/>
        <w:gridCol w:w="1841"/>
        <w:gridCol w:w="2977"/>
        <w:gridCol w:w="1420"/>
      </w:tblGrid>
      <w:tr w:rsidR="00A07D92" w:rsidTr="00A07D92">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val="0"/>
                <w:sz w:val="20"/>
                <w:szCs w:val="20"/>
              </w:rPr>
            </w:pPr>
            <w:r>
              <w:rPr>
                <w:color w:val="76923C" w:themeColor="accent3" w:themeShade="BF"/>
                <w:sz w:val="20"/>
                <w:szCs w:val="20"/>
              </w:rPr>
              <w:t>KATEGORIJA</w:t>
            </w:r>
          </w:p>
        </w:tc>
        <w:tc>
          <w:tcPr>
            <w:tcW w:w="7939" w:type="dxa"/>
            <w:gridSpan w:val="4"/>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Pr>
                <w:color w:val="76923C" w:themeColor="accent3" w:themeShade="BF"/>
                <w:sz w:val="20"/>
                <w:szCs w:val="20"/>
              </w:rPr>
              <w:t>VJEROJATNOST/FREKVENCIJA</w:t>
            </w:r>
          </w:p>
        </w:tc>
      </w:tr>
      <w:tr w:rsidR="00A07D92" w:rsidTr="00A07D92">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554"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rPr>
                <w:b w:val="0"/>
                <w:color w:val="76923C" w:themeColor="accent3" w:themeShade="BF"/>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KVALITATIVNO</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VJEROJATNOST</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FREKVENCIJA</w:t>
            </w:r>
          </w:p>
        </w:tc>
        <w:tc>
          <w:tcPr>
            <w:tcW w:w="1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ODABRANO</w:t>
            </w:r>
          </w:p>
        </w:tc>
      </w:tr>
      <w:tr w:rsidR="00A07D92" w:rsidTr="00A07D92">
        <w:trPr>
          <w:trHeight w:val="259"/>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szCs w:val="20"/>
              </w:rPr>
            </w:pPr>
            <w:r>
              <w:rPr>
                <w:color w:val="76923C" w:themeColor="accent3" w:themeShade="BF"/>
                <w:sz w:val="20"/>
                <w:szCs w:val="20"/>
              </w:rPr>
              <w:t>1</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&lt;1 %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Pr>
                <w:b/>
                <w:color w:val="76923C" w:themeColor="accent3" w:themeShade="BF"/>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szCs w:val="20"/>
              </w:rPr>
            </w:pPr>
            <w:r>
              <w:rPr>
                <w:color w:val="76923C" w:themeColor="accent3" w:themeShade="BF"/>
                <w:sz w:val="20"/>
                <w:szCs w:val="20"/>
              </w:rPr>
              <w:t>2</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59"/>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szCs w:val="20"/>
              </w:rPr>
            </w:pPr>
            <w:r>
              <w:rPr>
                <w:color w:val="76923C" w:themeColor="accent3" w:themeShade="BF"/>
                <w:sz w:val="20"/>
                <w:szCs w:val="20"/>
              </w:rPr>
              <w:t>3</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szCs w:val="20"/>
              </w:rPr>
            </w:pPr>
            <w:r>
              <w:rPr>
                <w:color w:val="76923C" w:themeColor="accent3" w:themeShade="BF"/>
                <w:sz w:val="20"/>
                <w:szCs w:val="20"/>
              </w:rPr>
              <w:t>4</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75"/>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b w:val="0"/>
                <w:sz w:val="20"/>
                <w:szCs w:val="20"/>
              </w:rPr>
            </w:pPr>
            <w:r>
              <w:rPr>
                <w:color w:val="76923C" w:themeColor="accent3" w:themeShade="BF"/>
                <w:sz w:val="20"/>
                <w:szCs w:val="20"/>
              </w:rPr>
              <w:t>5</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szCs w:val="20"/>
              </w:rPr>
            </w:pPr>
          </w:p>
        </w:tc>
      </w:tr>
    </w:tbl>
    <w:p w:rsidR="00A07D92" w:rsidRDefault="00495E63">
      <w:pPr>
        <w:spacing w:before="0" w:after="200"/>
        <w:jc w:val="left"/>
        <w:rPr>
          <w:highlight w:val="yellow"/>
        </w:rPr>
      </w:pPr>
      <w:r>
        <w:br w:type="page"/>
      </w:r>
    </w:p>
    <w:p w:rsidR="00A07D92" w:rsidRDefault="00495E63">
      <w:pPr>
        <w:pStyle w:val="Naslov3"/>
      </w:pPr>
      <w:bookmarkStart w:id="135" w:name="_Toc136522818"/>
      <w:bookmarkStart w:id="136" w:name="_Toc9596640"/>
      <w:bookmarkStart w:id="137" w:name="_Toc496856102"/>
      <w:bookmarkStart w:id="138" w:name="_Toc492284946"/>
      <w:r>
        <w:lastRenderedPageBreak/>
        <w:t>6.1.7 Podaci, izvori i metode proračuna</w:t>
      </w:r>
      <w:bookmarkEnd w:id="135"/>
      <w:bookmarkEnd w:id="136"/>
      <w:bookmarkEnd w:id="137"/>
      <w:bookmarkEnd w:id="138"/>
    </w:p>
    <w:p w:rsidR="00A07D92" w:rsidRDefault="00495E63">
      <w:r>
        <w:t>Prilikom izrade scenarija korišteni su podaci iz:</w:t>
      </w:r>
    </w:p>
    <w:p w:rsidR="00A07D92" w:rsidRDefault="00495E63">
      <w:pPr>
        <w:pStyle w:val="Odlomakpopisa"/>
        <w:numPr>
          <w:ilvl w:val="0"/>
          <w:numId w:val="20"/>
        </w:numPr>
        <w:spacing w:line="276" w:lineRule="auto"/>
        <w:rPr>
          <w:sz w:val="22"/>
        </w:rPr>
      </w:pPr>
      <w:r>
        <w:rPr>
          <w:sz w:val="22"/>
        </w:rPr>
        <w:t xml:space="preserve">Procjene rizika od velikih nesreća za Grad Mali Lošinj, 2018., </w:t>
      </w:r>
    </w:p>
    <w:p w:rsidR="00A07D92" w:rsidRDefault="00495E63">
      <w:pPr>
        <w:pStyle w:val="Odlomakpopisa"/>
        <w:numPr>
          <w:ilvl w:val="0"/>
          <w:numId w:val="20"/>
        </w:numPr>
        <w:spacing w:line="276" w:lineRule="auto"/>
        <w:rPr>
          <w:sz w:val="22"/>
        </w:rPr>
      </w:pPr>
      <w:r>
        <w:rPr>
          <w:sz w:val="22"/>
        </w:rPr>
        <w:t xml:space="preserve">Procjene rizika od katastrofa za Republiku Hrvatsku, </w:t>
      </w:r>
    </w:p>
    <w:p w:rsidR="00A07D92" w:rsidRDefault="00495E63">
      <w:pPr>
        <w:pStyle w:val="Odlomakpopisa"/>
        <w:numPr>
          <w:ilvl w:val="0"/>
          <w:numId w:val="20"/>
        </w:numPr>
        <w:spacing w:line="276" w:lineRule="auto"/>
        <w:rPr>
          <w:sz w:val="22"/>
        </w:rPr>
      </w:pPr>
      <w:r>
        <w:rPr>
          <w:sz w:val="22"/>
        </w:rPr>
        <w:t xml:space="preserve">Procjene ugroženosti od požara i tehnoloških eksplozija Grada Mali Lošinj, 2020., </w:t>
      </w:r>
    </w:p>
    <w:p w:rsidR="00A07D92" w:rsidRDefault="00495E63">
      <w:pPr>
        <w:pStyle w:val="Odlomakpopisa"/>
        <w:numPr>
          <w:ilvl w:val="0"/>
          <w:numId w:val="20"/>
        </w:numPr>
        <w:spacing w:line="276" w:lineRule="auto"/>
        <w:rPr>
          <w:sz w:val="22"/>
        </w:rPr>
      </w:pPr>
      <w:proofErr w:type="spellStart"/>
      <w:r>
        <w:rPr>
          <w:sz w:val="22"/>
        </w:rPr>
        <w:t>European</w:t>
      </w:r>
      <w:proofErr w:type="spellEnd"/>
      <w:r>
        <w:rPr>
          <w:sz w:val="22"/>
        </w:rPr>
        <w:t xml:space="preserve"> </w:t>
      </w:r>
      <w:proofErr w:type="spellStart"/>
      <w:r>
        <w:rPr>
          <w:sz w:val="22"/>
        </w:rPr>
        <w:t>Macroseismic</w:t>
      </w:r>
      <w:proofErr w:type="spellEnd"/>
      <w:r>
        <w:rPr>
          <w:sz w:val="22"/>
        </w:rPr>
        <w:t xml:space="preserve"> </w:t>
      </w:r>
      <w:proofErr w:type="spellStart"/>
      <w:r>
        <w:rPr>
          <w:sz w:val="22"/>
        </w:rPr>
        <w:t>Scale</w:t>
      </w:r>
      <w:proofErr w:type="spellEnd"/>
      <w:r>
        <w:rPr>
          <w:sz w:val="22"/>
        </w:rPr>
        <w:t xml:space="preserve"> 1998, GFZ </w:t>
      </w:r>
      <w:proofErr w:type="spellStart"/>
      <w:r>
        <w:rPr>
          <w:sz w:val="22"/>
        </w:rPr>
        <w:t>Potsdam</w:t>
      </w:r>
      <w:proofErr w:type="spellEnd"/>
      <w:r>
        <w:rPr>
          <w:sz w:val="22"/>
        </w:rPr>
        <w:t xml:space="preserve">, </w:t>
      </w:r>
      <w:proofErr w:type="spellStart"/>
      <w:r>
        <w:rPr>
          <w:sz w:val="22"/>
        </w:rPr>
        <w:t>Germany</w:t>
      </w:r>
      <w:proofErr w:type="spellEnd"/>
      <w:r>
        <w:rPr>
          <w:sz w:val="22"/>
        </w:rPr>
        <w:t xml:space="preserve"> </w:t>
      </w:r>
      <w:r>
        <w:rPr>
          <w:sz w:val="22"/>
        </w:rPr>
        <w:t>1998.,</w:t>
      </w:r>
    </w:p>
    <w:p w:rsidR="00A07D92" w:rsidRDefault="00495E63">
      <w:pPr>
        <w:pStyle w:val="Odlomakpopisa"/>
        <w:numPr>
          <w:ilvl w:val="0"/>
          <w:numId w:val="20"/>
        </w:numPr>
        <w:spacing w:line="276" w:lineRule="auto"/>
        <w:rPr>
          <w:sz w:val="22"/>
        </w:rPr>
      </w:pPr>
      <w:r>
        <w:rPr>
          <w:sz w:val="22"/>
        </w:rPr>
        <w:t>Državnog zavoda za statistiku,</w:t>
      </w:r>
    </w:p>
    <w:p w:rsidR="00A07D92" w:rsidRDefault="00495E63">
      <w:pPr>
        <w:pStyle w:val="Odlomakpopisa"/>
        <w:numPr>
          <w:ilvl w:val="0"/>
          <w:numId w:val="20"/>
        </w:numPr>
        <w:spacing w:line="276" w:lineRule="auto"/>
        <w:rPr>
          <w:sz w:val="22"/>
        </w:rPr>
      </w:pPr>
      <w:r>
        <w:rPr>
          <w:sz w:val="22"/>
        </w:rPr>
        <w:t>https://www.pmf.unizg.hr/geof/seizmoloska_sluzba,</w:t>
      </w:r>
    </w:p>
    <w:p w:rsidR="00A07D92" w:rsidRDefault="00495E63">
      <w:pPr>
        <w:pStyle w:val="Odlomakpopisa"/>
        <w:numPr>
          <w:ilvl w:val="0"/>
          <w:numId w:val="20"/>
        </w:numPr>
        <w:spacing w:line="276" w:lineRule="auto"/>
        <w:rPr>
          <w:sz w:val="22"/>
        </w:rPr>
      </w:pPr>
      <w:r>
        <w:rPr>
          <w:sz w:val="22"/>
        </w:rPr>
        <w:t>Grada Mali Lošinj.</w:t>
      </w:r>
    </w:p>
    <w:p w:rsidR="00A07D92" w:rsidRDefault="00A07D92">
      <w:pPr>
        <w:spacing w:before="0" w:after="200"/>
        <w:jc w:val="left"/>
        <w:rPr>
          <w:highlight w:val="yellow"/>
        </w:rPr>
      </w:pPr>
    </w:p>
    <w:p w:rsidR="00A07D92" w:rsidRDefault="00495E63">
      <w:pPr>
        <w:spacing w:before="0" w:after="200"/>
        <w:jc w:val="left"/>
        <w:rPr>
          <w:highlight w:val="yellow"/>
        </w:rPr>
      </w:pPr>
      <w:r>
        <w:br w:type="page"/>
      </w:r>
    </w:p>
    <w:p w:rsidR="00A07D92" w:rsidRDefault="00495E63">
      <w:pPr>
        <w:pStyle w:val="Naslov3"/>
      </w:pPr>
      <w:bookmarkStart w:id="139" w:name="_Toc136522819"/>
      <w:bookmarkStart w:id="140" w:name="_Toc9596641"/>
      <w:bookmarkStart w:id="141" w:name="_Toc496856103"/>
      <w:bookmarkStart w:id="142" w:name="_Toc492284947"/>
      <w:r>
        <w:lastRenderedPageBreak/>
        <w:t>6.1.8 Matrice rizika</w:t>
      </w:r>
      <w:bookmarkEnd w:id="139"/>
      <w:bookmarkEnd w:id="140"/>
      <w:bookmarkEnd w:id="141"/>
      <w:bookmarkEnd w:id="142"/>
    </w:p>
    <w:p w:rsidR="00A07D92" w:rsidRDefault="00495E63">
      <w:r>
        <w:t>Rizik: Potres</w:t>
      </w:r>
    </w:p>
    <w:p w:rsidR="00A07D92" w:rsidRDefault="00495E63">
      <w:r>
        <w:t xml:space="preserve">Naziv scenarija: Podrhtavanje tla na području grada Malog Lošinja usred turističke sezone uzrokovano potresom </w:t>
      </w:r>
      <w:r>
        <w:t>jačine VI</w:t>
      </w:r>
      <w:r>
        <w:rPr>
          <w:vertAlign w:val="superscript"/>
        </w:rPr>
        <w:t>o</w:t>
      </w:r>
      <w:r>
        <w:t xml:space="preserve"> MCS ljestvice</w:t>
      </w:r>
    </w:p>
    <w:p w:rsidR="00A07D92" w:rsidRDefault="00495E63">
      <w:pPr>
        <w:rPr>
          <w:rFonts w:eastAsia="Courier New"/>
        </w:rPr>
      </w:pPr>
      <w:r>
        <w:rPr>
          <w:noProof/>
          <w:lang w:eastAsia="hr-HR"/>
        </w:rPr>
        <w:drawing>
          <wp:inline distT="0" distB="0" distL="0" distR="0">
            <wp:extent cx="5210175" cy="4443730"/>
            <wp:effectExtent l="0" t="0" r="0" b="0"/>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1"/>
                    <pic:cNvPicPr>
                      <a:picLocks noChangeAspect="1" noChangeArrowheads="1"/>
                    </pic:cNvPicPr>
                  </pic:nvPicPr>
                  <pic:blipFill>
                    <a:blip r:embed="rId98"/>
                    <a:stretch>
                      <a:fillRect/>
                    </a:stretch>
                  </pic:blipFill>
                  <pic:spPr bwMode="auto">
                    <a:xfrm>
                      <a:off x="0" y="0"/>
                      <a:ext cx="5210175" cy="4443730"/>
                    </a:xfrm>
                    <a:prstGeom prst="rect">
                      <a:avLst/>
                    </a:prstGeom>
                  </pic:spPr>
                </pic:pic>
              </a:graphicData>
            </a:graphic>
          </wp:inline>
        </w:drawing>
      </w:r>
      <w:r>
        <w:rPr>
          <w:noProof/>
          <w:lang w:eastAsia="hr-HR"/>
        </w:rPr>
        <mc:AlternateContent>
          <mc:Choice Requires="wps">
            <w:drawing>
              <wp:anchor distT="0" distB="0" distL="0" distR="0" simplePos="0" relativeHeight="15" behindDoc="0" locked="0" layoutInCell="1" allowOverlap="1" wp14:anchorId="1E4A7AD8">
                <wp:simplePos x="0" y="0"/>
                <wp:positionH relativeFrom="column">
                  <wp:posOffset>1252220</wp:posOffset>
                </wp:positionH>
                <wp:positionV relativeFrom="paragraph">
                  <wp:posOffset>1188720</wp:posOffset>
                </wp:positionV>
                <wp:extent cx="314960" cy="253365"/>
                <wp:effectExtent l="19050" t="0" r="28575" b="13970"/>
                <wp:wrapNone/>
                <wp:docPr id="59" name="Hexagon 33"/>
                <wp:cNvGraphicFramePr/>
                <a:graphic xmlns:a="http://schemas.openxmlformats.org/drawingml/2006/main">
                  <a:graphicData uri="http://schemas.microsoft.com/office/word/2010/wordprocessingShape">
                    <wps:wsp>
                      <wps:cNvSpPr/>
                      <wps:spPr>
                        <a:xfrm>
                          <a:off x="0" y="0"/>
                          <a:ext cx="314280" cy="252720"/>
                        </a:xfrm>
                        <a:prstGeom prst="hexagon">
                          <a:avLst>
                            <a:gd name="adj" fmla="val 30594"/>
                            <a:gd name="vf" fmla="val 115470"/>
                          </a:avLst>
                        </a:prstGeom>
                        <a:solidFill>
                          <a:schemeClr val="accent1"/>
                        </a:solidFill>
                        <a:ln w="9360">
                          <a:solidFill>
                            <a:schemeClr val="accent1"/>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type id="shapetype_9" coordsize="21600,21600" o:spt="9" adj="5400" path="m,10800l@1@6l@3@6l21600,10800l@3@7l@1@7xe">
                <v:stroke joinstyle="miter"/>
                <v:formulas>
                  <v:f eqn="val 10800"/>
                  <v:f eqn="val #0"/>
                  <v:f eqn="prod 1 24942 2"/>
                  <v:f eqn="sum width 0 @1"/>
                  <v:f eqn="sumangle 0 60 0"/>
                  <v:f eqn="sin @2 @4"/>
                  <v:f eqn="sum 10800 0 @5"/>
                  <v:f eqn="sum 10800 @5 0"/>
                  <v:f eqn="prod @0 -1 2"/>
                  <v:f eqn="sum @1 @8 0"/>
                  <v:f eqn="if @9 4 2"/>
                  <v:f eqn="if @9 3 2"/>
                  <v:f eqn="if @9 @8 0"/>
                  <v:f eqn="sum @1 @12 0"/>
                  <v:f eqn="prod 1 @13 @8"/>
                  <v:f eqn="prod @14 @11 -1"/>
                  <v:f eqn="sum @10 @15 0"/>
                  <v:f eqn="prod 2700 @16 3"/>
                  <v:f eqn="sum width 0 @17"/>
                  <v:f eqn="sum height 0 @17"/>
                </v:formulas>
                <v:path gradientshapeok="t" o:connecttype="rect" textboxrect="@17,@17,@18,@19"/>
                <v:handles>
                  <v:h position="@1,0"/>
                </v:handles>
              </v:shapetype>
              <v:shape id="shape_0" ID="Hexagon 33" fillcolor="#4f81bd" stroked="t" style="position:absolute;margin-left:98.6pt;margin-top:93.6pt;width:24.7pt;height:19.85pt" wp14:anchorId="1E4A7AD8" type="shapetype_9">
                <w10:wrap type="none"/>
                <v:fill o:detectmouseclick="t" type="solid" color2="#b07e42"/>
                <v:stroke color="#4f81bd" weight="9360" joinstyle="miter" endcap="flat"/>
              </v:shape>
            </w:pict>
          </mc:Fallback>
        </mc:AlternateContent>
      </w:r>
    </w:p>
    <w:p w:rsidR="00A07D92" w:rsidRDefault="00A07D92">
      <w:pPr>
        <w:spacing w:before="0" w:after="200"/>
        <w:jc w:val="left"/>
      </w:pPr>
    </w:p>
    <w:p w:rsidR="00A07D92" w:rsidRDefault="00495E63">
      <w:pPr>
        <w:jc w:val="center"/>
        <w:rPr>
          <w:b/>
          <w:sz w:val="20"/>
        </w:rPr>
      </w:pPr>
      <w:r>
        <w:rPr>
          <w:b/>
          <w:sz w:val="20"/>
        </w:rPr>
        <w:t>Život i zdravlje ljudi</w:t>
      </w:r>
      <w:r>
        <w:rPr>
          <w:b/>
          <w:sz w:val="20"/>
        </w:rPr>
        <w:tab/>
      </w:r>
      <w:r>
        <w:rPr>
          <w:b/>
          <w:sz w:val="20"/>
        </w:rPr>
        <w:tab/>
        <w:t xml:space="preserve">       Gospodarstvo</w:t>
      </w:r>
      <w:r>
        <w:rPr>
          <w:b/>
          <w:sz w:val="20"/>
        </w:rPr>
        <w:tab/>
        <w:t xml:space="preserve">          Društvena stabilnost i politika</w:t>
      </w:r>
    </w:p>
    <w:p w:rsidR="00A07D92" w:rsidRDefault="00495E63">
      <w:pPr>
        <w:jc w:val="center"/>
      </w:pPr>
      <w:r>
        <w:rPr>
          <w:noProof/>
          <w:lang w:eastAsia="hr-HR"/>
        </w:rPr>
        <mc:AlternateContent>
          <mc:Choice Requires="wps">
            <w:drawing>
              <wp:anchor distT="0" distB="0" distL="0" distR="0" simplePos="0" relativeHeight="16" behindDoc="0" locked="0" layoutInCell="1" allowOverlap="1" wp14:anchorId="5B266255">
                <wp:simplePos x="0" y="0"/>
                <wp:positionH relativeFrom="column">
                  <wp:posOffset>528955</wp:posOffset>
                </wp:positionH>
                <wp:positionV relativeFrom="paragraph">
                  <wp:posOffset>246380</wp:posOffset>
                </wp:positionV>
                <wp:extent cx="111760" cy="91440"/>
                <wp:effectExtent l="19050" t="0" r="41275" b="23495"/>
                <wp:wrapNone/>
                <wp:docPr id="61" name="Hexagon 107"/>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chemeClr val="accent1"/>
                        </a:solidFill>
                        <a:ln w="9360">
                          <a:solidFill>
                            <a:schemeClr val="accent1"/>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107" fillcolor="#4f81bd" stroked="t" style="position:absolute;margin-left:41.65pt;margin-top:19.4pt;width:8.7pt;height:7.1pt" wp14:anchorId="5B266255"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17" behindDoc="0" locked="0" layoutInCell="1" allowOverlap="1" wp14:anchorId="47DB35FF">
                <wp:simplePos x="0" y="0"/>
                <wp:positionH relativeFrom="column">
                  <wp:posOffset>2350135</wp:posOffset>
                </wp:positionH>
                <wp:positionV relativeFrom="paragraph">
                  <wp:posOffset>635000</wp:posOffset>
                </wp:positionV>
                <wp:extent cx="111760" cy="91440"/>
                <wp:effectExtent l="19050" t="0" r="41275" b="23495"/>
                <wp:wrapNone/>
                <wp:docPr id="62" name="Hexagon 108"/>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chemeClr val="accent1"/>
                        </a:solidFill>
                        <a:ln w="9360">
                          <a:solidFill>
                            <a:schemeClr val="accent1"/>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108" fillcolor="#4f81bd" stroked="t" style="position:absolute;margin-left:185.05pt;margin-top:50pt;width:8.7pt;height:7.1pt" wp14:anchorId="47DB35FF"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18" behindDoc="0" locked="0" layoutInCell="1" allowOverlap="1" wp14:anchorId="5B32DF0C">
                <wp:simplePos x="0" y="0"/>
                <wp:positionH relativeFrom="column">
                  <wp:posOffset>4276725</wp:posOffset>
                </wp:positionH>
                <wp:positionV relativeFrom="paragraph">
                  <wp:posOffset>448945</wp:posOffset>
                </wp:positionV>
                <wp:extent cx="111760" cy="91440"/>
                <wp:effectExtent l="19050" t="0" r="41275" b="23495"/>
                <wp:wrapNone/>
                <wp:docPr id="63" name="Hexagon 36"/>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chemeClr val="accent1"/>
                        </a:solidFill>
                        <a:ln w="9360">
                          <a:solidFill>
                            <a:schemeClr val="accent1"/>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36" fillcolor="#4f81bd" stroked="t" style="position:absolute;margin-left:336.75pt;margin-top:35.35pt;width:8.7pt;height:7.1pt" wp14:anchorId="5B32DF0C" type="shapetype_9">
                <w10:wrap type="none"/>
                <v:fill o:detectmouseclick="t" type="solid" color2="#b07e42"/>
                <v:stroke color="#4f81bd" weight="9360" joinstyle="miter" endcap="flat"/>
              </v:shape>
            </w:pict>
          </mc:Fallback>
        </mc:AlternateContent>
      </w:r>
      <w:r>
        <w:rPr>
          <w:noProof/>
          <w:lang w:eastAsia="hr-HR"/>
        </w:rPr>
        <w:drawing>
          <wp:inline distT="0" distB="0" distL="0" distR="0">
            <wp:extent cx="1828800" cy="1554480"/>
            <wp:effectExtent l="0" t="0" r="0" b="0"/>
            <wp:docPr id="6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13"/>
                    <pic:cNvPicPr>
                      <a:picLocks noChangeAspect="1" noChangeArrowheads="1"/>
                    </pic:cNvPicPr>
                  </pic:nvPicPr>
                  <pic:blipFill>
                    <a:blip r:embed="rId99"/>
                    <a:stretch>
                      <a:fillRect/>
                    </a:stretch>
                  </pic:blipFill>
                  <pic:spPr bwMode="auto">
                    <a:xfrm>
                      <a:off x="0" y="0"/>
                      <a:ext cx="1828800" cy="1554480"/>
                    </a:xfrm>
                    <a:prstGeom prst="rect">
                      <a:avLst/>
                    </a:prstGeom>
                  </pic:spPr>
                </pic:pic>
              </a:graphicData>
            </a:graphic>
          </wp:inline>
        </w:drawing>
      </w:r>
      <w:r>
        <w:rPr>
          <w:noProof/>
          <w:lang w:eastAsia="hr-HR"/>
        </w:rPr>
        <w:drawing>
          <wp:inline distT="0" distB="0" distL="0" distR="0">
            <wp:extent cx="1905000" cy="1619250"/>
            <wp:effectExtent l="0" t="0" r="0" b="0"/>
            <wp:docPr id="6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4"/>
                    <pic:cNvPicPr>
                      <a:picLocks noChangeAspect="1" noChangeArrowheads="1"/>
                    </pic:cNvPicPr>
                  </pic:nvPicPr>
                  <pic:blipFill>
                    <a:blip r:embed="rId100"/>
                    <a:stretch>
                      <a:fillRect/>
                    </a:stretch>
                  </pic:blipFill>
                  <pic:spPr bwMode="auto">
                    <a:xfrm>
                      <a:off x="0" y="0"/>
                      <a:ext cx="1905000" cy="1619250"/>
                    </a:xfrm>
                    <a:prstGeom prst="rect">
                      <a:avLst/>
                    </a:prstGeom>
                  </pic:spPr>
                </pic:pic>
              </a:graphicData>
            </a:graphic>
          </wp:inline>
        </w:drawing>
      </w:r>
      <w:r>
        <w:rPr>
          <w:noProof/>
          <w:lang w:eastAsia="hr-HR"/>
        </w:rPr>
        <w:drawing>
          <wp:inline distT="0" distB="0" distL="0" distR="0">
            <wp:extent cx="1906270" cy="1620520"/>
            <wp:effectExtent l="0" t="0" r="0" b="0"/>
            <wp:docPr id="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pic:cNvPicPr>
                      <a:picLocks noChangeAspect="1" noChangeArrowheads="1"/>
                    </pic:cNvPicPr>
                  </pic:nvPicPr>
                  <pic:blipFill>
                    <a:blip r:embed="rId101"/>
                    <a:stretch>
                      <a:fillRect/>
                    </a:stretch>
                  </pic:blipFill>
                  <pic:spPr bwMode="auto">
                    <a:xfrm>
                      <a:off x="0" y="0"/>
                      <a:ext cx="1906270" cy="1620520"/>
                    </a:xfrm>
                    <a:prstGeom prst="rect">
                      <a:avLst/>
                    </a:prstGeom>
                  </pic:spPr>
                </pic:pic>
              </a:graphicData>
            </a:graphic>
          </wp:inline>
        </w:drawing>
      </w:r>
    </w:p>
    <w:p w:rsidR="00A07D92" w:rsidRDefault="00A07D92">
      <w:pPr>
        <w:jc w:val="center"/>
        <w:rPr>
          <w:highlight w:val="yellow"/>
        </w:rPr>
      </w:pPr>
    </w:p>
    <w:p w:rsidR="00A07D92" w:rsidRDefault="00A07D92">
      <w:pPr>
        <w:jc w:val="center"/>
        <w:rPr>
          <w:highlight w:val="yellow"/>
        </w:rPr>
      </w:pPr>
    </w:p>
    <w:p w:rsidR="00A07D92" w:rsidRDefault="00A07D92">
      <w:pPr>
        <w:jc w:val="center"/>
        <w:rPr>
          <w:highlight w:val="yellow"/>
        </w:rPr>
      </w:pPr>
    </w:p>
    <w:p w:rsidR="00A07D92" w:rsidRDefault="00495E63">
      <w:pPr>
        <w:rPr>
          <w:u w:val="single"/>
        </w:rPr>
      </w:pPr>
      <w:r>
        <w:rPr>
          <w:u w:val="single"/>
        </w:rPr>
        <w:lastRenderedPageBreak/>
        <w:t>METODOLOGIJA I NEPOUZDANOST</w:t>
      </w:r>
    </w:p>
    <w:p w:rsidR="00A07D92" w:rsidRDefault="00A07D92">
      <w:pPr>
        <w:rPr>
          <w:u w:val="single"/>
        </w:rPr>
      </w:pPr>
    </w:p>
    <w:tbl>
      <w:tblPr>
        <w:tblStyle w:val="Reetkatablice"/>
        <w:tblW w:w="9634" w:type="dxa"/>
        <w:tblLook w:val="04A0" w:firstRow="1" w:lastRow="0" w:firstColumn="1" w:lastColumn="0" w:noHBand="0" w:noVBand="1"/>
      </w:tblPr>
      <w:tblGrid>
        <w:gridCol w:w="2241"/>
        <w:gridCol w:w="984"/>
        <w:gridCol w:w="6409"/>
      </w:tblGrid>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rFonts w:ascii="Times New Roman" w:hAnsi="Times New Roman" w:cs="Times New Roman"/>
                <w:sz w:val="20"/>
                <w:lang w:eastAsia="hr-HR"/>
              </w:rPr>
              <w:t>Ne postoji dovoljna količina statističkih, iskustva stručnjaka i ostalih podataka te pouzdana metodol</w:t>
            </w:r>
            <w:r>
              <w:rPr>
                <w:rFonts w:ascii="Times New Roman" w:hAnsi="Times New Roman" w:cs="Times New Roman"/>
                <w:sz w:val="20"/>
                <w:lang w:eastAsia="hr-HR"/>
              </w:rPr>
              <w:t>ogija procjene posljedica zbog čega se očekuju značajnije greške</w:t>
            </w: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rPr>
            </w:pPr>
            <w:r>
              <w:rPr>
                <w:rFonts w:ascii="Times New Roman" w:hAnsi="Times New Roman" w:cs="Times New Roman"/>
                <w:b/>
                <w:sz w:val="20"/>
                <w:lang w:eastAsia="hr-HR"/>
              </w:rPr>
              <w:t>Vrlo visoka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4</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lang w:eastAsia="hr-HR"/>
              </w:rPr>
            </w:pPr>
          </w:p>
        </w:tc>
      </w:tr>
      <w:tr w:rsidR="00A07D92">
        <w:trPr>
          <w:trHeight w:val="468"/>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rPr>
            </w:pPr>
            <w:r>
              <w:rPr>
                <w:rFonts w:ascii="Times New Roman" w:hAnsi="Times New Roman" w:cs="Times New Roman"/>
                <w:b/>
                <w:sz w:val="20"/>
                <w:lang w:eastAsia="hr-HR"/>
              </w:rPr>
              <w:t>Visoka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3</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rPr>
            </w:pPr>
            <w:r>
              <w:rPr>
                <w:rFonts w:ascii="Times New Roman" w:hAnsi="Times New Roman" w:cs="Times New Roman"/>
                <w:b/>
                <w:sz w:val="20"/>
                <w:lang w:eastAsia="hr-HR"/>
              </w:rPr>
              <w:t>X</w:t>
            </w:r>
          </w:p>
        </w:tc>
      </w:tr>
      <w:tr w:rsidR="00A07D92">
        <w:trPr>
          <w:trHeight w:val="306"/>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rPr>
            </w:pPr>
            <w:r>
              <w:rPr>
                <w:rFonts w:ascii="Times New Roman" w:hAnsi="Times New Roman" w:cs="Times New Roman"/>
                <w:b/>
                <w:sz w:val="20"/>
                <w:lang w:eastAsia="hr-HR"/>
              </w:rPr>
              <w:t>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2</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lang w:eastAsia="hr-HR"/>
              </w:rPr>
            </w:pP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rPr>
            </w:pPr>
            <w:r>
              <w:rPr>
                <w:rFonts w:ascii="Times New Roman" w:hAnsi="Times New Roman" w:cs="Times New Roman"/>
                <w:b/>
                <w:sz w:val="20"/>
                <w:lang w:eastAsia="hr-HR"/>
              </w:rPr>
              <w:t>Vrlo 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line="240" w:lineRule="auto"/>
              <w:jc w:val="center"/>
              <w:rPr>
                <w:sz w:val="20"/>
              </w:rPr>
            </w:pPr>
            <w:r>
              <w:rPr>
                <w:rFonts w:ascii="Times New Roman" w:hAnsi="Times New Roman" w:cs="Times New Roman"/>
                <w:sz w:val="20"/>
                <w:lang w:eastAsia="hr-HR"/>
              </w:rPr>
              <w:t>1</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lang w:eastAsia="hr-HR"/>
              </w:rPr>
            </w:pPr>
          </w:p>
        </w:tc>
      </w:tr>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rFonts w:ascii="Times New Roman" w:hAnsi="Times New Roman" w:cs="Times New Roman"/>
                <w:sz w:val="20"/>
                <w:lang w:eastAsia="hr-HR"/>
              </w:rPr>
              <w:t xml:space="preserve">Postoji dovoljna količina statističkih podataka, iskustva stručnjaka i pouzdana </w:t>
            </w:r>
            <w:r>
              <w:rPr>
                <w:rFonts w:ascii="Times New Roman" w:hAnsi="Times New Roman" w:cs="Times New Roman"/>
                <w:sz w:val="20"/>
                <w:lang w:eastAsia="hr-HR"/>
              </w:rPr>
              <w:t>metodologija procjene zbog čega je pojavljivanje grešaka vrlo malo vjerojatno</w:t>
            </w:r>
          </w:p>
        </w:tc>
      </w:tr>
    </w:tbl>
    <w:p w:rsidR="00A07D92" w:rsidRDefault="00A07D92">
      <w:pPr>
        <w:jc w:val="center"/>
      </w:pPr>
    </w:p>
    <w:p w:rsidR="00A07D92" w:rsidRDefault="00495E63">
      <w:pPr>
        <w:pStyle w:val="Naslov3"/>
      </w:pPr>
      <w:bookmarkStart w:id="143" w:name="_Toc136522820"/>
      <w:bookmarkStart w:id="144" w:name="_Toc9596642"/>
      <w:r>
        <w:t>6.1.9 Karte</w:t>
      </w:r>
      <w:bookmarkEnd w:id="143"/>
      <w:bookmarkEnd w:id="144"/>
    </w:p>
    <w:p w:rsidR="00A07D92" w:rsidRDefault="00495E63">
      <w:pPr>
        <w:pStyle w:val="Naslov4"/>
      </w:pPr>
      <w:r>
        <w:t>6.1.9.1 Karta rizika</w:t>
      </w:r>
    </w:p>
    <w:tbl>
      <w:tblPr>
        <w:tblStyle w:val="Reetkatablice"/>
        <w:tblpPr w:leftFromText="180" w:rightFromText="180" w:vertAnchor="text" w:horzAnchor="page" w:tblpX="9360" w:tblpY="1365"/>
        <w:tblW w:w="1980" w:type="dxa"/>
        <w:tblLook w:val="04A0" w:firstRow="1" w:lastRow="0" w:firstColumn="1" w:lastColumn="0" w:noHBand="0" w:noVBand="1"/>
      </w:tblPr>
      <w:tblGrid>
        <w:gridCol w:w="845"/>
        <w:gridCol w:w="1135"/>
      </w:tblGrid>
      <w:tr w:rsidR="00A07D92">
        <w:trPr>
          <w:trHeight w:val="310"/>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RIZIK</w:t>
            </w:r>
          </w:p>
        </w:tc>
      </w:tr>
      <w:tr w:rsidR="00A07D92">
        <w:trPr>
          <w:trHeight w:val="354"/>
        </w:trPr>
        <w:tc>
          <w:tcPr>
            <w:tcW w:w="845"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Vrlo visok</w:t>
            </w:r>
          </w:p>
        </w:tc>
      </w:tr>
      <w:tr w:rsidR="00A07D92">
        <w:trPr>
          <w:trHeight w:val="286"/>
        </w:trPr>
        <w:tc>
          <w:tcPr>
            <w:tcW w:w="845"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Visok </w:t>
            </w:r>
          </w:p>
        </w:tc>
      </w:tr>
      <w:tr w:rsidR="00A07D92">
        <w:trPr>
          <w:trHeight w:val="262"/>
        </w:trPr>
        <w:tc>
          <w:tcPr>
            <w:tcW w:w="845"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 </w:t>
            </w:r>
          </w:p>
        </w:tc>
      </w:tr>
      <w:tr w:rsidR="00A07D92">
        <w:trPr>
          <w:trHeight w:val="280"/>
        </w:trPr>
        <w:tc>
          <w:tcPr>
            <w:tcW w:w="845" w:type="dxa"/>
            <w:shd w:val="clear" w:color="auto" w:fill="92D05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Nizak </w:t>
            </w:r>
          </w:p>
        </w:tc>
      </w:tr>
    </w:tbl>
    <w:p w:rsidR="00A07D92" w:rsidRDefault="00495E63">
      <w:pPr>
        <w:jc w:val="center"/>
        <w:rPr>
          <w:lang w:bidi="en-US"/>
        </w:rPr>
      </w:pPr>
      <w:r>
        <w:rPr>
          <w:noProof/>
          <w:lang w:eastAsia="hr-HR"/>
        </w:rPr>
        <w:drawing>
          <wp:inline distT="0" distB="0" distL="0" distR="0">
            <wp:extent cx="3330575" cy="4488180"/>
            <wp:effectExtent l="0" t="0" r="0" b="0"/>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
                    <pic:cNvPicPr>
                      <a:picLocks noChangeAspect="1" noChangeArrowheads="1"/>
                    </pic:cNvPicPr>
                  </pic:nvPicPr>
                  <pic:blipFill>
                    <a:blip r:embed="rId102"/>
                    <a:stretch>
                      <a:fillRect/>
                    </a:stretch>
                  </pic:blipFill>
                  <pic:spPr bwMode="auto">
                    <a:xfrm>
                      <a:off x="0" y="0"/>
                      <a:ext cx="3330575" cy="448818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7</w:t>
      </w:r>
      <w:r>
        <w:rPr>
          <w:rFonts w:eastAsia="Calibri"/>
          <w:bCs/>
          <w:sz w:val="20"/>
          <w:szCs w:val="18"/>
        </w:rPr>
        <w:fldChar w:fldCharType="end"/>
      </w:r>
      <w:r>
        <w:rPr>
          <w:rFonts w:eastAsia="Calibri"/>
          <w:bCs/>
          <w:color w:val="54883D"/>
          <w:sz w:val="20"/>
          <w:szCs w:val="18"/>
          <w:lang w:bidi="en-US"/>
        </w:rPr>
        <w:t>. Karta rizika – potres</w:t>
      </w:r>
    </w:p>
    <w:p w:rsidR="00A07D92" w:rsidRDefault="00A07D92">
      <w:pPr>
        <w:rPr>
          <w:lang w:bidi="en-US"/>
        </w:rPr>
      </w:pPr>
    </w:p>
    <w:p w:rsidR="00A07D92" w:rsidRDefault="00A07D92">
      <w:pPr>
        <w:rPr>
          <w:highlight w:val="yellow"/>
          <w:lang w:bidi="en-US"/>
        </w:rPr>
      </w:pPr>
    </w:p>
    <w:p w:rsidR="00A07D92" w:rsidRDefault="00495E63">
      <w:pPr>
        <w:pStyle w:val="Naslov4"/>
      </w:pPr>
      <w:r>
        <w:lastRenderedPageBreak/>
        <w:t>6.1.9.2 Karta posljedica</w:t>
      </w:r>
    </w:p>
    <w:tbl>
      <w:tblPr>
        <w:tblStyle w:val="Reetkatablice"/>
        <w:tblpPr w:leftFromText="180" w:rightFromText="180" w:vertAnchor="text" w:horzAnchor="page" w:tblpX="9252" w:tblpY="1475"/>
        <w:tblW w:w="2123" w:type="dxa"/>
        <w:tblLook w:val="04A0" w:firstRow="1" w:lastRow="0" w:firstColumn="1" w:lastColumn="0" w:noHBand="0" w:noVBand="1"/>
      </w:tblPr>
      <w:tblGrid>
        <w:gridCol w:w="846"/>
        <w:gridCol w:w="1277"/>
      </w:tblGrid>
      <w:tr w:rsidR="00A07D92">
        <w:trPr>
          <w:trHeight w:val="310"/>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POSLJEDICE</w:t>
            </w:r>
          </w:p>
        </w:tc>
      </w:tr>
      <w:tr w:rsidR="00A07D92">
        <w:trPr>
          <w:trHeight w:val="211"/>
        </w:trPr>
        <w:tc>
          <w:tcPr>
            <w:tcW w:w="846"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Katastrofalne </w:t>
            </w:r>
          </w:p>
        </w:tc>
      </w:tr>
      <w:tr w:rsidR="00A07D92">
        <w:trPr>
          <w:trHeight w:val="273"/>
        </w:trPr>
        <w:tc>
          <w:tcPr>
            <w:tcW w:w="846"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Značajne </w:t>
            </w:r>
          </w:p>
        </w:tc>
      </w:tr>
      <w:tr w:rsidR="00A07D92">
        <w:trPr>
          <w:trHeight w:val="278"/>
        </w:trPr>
        <w:tc>
          <w:tcPr>
            <w:tcW w:w="846"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Umjerene </w:t>
            </w:r>
          </w:p>
        </w:tc>
      </w:tr>
      <w:tr w:rsidR="00A07D92">
        <w:trPr>
          <w:trHeight w:val="267"/>
        </w:trPr>
        <w:tc>
          <w:tcPr>
            <w:tcW w:w="846" w:type="dxa"/>
            <w:shd w:val="clear" w:color="auto" w:fill="CCFF99"/>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Malene </w:t>
            </w:r>
          </w:p>
        </w:tc>
      </w:tr>
      <w:tr w:rsidR="00A07D92">
        <w:trPr>
          <w:trHeight w:val="286"/>
        </w:trPr>
        <w:tc>
          <w:tcPr>
            <w:tcW w:w="846" w:type="dxa"/>
            <w:shd w:val="clear" w:color="auto" w:fill="C6D9F1" w:themeFill="text2" w:themeFillTint="33"/>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Neznatne </w:t>
            </w:r>
          </w:p>
        </w:tc>
      </w:tr>
    </w:tbl>
    <w:p w:rsidR="00A07D92" w:rsidRDefault="00495E63">
      <w:pPr>
        <w:jc w:val="center"/>
        <w:rPr>
          <w:lang w:bidi="en-US"/>
        </w:rPr>
      </w:pPr>
      <w:r>
        <w:rPr>
          <w:noProof/>
          <w:lang w:eastAsia="hr-HR"/>
        </w:rPr>
        <w:drawing>
          <wp:inline distT="0" distB="0" distL="0" distR="0">
            <wp:extent cx="3328670" cy="4486910"/>
            <wp:effectExtent l="0" t="0" r="0" b="0"/>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0"/>
                    <pic:cNvPicPr>
                      <a:picLocks noChangeAspect="1" noChangeArrowheads="1"/>
                    </pic:cNvPicPr>
                  </pic:nvPicPr>
                  <pic:blipFill>
                    <a:blip r:embed="rId103"/>
                    <a:stretch>
                      <a:fillRect/>
                    </a:stretch>
                  </pic:blipFill>
                  <pic:spPr bwMode="auto">
                    <a:xfrm>
                      <a:off x="0" y="0"/>
                      <a:ext cx="3328670" cy="448691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8</w:t>
      </w:r>
      <w:r>
        <w:rPr>
          <w:rFonts w:eastAsia="Calibri"/>
          <w:bCs/>
          <w:sz w:val="20"/>
          <w:szCs w:val="18"/>
        </w:rPr>
        <w:fldChar w:fldCharType="end"/>
      </w:r>
      <w:r>
        <w:rPr>
          <w:rFonts w:eastAsia="Calibri"/>
          <w:bCs/>
          <w:color w:val="54883D"/>
          <w:sz w:val="20"/>
          <w:szCs w:val="18"/>
          <w:lang w:bidi="en-US"/>
        </w:rPr>
        <w:t>. Karta posljedica – potres</w:t>
      </w: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495E63">
      <w:pPr>
        <w:keepNext/>
        <w:ind w:left="576" w:hanging="576"/>
        <w:outlineLvl w:val="1"/>
        <w:rPr>
          <w:bCs/>
          <w:color w:val="54883D"/>
          <w:sz w:val="32"/>
        </w:rPr>
      </w:pPr>
      <w:bookmarkStart w:id="145" w:name="_Toc496179680"/>
      <w:bookmarkStart w:id="146" w:name="_Toc136522821"/>
      <w:bookmarkStart w:id="147" w:name="_Toc13472007"/>
      <w:bookmarkStart w:id="148" w:name="_Toc10450129"/>
      <w:bookmarkEnd w:id="145"/>
      <w:r>
        <w:rPr>
          <w:bCs/>
          <w:color w:val="54883D"/>
          <w:sz w:val="32"/>
        </w:rPr>
        <w:lastRenderedPageBreak/>
        <w:t xml:space="preserve">6.2 Epidemija i </w:t>
      </w:r>
      <w:proofErr w:type="spellStart"/>
      <w:r>
        <w:rPr>
          <w:bCs/>
          <w:color w:val="54883D"/>
          <w:sz w:val="32"/>
        </w:rPr>
        <w:t>pandemija</w:t>
      </w:r>
      <w:bookmarkEnd w:id="146"/>
      <w:bookmarkEnd w:id="147"/>
      <w:bookmarkEnd w:id="148"/>
      <w:proofErr w:type="spellEnd"/>
    </w:p>
    <w:p w:rsidR="00A07D92" w:rsidRDefault="00495E63">
      <w:pPr>
        <w:keepNext/>
        <w:keepLines/>
        <w:spacing w:before="40"/>
        <w:outlineLvl w:val="2"/>
        <w:rPr>
          <w:rFonts w:cstheme="majorBidi"/>
          <w:color w:val="54883D"/>
          <w:sz w:val="28"/>
          <w:lang w:bidi="en-US"/>
        </w:rPr>
      </w:pPr>
      <w:bookmarkStart w:id="149" w:name="_Toc136522822"/>
      <w:bookmarkStart w:id="150" w:name="_Toc13472008"/>
      <w:bookmarkStart w:id="151" w:name="_Toc10450130"/>
      <w:r>
        <w:rPr>
          <w:rFonts w:cstheme="majorBidi"/>
          <w:color w:val="54883D"/>
          <w:sz w:val="28"/>
          <w:lang w:bidi="en-US"/>
        </w:rPr>
        <w:t>6.2.1 Naziv scenarija</w:t>
      </w:r>
      <w:bookmarkEnd w:id="149"/>
      <w:bookmarkEnd w:id="150"/>
      <w:bookmarkEnd w:id="151"/>
    </w:p>
    <w:tbl>
      <w:tblPr>
        <w:tblStyle w:val="ivopisnatablicareetke6-isticanje3100"/>
        <w:tblW w:w="9060" w:type="dxa"/>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Naziv scenarija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b w:val="0"/>
              </w:rPr>
            </w:pPr>
            <w:proofErr w:type="spellStart"/>
            <w:r>
              <w:rPr>
                <w:b w:val="0"/>
                <w:color w:val="76923C" w:themeColor="accent3" w:themeShade="BF"/>
                <w:szCs w:val="20"/>
              </w:rPr>
              <w:t>Pandemija</w:t>
            </w:r>
            <w:proofErr w:type="spellEnd"/>
            <w:r>
              <w:rPr>
                <w:b w:val="0"/>
                <w:color w:val="76923C" w:themeColor="accent3" w:themeShade="BF"/>
                <w:szCs w:val="20"/>
              </w:rPr>
              <w:t xml:space="preserve"> uzrokovana novim </w:t>
            </w:r>
            <w:proofErr w:type="spellStart"/>
            <w:r>
              <w:rPr>
                <w:b w:val="0"/>
                <w:color w:val="76923C" w:themeColor="accent3" w:themeShade="BF"/>
                <w:szCs w:val="20"/>
              </w:rPr>
              <w:t>koronavirusom</w:t>
            </w:r>
            <w:proofErr w:type="spellEnd"/>
            <w:r>
              <w:rPr>
                <w:b w:val="0"/>
                <w:color w:val="76923C" w:themeColor="accent3" w:themeShade="BF"/>
                <w:szCs w:val="20"/>
              </w:rPr>
              <w:t xml:space="preserve"> (SARS-</w:t>
            </w:r>
            <w:proofErr w:type="spellStart"/>
            <w:r>
              <w:rPr>
                <w:b w:val="0"/>
                <w:color w:val="76923C" w:themeColor="accent3" w:themeShade="BF"/>
                <w:szCs w:val="20"/>
              </w:rPr>
              <w:t>CoV</w:t>
            </w:r>
            <w:proofErr w:type="spellEnd"/>
            <w:r>
              <w:rPr>
                <w:b w:val="0"/>
                <w:color w:val="76923C" w:themeColor="accent3" w:themeShade="BF"/>
                <w:szCs w:val="20"/>
              </w:rPr>
              <w:t>-2)</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Grupa rizika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rPr>
            </w:pPr>
            <w:r>
              <w:rPr>
                <w:b w:val="0"/>
                <w:color w:val="76923C" w:themeColor="accent3" w:themeShade="BF"/>
              </w:rPr>
              <w:t xml:space="preserve">Epidemije i </w:t>
            </w:r>
            <w:proofErr w:type="spellStart"/>
            <w:r>
              <w:rPr>
                <w:b w:val="0"/>
                <w:color w:val="76923C" w:themeColor="accent3" w:themeShade="BF"/>
              </w:rPr>
              <w:t>pandemije</w:t>
            </w:r>
            <w:proofErr w:type="spellEnd"/>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Rizik</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rPr>
            </w:pPr>
            <w:r>
              <w:rPr>
                <w:b w:val="0"/>
                <w:color w:val="76923C" w:themeColor="accent3" w:themeShade="BF"/>
              </w:rPr>
              <w:t xml:space="preserve">Epidemije i </w:t>
            </w:r>
            <w:proofErr w:type="spellStart"/>
            <w:r>
              <w:rPr>
                <w:b w:val="0"/>
                <w:color w:val="76923C" w:themeColor="accent3" w:themeShade="BF"/>
              </w:rPr>
              <w:t>pandemije</w:t>
            </w:r>
            <w:proofErr w:type="spellEnd"/>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Radna skupina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620"/>
              </w:tabs>
              <w:spacing w:after="0" w:line="240" w:lineRule="auto"/>
              <w:rPr>
                <w:color w:val="auto"/>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Grada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color w:val="auto"/>
                <w:highlight w:val="yellow"/>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A07D92"/>
    <w:p w:rsidR="00A07D92" w:rsidRDefault="00495E63">
      <w:pPr>
        <w:keepNext/>
        <w:keepLines/>
        <w:spacing w:before="40"/>
        <w:outlineLvl w:val="2"/>
        <w:rPr>
          <w:rFonts w:cstheme="majorBidi"/>
          <w:color w:val="54883D"/>
          <w:sz w:val="28"/>
          <w:lang w:bidi="en-US"/>
        </w:rPr>
      </w:pPr>
      <w:bookmarkStart w:id="152" w:name="_Toc136522823"/>
      <w:bookmarkStart w:id="153" w:name="_Toc13472009"/>
      <w:bookmarkStart w:id="154" w:name="_Toc10450131"/>
      <w:r>
        <w:rPr>
          <w:rFonts w:cstheme="majorBidi"/>
          <w:color w:val="54883D"/>
          <w:sz w:val="28"/>
          <w:lang w:bidi="en-US"/>
        </w:rPr>
        <w:t>6.2.2 Uvod</w:t>
      </w:r>
      <w:bookmarkEnd w:id="152"/>
      <w:bookmarkEnd w:id="153"/>
      <w:bookmarkEnd w:id="154"/>
    </w:p>
    <w:p w:rsidR="00A07D92" w:rsidRDefault="00495E63">
      <w:pPr>
        <w:rPr>
          <w:lang w:eastAsia="hr-HR" w:bidi="my-MM"/>
        </w:rPr>
      </w:pPr>
      <w:proofErr w:type="spellStart"/>
      <w:r>
        <w:rPr>
          <w:lang w:eastAsia="hr-HR" w:bidi="my-MM"/>
        </w:rPr>
        <w:t>Koronavirus</w:t>
      </w:r>
      <w:proofErr w:type="spellEnd"/>
      <w:r>
        <w:rPr>
          <w:lang w:eastAsia="hr-HR" w:bidi="my-MM"/>
        </w:rPr>
        <w:t xml:space="preserve"> je respiratorni virus koji se primarno širi u kontaktu s inficiranom osobom putem kapljica iz usta i </w:t>
      </w:r>
      <w:r>
        <w:rPr>
          <w:lang w:eastAsia="hr-HR" w:bidi="my-MM"/>
        </w:rPr>
        <w:t>nosa koje nastaju prilikom govora, kašljanja i kihanja i koje izravno padaju na sluznicu nosa, usta ili očiju druge osobe. Kapljice mogu pasti i na okolne površine, a preko njih se najčešće rukama virus prenese dalje. Zato je važno da svatko prakticira res</w:t>
      </w:r>
      <w:r>
        <w:rPr>
          <w:lang w:eastAsia="hr-HR" w:bidi="my-MM"/>
        </w:rPr>
        <w:t xml:space="preserve">piratornu higijenu te održava fizičku udaljenost od drugih osoba od najmanje 2 metra. U bliskom kontaktu preporuča se korištenje maski za lice koje prekrivaju usta i nos. Redovitim i pravilnim pranjem ruku smanjujemo mogućnost </w:t>
      </w:r>
      <w:proofErr w:type="spellStart"/>
      <w:r>
        <w:rPr>
          <w:lang w:eastAsia="hr-HR" w:bidi="my-MM"/>
        </w:rPr>
        <w:t>zaražavanja</w:t>
      </w:r>
      <w:proofErr w:type="spellEnd"/>
      <w:r>
        <w:rPr>
          <w:lang w:eastAsia="hr-HR" w:bidi="my-MM"/>
        </w:rPr>
        <w:t>.</w:t>
      </w:r>
    </w:p>
    <w:p w:rsidR="00A07D92" w:rsidRDefault="00495E63">
      <w:pPr>
        <w:rPr>
          <w:lang w:eastAsia="hr-HR" w:bidi="my-MM"/>
        </w:rPr>
      </w:pPr>
      <w:r>
        <w:rPr>
          <w:lang w:eastAsia="hr-HR" w:bidi="my-MM"/>
        </w:rPr>
        <w:t xml:space="preserve">Novi </w:t>
      </w:r>
      <w:proofErr w:type="spellStart"/>
      <w:r>
        <w:rPr>
          <w:lang w:eastAsia="hr-HR" w:bidi="my-MM"/>
        </w:rPr>
        <w:t>koronavirus</w:t>
      </w:r>
      <w:proofErr w:type="spellEnd"/>
      <w:r>
        <w:rPr>
          <w:lang w:eastAsia="hr-HR" w:bidi="my-MM"/>
        </w:rPr>
        <w:t xml:space="preserve"> koji je  otkriven u Kini krajem 2019. godine, nazvan je SARS-</w:t>
      </w:r>
      <w:proofErr w:type="spellStart"/>
      <w:r>
        <w:rPr>
          <w:lang w:eastAsia="hr-HR" w:bidi="my-MM"/>
        </w:rPr>
        <w:t>CoV</w:t>
      </w:r>
      <w:proofErr w:type="spellEnd"/>
      <w:r>
        <w:rPr>
          <w:lang w:eastAsia="hr-HR" w:bidi="my-MM"/>
        </w:rPr>
        <w:t xml:space="preserve">-2 (Severe </w:t>
      </w:r>
      <w:proofErr w:type="spellStart"/>
      <w:r>
        <w:rPr>
          <w:lang w:eastAsia="hr-HR" w:bidi="my-MM"/>
        </w:rPr>
        <w:t>Acute</w:t>
      </w:r>
      <w:proofErr w:type="spellEnd"/>
      <w:r>
        <w:rPr>
          <w:lang w:eastAsia="hr-HR" w:bidi="my-MM"/>
        </w:rPr>
        <w:t xml:space="preserve"> </w:t>
      </w:r>
      <w:proofErr w:type="spellStart"/>
      <w:r>
        <w:rPr>
          <w:lang w:eastAsia="hr-HR" w:bidi="my-MM"/>
        </w:rPr>
        <w:t>Respiratory</w:t>
      </w:r>
      <w:proofErr w:type="spellEnd"/>
      <w:r>
        <w:rPr>
          <w:lang w:eastAsia="hr-HR" w:bidi="my-MM"/>
        </w:rPr>
        <w:t xml:space="preserve"> </w:t>
      </w:r>
      <w:proofErr w:type="spellStart"/>
      <w:r>
        <w:rPr>
          <w:lang w:eastAsia="hr-HR" w:bidi="my-MM"/>
        </w:rPr>
        <w:t>Syndrome</w:t>
      </w:r>
      <w:proofErr w:type="spellEnd"/>
      <w:r>
        <w:rPr>
          <w:lang w:eastAsia="hr-HR" w:bidi="my-MM"/>
        </w:rPr>
        <w:t xml:space="preserve"> </w:t>
      </w:r>
      <w:proofErr w:type="spellStart"/>
      <w:r>
        <w:rPr>
          <w:lang w:eastAsia="hr-HR" w:bidi="my-MM"/>
        </w:rPr>
        <w:t>Coronavirus</w:t>
      </w:r>
      <w:proofErr w:type="spellEnd"/>
      <w:r>
        <w:rPr>
          <w:lang w:eastAsia="hr-HR" w:bidi="my-MM"/>
        </w:rPr>
        <w:t xml:space="preserve">-2). Radi se o novom soju </w:t>
      </w:r>
      <w:proofErr w:type="spellStart"/>
      <w:r>
        <w:rPr>
          <w:lang w:eastAsia="hr-HR" w:bidi="my-MM"/>
        </w:rPr>
        <w:t>koronavirusa</w:t>
      </w:r>
      <w:proofErr w:type="spellEnd"/>
      <w:r>
        <w:rPr>
          <w:lang w:eastAsia="hr-HR" w:bidi="my-MM"/>
        </w:rPr>
        <w:t xml:space="preserve"> koji prije nije bio otkriven kod ljudi. COVID-19 je naziv bolesti uzrokovane SARS-</w:t>
      </w:r>
      <w:proofErr w:type="spellStart"/>
      <w:r>
        <w:rPr>
          <w:lang w:eastAsia="hr-HR" w:bidi="my-MM"/>
        </w:rPr>
        <w:t>CoV</w:t>
      </w:r>
      <w:proofErr w:type="spellEnd"/>
      <w:r>
        <w:rPr>
          <w:lang w:eastAsia="hr-HR" w:bidi="my-MM"/>
        </w:rPr>
        <w:t>-2.</w:t>
      </w:r>
    </w:p>
    <w:p w:rsidR="00A07D92" w:rsidRDefault="00495E63">
      <w:r>
        <w:t>Šišmiši se sma</w:t>
      </w:r>
      <w:r>
        <w:t xml:space="preserve">traju prirodnim domaćinima ovih virusa, no velik broj životinja mogu biti nositelji </w:t>
      </w:r>
      <w:proofErr w:type="spellStart"/>
      <w:r>
        <w:t>koronavirusa</w:t>
      </w:r>
      <w:proofErr w:type="spellEnd"/>
      <w:r>
        <w:t xml:space="preserve">. Na primjer, </w:t>
      </w:r>
      <w:proofErr w:type="spellStart"/>
      <w:r>
        <w:t>koronavirus</w:t>
      </w:r>
      <w:proofErr w:type="spellEnd"/>
      <w:r>
        <w:t xml:space="preserve"> bliskoistočnog respiratornog sindroma (MERS-</w:t>
      </w:r>
      <w:proofErr w:type="spellStart"/>
      <w:r>
        <w:t>CoV</w:t>
      </w:r>
      <w:proofErr w:type="spellEnd"/>
      <w:r>
        <w:t>) prenose deve dok SARS-</w:t>
      </w:r>
      <w:proofErr w:type="spellStart"/>
      <w:r>
        <w:t>CoV</w:t>
      </w:r>
      <w:proofErr w:type="spellEnd"/>
      <w:r>
        <w:t>-1  cibetke, životinje iz reda zvijeri srodnih mačkama.</w:t>
      </w:r>
    </w:p>
    <w:p w:rsidR="00A07D92" w:rsidRDefault="00A07D92">
      <w:pPr>
        <w:spacing w:after="0"/>
      </w:pPr>
    </w:p>
    <w:p w:rsidR="00A07D92" w:rsidRDefault="00495E63">
      <w:pPr>
        <w:keepNext/>
        <w:keepLines/>
        <w:spacing w:before="40"/>
        <w:outlineLvl w:val="2"/>
        <w:rPr>
          <w:rFonts w:cstheme="majorBidi"/>
          <w:color w:val="54883D"/>
          <w:sz w:val="28"/>
          <w:lang w:bidi="en-US"/>
        </w:rPr>
      </w:pPr>
      <w:bookmarkStart w:id="155" w:name="_Toc13472010"/>
      <w:bookmarkStart w:id="156" w:name="_Toc10450132"/>
      <w:bookmarkStart w:id="157" w:name="_Toc136522824"/>
      <w:r>
        <w:rPr>
          <w:rFonts w:cstheme="majorBidi"/>
          <w:color w:val="54883D"/>
          <w:sz w:val="28"/>
          <w:lang w:bidi="en-US"/>
        </w:rPr>
        <w:t>6.2</w:t>
      </w:r>
      <w:r>
        <w:rPr>
          <w:rFonts w:cstheme="majorBidi"/>
          <w:color w:val="54883D"/>
          <w:sz w:val="28"/>
          <w:lang w:bidi="en-US"/>
        </w:rPr>
        <w:t>.3 Prikaz utjecaja na kritičnu infrastrukturu</w:t>
      </w:r>
      <w:bookmarkEnd w:id="155"/>
      <w:bookmarkEnd w:id="156"/>
      <w:bookmarkEnd w:id="157"/>
    </w:p>
    <w:tbl>
      <w:tblPr>
        <w:tblStyle w:val="ivopisnatablicareetke6-isticanje3100"/>
        <w:tblW w:w="9423" w:type="dxa"/>
        <w:tblLook w:val="04A0" w:firstRow="1" w:lastRow="0" w:firstColumn="1" w:lastColumn="0" w:noHBand="0" w:noVBand="1"/>
      </w:tblPr>
      <w:tblGrid>
        <w:gridCol w:w="1128"/>
        <w:gridCol w:w="8295"/>
      </w:tblGrid>
      <w:tr w:rsidR="00A07D92" w:rsidTr="00A07D92">
        <w:trPr>
          <w:cnfStyle w:val="100000000000" w:firstRow="1" w:lastRow="0" w:firstColumn="0" w:lastColumn="0" w:oddVBand="0" w:evenVBand="0" w:oddHBand="0" w:evenHBand="0" w:firstRowFirstColumn="0" w:firstRowLastColumn="0" w:lastRowFirstColumn="0" w:lastRowLastColumn="0"/>
          <w:trHeight w:val="517"/>
          <w:tblHead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UTJECAJ</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SEKTOR</w:t>
            </w:r>
          </w:p>
        </w:tc>
      </w:tr>
      <w:tr w:rsidR="00A07D92" w:rsidTr="00A07D92">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rsidR="00A07D92" w:rsidTr="00A07D92">
        <w:trPr>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Komunikacijska i informacijska tehnologija (elektroničke komunikacije, prijenos podataka, informacijski sustavi, pružanje</w:t>
            </w:r>
            <w:r>
              <w:rPr>
                <w:color w:val="76923C" w:themeColor="accent3" w:themeShade="BF"/>
                <w:sz w:val="20"/>
                <w:szCs w:val="20"/>
              </w:rPr>
              <w:t xml:space="preserve"> audio i audiovizualnih usluga)</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rsidR="00A07D92" w:rsidTr="00A07D92">
        <w:trPr>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rsidR="00A07D92" w:rsidTr="00A07D92">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Proizvodnja, skladištenje i prijevoz opasnih tvari (kemijski, biološki, radiološki i nuklearni materijali)</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civilna zaštita, hitna medicinska pomoć)</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rsidR="00A07D92" w:rsidRDefault="00A07D92">
      <w:pPr>
        <w:rPr>
          <w:lang w:bidi="en-US"/>
        </w:rPr>
      </w:pPr>
    </w:p>
    <w:p w:rsidR="00A07D92" w:rsidRDefault="00495E63">
      <w:pPr>
        <w:keepNext/>
        <w:keepLines/>
        <w:spacing w:before="40"/>
        <w:outlineLvl w:val="2"/>
        <w:rPr>
          <w:rFonts w:cstheme="majorBidi"/>
          <w:color w:val="54883D"/>
          <w:sz w:val="28"/>
          <w:lang w:bidi="en-US"/>
        </w:rPr>
      </w:pPr>
      <w:bookmarkStart w:id="158" w:name="_Toc136522825"/>
      <w:bookmarkStart w:id="159" w:name="_Toc13472011"/>
      <w:bookmarkStart w:id="160" w:name="_Toc10450133"/>
      <w:r>
        <w:rPr>
          <w:rFonts w:cstheme="majorBidi"/>
          <w:color w:val="54883D"/>
          <w:sz w:val="28"/>
          <w:lang w:bidi="en-US"/>
        </w:rPr>
        <w:t xml:space="preserve">6.2.4 </w:t>
      </w:r>
      <w:r>
        <w:rPr>
          <w:rFonts w:cstheme="majorBidi"/>
          <w:color w:val="54883D"/>
          <w:sz w:val="28"/>
          <w:lang w:bidi="en-US"/>
        </w:rPr>
        <w:t>Kontekst</w:t>
      </w:r>
      <w:bookmarkEnd w:id="158"/>
      <w:bookmarkEnd w:id="159"/>
      <w:bookmarkEnd w:id="160"/>
    </w:p>
    <w:p w:rsidR="00A07D92" w:rsidRDefault="00495E63">
      <w:pPr>
        <w:rPr>
          <w:color w:val="000000"/>
          <w:lang w:bidi="en-US"/>
        </w:rPr>
      </w:pPr>
      <w:r>
        <w:rPr>
          <w:color w:val="000000"/>
          <w:lang w:bidi="en-US"/>
        </w:rPr>
        <w:t xml:space="preserve">U prosincu 2019. uočeno je  grupiranje oboljelih od upale pluća u gradu Wuhan, </w:t>
      </w:r>
      <w:proofErr w:type="spellStart"/>
      <w:r>
        <w:rPr>
          <w:color w:val="000000"/>
          <w:lang w:bidi="en-US"/>
        </w:rPr>
        <w:t>Hubei</w:t>
      </w:r>
      <w:proofErr w:type="spellEnd"/>
      <w:r>
        <w:rPr>
          <w:color w:val="000000"/>
          <w:lang w:bidi="en-US"/>
        </w:rPr>
        <w:t xml:space="preserve"> provincija u Kini. Oboljeli su razvili simptome povišene tjelesne temperature i otežanog disanja. Prema raspoloživim podacima, prvi slučaj razvio je simptome 8. p</w:t>
      </w:r>
      <w:r>
        <w:rPr>
          <w:color w:val="000000"/>
          <w:lang w:bidi="en-US"/>
        </w:rPr>
        <w:t xml:space="preserve">rosinca 2019. Oboljeli su se u početku uglavnom epidemiološki povezivali s boravkom na gradskoj tržnici </w:t>
      </w:r>
      <w:proofErr w:type="spellStart"/>
      <w:r>
        <w:rPr>
          <w:color w:val="000000"/>
          <w:lang w:bidi="en-US"/>
        </w:rPr>
        <w:t>Huanan</w:t>
      </w:r>
      <w:proofErr w:type="spellEnd"/>
      <w:r>
        <w:rPr>
          <w:color w:val="000000"/>
          <w:lang w:bidi="en-US"/>
        </w:rPr>
        <w:t xml:space="preserve"> </w:t>
      </w:r>
      <w:proofErr w:type="spellStart"/>
      <w:r>
        <w:rPr>
          <w:color w:val="000000"/>
          <w:lang w:bidi="en-US"/>
        </w:rPr>
        <w:t>Seafood</w:t>
      </w:r>
      <w:proofErr w:type="spellEnd"/>
      <w:r>
        <w:rPr>
          <w:color w:val="000000"/>
          <w:lang w:bidi="en-US"/>
        </w:rPr>
        <w:t xml:space="preserve"> Wholesale </w:t>
      </w:r>
      <w:proofErr w:type="spellStart"/>
      <w:r>
        <w:rPr>
          <w:color w:val="000000"/>
          <w:lang w:bidi="en-US"/>
        </w:rPr>
        <w:t>Market</w:t>
      </w:r>
      <w:proofErr w:type="spellEnd"/>
      <w:r>
        <w:rPr>
          <w:color w:val="000000"/>
          <w:lang w:bidi="en-US"/>
        </w:rPr>
        <w:t xml:space="preserve">, veleprodajnom tržnicom morskih i drugih živih životinja. Kao uzročnik početkom siječnja identificiran je novi </w:t>
      </w:r>
      <w:proofErr w:type="spellStart"/>
      <w:r>
        <w:rPr>
          <w:color w:val="000000"/>
          <w:lang w:bidi="en-US"/>
        </w:rPr>
        <w:t>koronavir</w:t>
      </w:r>
      <w:r>
        <w:rPr>
          <w:color w:val="000000"/>
          <w:lang w:bidi="en-US"/>
        </w:rPr>
        <w:t>us</w:t>
      </w:r>
      <w:proofErr w:type="spellEnd"/>
      <w:r>
        <w:rPr>
          <w:color w:val="000000"/>
          <w:lang w:bidi="en-US"/>
        </w:rPr>
        <w:t xml:space="preserve"> (2019-</w:t>
      </w:r>
      <w:proofErr w:type="spellStart"/>
      <w:r>
        <w:rPr>
          <w:color w:val="000000"/>
          <w:lang w:bidi="en-US"/>
        </w:rPr>
        <w:t>nCoV</w:t>
      </w:r>
      <w:proofErr w:type="spellEnd"/>
      <w:r>
        <w:rPr>
          <w:color w:val="000000"/>
          <w:lang w:bidi="en-US"/>
        </w:rPr>
        <w:t xml:space="preserve">) koji pripada istoj porodici </w:t>
      </w:r>
      <w:proofErr w:type="spellStart"/>
      <w:r>
        <w:rPr>
          <w:color w:val="000000"/>
          <w:lang w:bidi="en-US"/>
        </w:rPr>
        <w:t>koronavirusa</w:t>
      </w:r>
      <w:proofErr w:type="spellEnd"/>
      <w:r>
        <w:rPr>
          <w:color w:val="000000"/>
          <w:lang w:bidi="en-US"/>
        </w:rPr>
        <w:t xml:space="preserve"> kao i SARS-</w:t>
      </w:r>
      <w:proofErr w:type="spellStart"/>
      <w:r>
        <w:rPr>
          <w:color w:val="000000"/>
          <w:lang w:bidi="en-US"/>
        </w:rPr>
        <w:t>CoV</w:t>
      </w:r>
      <w:proofErr w:type="spellEnd"/>
      <w:r>
        <w:rPr>
          <w:color w:val="000000"/>
          <w:lang w:bidi="en-US"/>
        </w:rPr>
        <w:t xml:space="preserve">. U siječnju 2020. potvrđeni su pojedinačni slučajevi bolesti uzrokovane novim </w:t>
      </w:r>
      <w:proofErr w:type="spellStart"/>
      <w:r>
        <w:rPr>
          <w:color w:val="000000"/>
          <w:lang w:bidi="en-US"/>
        </w:rPr>
        <w:t>koronavirusom</w:t>
      </w:r>
      <w:proofErr w:type="spellEnd"/>
      <w:r>
        <w:rPr>
          <w:color w:val="000000"/>
          <w:lang w:bidi="en-US"/>
        </w:rPr>
        <w:t xml:space="preserve"> i u drugim gradovima i provincijama Kine, te u drugim državama (npr. Singapur, Malezija, Aust</w:t>
      </w:r>
      <w:r>
        <w:rPr>
          <w:color w:val="000000"/>
          <w:lang w:bidi="en-US"/>
        </w:rPr>
        <w:t xml:space="preserve">ralija Tajland, Japan, Južna Koreja, SAD, Kanada, UAE. ) kod ljudi koji su doputovali iz Wuhana i osoba koje su bile s njima u kontaktu. Nekoliko je Europskih zemalja također prijavilo potvrdu bolesti u osoba koje su doputovale iz provincije </w:t>
      </w:r>
      <w:proofErr w:type="spellStart"/>
      <w:r>
        <w:rPr>
          <w:color w:val="000000"/>
          <w:lang w:bidi="en-US"/>
        </w:rPr>
        <w:t>Hubei</w:t>
      </w:r>
      <w:proofErr w:type="spellEnd"/>
      <w:r>
        <w:rPr>
          <w:color w:val="000000"/>
          <w:lang w:bidi="en-US"/>
        </w:rPr>
        <w:t xml:space="preserve"> i među n</w:t>
      </w:r>
      <w:r>
        <w:rPr>
          <w:color w:val="000000"/>
          <w:lang w:bidi="en-US"/>
        </w:rPr>
        <w:t>jihovim kontaktima (Francuska, Finska, Njemačka i Italija).</w:t>
      </w:r>
    </w:p>
    <w:p w:rsidR="00A07D92" w:rsidRDefault="00495E63">
      <w:pPr>
        <w:rPr>
          <w:color w:val="000000"/>
          <w:lang w:bidi="en-US"/>
        </w:rPr>
      </w:pPr>
      <w:r>
        <w:rPr>
          <w:color w:val="000000"/>
          <w:lang w:bidi="en-US"/>
        </w:rPr>
        <w:t>Bolest je karakterizirana povišenom tjelesnom temperaturom i kašljem, a u težim slučajevima može se razviti upala pluća s otežanim disanjem i nedostatkom zraka.</w:t>
      </w:r>
    </w:p>
    <w:p w:rsidR="00A07D92" w:rsidRDefault="00A07D92">
      <w:pPr>
        <w:spacing w:before="0" w:after="0"/>
        <w:rPr>
          <w:color w:val="000000"/>
          <w:u w:val="single"/>
          <w:lang w:bidi="en-US"/>
        </w:rPr>
      </w:pPr>
    </w:p>
    <w:p w:rsidR="00A07D92" w:rsidRDefault="00495E63">
      <w:pPr>
        <w:spacing w:after="0"/>
        <w:rPr>
          <w:color w:val="000000"/>
          <w:u w:val="single"/>
          <w:lang w:bidi="en-US"/>
        </w:rPr>
      </w:pPr>
      <w:r>
        <w:rPr>
          <w:color w:val="000000"/>
          <w:u w:val="single"/>
          <w:lang w:bidi="en-US"/>
        </w:rPr>
        <w:t xml:space="preserve">Usporedba </w:t>
      </w:r>
      <w:proofErr w:type="spellStart"/>
      <w:r>
        <w:rPr>
          <w:color w:val="000000"/>
          <w:u w:val="single"/>
          <w:lang w:bidi="en-US"/>
        </w:rPr>
        <w:t>koronavirusa</w:t>
      </w:r>
      <w:proofErr w:type="spellEnd"/>
      <w:r>
        <w:rPr>
          <w:color w:val="000000"/>
          <w:u w:val="single"/>
          <w:lang w:bidi="en-US"/>
        </w:rPr>
        <w:t xml:space="preserve"> SARS-</w:t>
      </w:r>
      <w:proofErr w:type="spellStart"/>
      <w:r>
        <w:rPr>
          <w:color w:val="000000"/>
          <w:u w:val="single"/>
          <w:lang w:bidi="en-US"/>
        </w:rPr>
        <w:t>CoV</w:t>
      </w:r>
      <w:proofErr w:type="spellEnd"/>
      <w:r>
        <w:rPr>
          <w:color w:val="000000"/>
          <w:u w:val="single"/>
          <w:lang w:bidi="en-US"/>
        </w:rPr>
        <w:t xml:space="preserve">-2 </w:t>
      </w:r>
      <w:r>
        <w:rPr>
          <w:color w:val="000000"/>
          <w:u w:val="single"/>
          <w:lang w:bidi="en-US"/>
        </w:rPr>
        <w:t>sa SARS-om ili sezonskom gripom</w:t>
      </w:r>
    </w:p>
    <w:p w:rsidR="00A07D92" w:rsidRDefault="00495E63">
      <w:pPr>
        <w:rPr>
          <w:color w:val="000000"/>
          <w:lang w:bidi="en-US"/>
        </w:rPr>
      </w:pPr>
      <w:r>
        <w:rPr>
          <w:color w:val="000000"/>
          <w:lang w:bidi="en-US"/>
        </w:rPr>
        <w:t xml:space="preserve">Novi </w:t>
      </w:r>
      <w:proofErr w:type="spellStart"/>
      <w:r>
        <w:rPr>
          <w:color w:val="000000"/>
          <w:lang w:bidi="en-US"/>
        </w:rPr>
        <w:t>koronavirus</w:t>
      </w:r>
      <w:proofErr w:type="spellEnd"/>
      <w:r>
        <w:rPr>
          <w:color w:val="000000"/>
          <w:lang w:bidi="en-US"/>
        </w:rPr>
        <w:t xml:space="preserve"> genetski je usko povezan s virusom SARS iz 2003. i ta dva virusa imaju slične karakteristike, iako su podaci o ovom virusu još uvijek nepotpuni. SARS se pojavio krajem 2002. godine u Kini. U razdoblju od osa</w:t>
      </w:r>
      <w:r>
        <w:rPr>
          <w:color w:val="000000"/>
          <w:lang w:bidi="en-US"/>
        </w:rPr>
        <w:t xml:space="preserve">m mjeseci 33 države su prijavile više od 8000 slučajeva zaraze virusom SARS-a. Tada je od SARS-a umrla jedna od deset zaraženih osoba. Iako se </w:t>
      </w:r>
      <w:proofErr w:type="spellStart"/>
      <w:r>
        <w:rPr>
          <w:color w:val="000000"/>
          <w:lang w:bidi="en-US"/>
        </w:rPr>
        <w:t>koronavirus</w:t>
      </w:r>
      <w:proofErr w:type="spellEnd"/>
      <w:r>
        <w:rPr>
          <w:color w:val="000000"/>
          <w:lang w:bidi="en-US"/>
        </w:rPr>
        <w:t xml:space="preserve"> i virusi gripe prenose s osobe na osobu i mogu imati slične simptome, ta dva virusa su vrlo različita</w:t>
      </w:r>
      <w:r>
        <w:rPr>
          <w:color w:val="000000"/>
          <w:lang w:bidi="en-US"/>
        </w:rPr>
        <w:t xml:space="preserve"> te se stoga i ponašaju drugačije.</w:t>
      </w:r>
    </w:p>
    <w:p w:rsidR="00A07D92" w:rsidRDefault="00495E63">
      <w:pPr>
        <w:rPr>
          <w:color w:val="000000"/>
          <w:lang w:bidi="en-US"/>
        </w:rPr>
      </w:pPr>
      <w:r>
        <w:rPr>
          <w:color w:val="000000"/>
          <w:lang w:bidi="en-US"/>
        </w:rPr>
        <w:t>Iako se SARS-</w:t>
      </w:r>
      <w:proofErr w:type="spellStart"/>
      <w:r>
        <w:rPr>
          <w:color w:val="000000"/>
          <w:lang w:bidi="en-US"/>
        </w:rPr>
        <w:t>CoV</w:t>
      </w:r>
      <w:proofErr w:type="spellEnd"/>
      <w:r>
        <w:rPr>
          <w:color w:val="000000"/>
          <w:lang w:bidi="en-US"/>
        </w:rPr>
        <w:t xml:space="preserve">-2 i virus gripe prenose s osobe na osobu i mogu imati slične simptome, ta dva virusa su vrlo različita i ponašaju se drugačije. Virus sezonske gripe poznat je desetljećima, javlja se sezonski u umjerenim </w:t>
      </w:r>
      <w:r>
        <w:rPr>
          <w:color w:val="000000"/>
          <w:lang w:bidi="en-US"/>
        </w:rPr>
        <w:t>klimatskim područjima, postoji cjepivo protiv njega kao i specifični antivirusni lijekovi. S druge strane, SARS-</w:t>
      </w:r>
      <w:proofErr w:type="spellStart"/>
      <w:r>
        <w:rPr>
          <w:color w:val="000000"/>
          <w:lang w:bidi="en-US"/>
        </w:rPr>
        <w:t>CoV</w:t>
      </w:r>
      <w:proofErr w:type="spellEnd"/>
      <w:r>
        <w:rPr>
          <w:color w:val="000000"/>
          <w:lang w:bidi="en-US"/>
        </w:rPr>
        <w:t>-2 je potpuno novi virus zbog čega je prisutna opća osjetljivost stanovništva, a zbog još uvijek puno nepoznanica o njemu, teško je predvidje</w:t>
      </w:r>
      <w:r>
        <w:rPr>
          <w:color w:val="000000"/>
          <w:lang w:bidi="en-US"/>
        </w:rPr>
        <w:t>ti intenzitet njegovog širenja u nadolazećim tjednima i mjesecima. Za razliku od virusa gripe, nema cjepiva niti specifičnih lijekova protiv SARS-</w:t>
      </w:r>
      <w:proofErr w:type="spellStart"/>
      <w:r>
        <w:rPr>
          <w:color w:val="000000"/>
          <w:lang w:bidi="en-US"/>
        </w:rPr>
        <w:t>CoV</w:t>
      </w:r>
      <w:proofErr w:type="spellEnd"/>
      <w:r>
        <w:rPr>
          <w:color w:val="000000"/>
          <w:lang w:bidi="en-US"/>
        </w:rPr>
        <w:t>-2.</w:t>
      </w:r>
    </w:p>
    <w:p w:rsidR="00A07D92" w:rsidRDefault="00495E63">
      <w:pPr>
        <w:rPr>
          <w:color w:val="000000"/>
          <w:lang w:bidi="en-US"/>
        </w:rPr>
      </w:pPr>
      <w:r>
        <w:rPr>
          <w:color w:val="000000"/>
          <w:lang w:bidi="en-US"/>
        </w:rPr>
        <w:lastRenderedPageBreak/>
        <w:t>Prema dosadašnjim analizama slučajeva, infekcija COVID-19 u oko 80% slučajeva uzrokuje blagu bolest (be</w:t>
      </w:r>
      <w:r>
        <w:rPr>
          <w:color w:val="000000"/>
          <w:lang w:bidi="en-US"/>
        </w:rPr>
        <w:t>z pneumonije ili blagu upalu pluća) i većina oboljelih se oporavlja, 14% ima težu bolest, a 6% ima teški oblik bolesti.</w:t>
      </w:r>
    </w:p>
    <w:p w:rsidR="00A07D92" w:rsidRDefault="00495E63">
      <w:pPr>
        <w:rPr>
          <w:color w:val="000000"/>
          <w:lang w:bidi="en-US"/>
        </w:rPr>
      </w:pPr>
      <w:r>
        <w:rPr>
          <w:color w:val="000000"/>
          <w:lang w:bidi="en-US"/>
        </w:rPr>
        <w:t xml:space="preserve">Velika većina najtežih oblika i smrti dogodila se među starijim osobama i onima s drugim kroničnim bolestima. </w:t>
      </w:r>
    </w:p>
    <w:p w:rsidR="00A07D92" w:rsidRDefault="00495E63">
      <w:pPr>
        <w:rPr>
          <w:color w:val="000000"/>
          <w:lang w:bidi="en-US"/>
        </w:rPr>
      </w:pPr>
      <w:r>
        <w:rPr>
          <w:color w:val="000000"/>
          <w:lang w:bidi="en-US"/>
        </w:rPr>
        <w:t xml:space="preserve">Na održanoj sjednici 11. </w:t>
      </w:r>
      <w:r>
        <w:rPr>
          <w:color w:val="000000"/>
          <w:lang w:bidi="en-US"/>
        </w:rPr>
        <w:t>svibnja 2023. godine, Vlada Republike Hrvatske donijela je Odluku o proglašenju prestanka epidemije bolesti COVID-19 uzrokovane virusom SARS-</w:t>
      </w:r>
      <w:proofErr w:type="spellStart"/>
      <w:r>
        <w:rPr>
          <w:color w:val="000000"/>
          <w:lang w:bidi="en-US"/>
        </w:rPr>
        <w:t>CoV</w:t>
      </w:r>
      <w:proofErr w:type="spellEnd"/>
      <w:r>
        <w:rPr>
          <w:color w:val="000000"/>
          <w:lang w:bidi="en-US"/>
        </w:rPr>
        <w:t xml:space="preserve">-2. Vlada je u borbi s COVID-19 imenovala Stožer civilne zaštite i to već 20. veljače 2020., a prva sjednica je </w:t>
      </w:r>
      <w:r>
        <w:rPr>
          <w:color w:val="000000"/>
          <w:lang w:bidi="en-US"/>
        </w:rPr>
        <w:t>održana 25. veljače i od tada Stožer kontinuirano djeluje kao operativno tijelo Vlade za sprječavanje širenja bolesti COVID-19.</w:t>
      </w:r>
    </w:p>
    <w:p w:rsidR="00A07D92" w:rsidRDefault="00495E63">
      <w:pPr>
        <w:rPr>
          <w:color w:val="000000"/>
          <w:lang w:bidi="en-US"/>
        </w:rPr>
      </w:pPr>
      <w:r>
        <w:rPr>
          <w:color w:val="000000"/>
          <w:lang w:bidi="en-US"/>
        </w:rPr>
        <w:t xml:space="preserve">Po prvi puta od postojanja Republike Hrvatske aktivirani su svi županijski, gradski i općinski stožeri, ukupno njih 576 sa 4600 </w:t>
      </w:r>
      <w:r>
        <w:rPr>
          <w:color w:val="000000"/>
          <w:lang w:bidi="en-US"/>
        </w:rPr>
        <w:t>članova, i to stupanjem na snagu Zakona o dopunama Zakona o sustavu civilne zaštite.</w:t>
      </w:r>
    </w:p>
    <w:p w:rsidR="00A07D92" w:rsidRDefault="00495E63">
      <w:pPr>
        <w:rPr>
          <w:color w:val="000000"/>
          <w:lang w:bidi="en-US"/>
        </w:rPr>
      </w:pPr>
      <w:r>
        <w:rPr>
          <w:color w:val="000000"/>
          <w:lang w:bidi="en-US"/>
        </w:rPr>
        <w:t>U ožujku 2020. Hrvatska je proglasila epidemiju bolesti COVID-19 zbog javnozdravstvenog rizika od visoke smrtnosti od nove nepoznate zarazne bolesti. Proglašenje epidemije</w:t>
      </w:r>
      <w:r>
        <w:rPr>
          <w:color w:val="000000"/>
          <w:lang w:bidi="en-US"/>
        </w:rPr>
        <w:t xml:space="preserve"> omogućilo je izradu potrebnih mjera za zaštitu zdravlja stanovništva.</w:t>
      </w:r>
    </w:p>
    <w:p w:rsidR="00A07D92" w:rsidRDefault="00495E63">
      <w:pPr>
        <w:rPr>
          <w:color w:val="000000"/>
          <w:lang w:bidi="en-US"/>
        </w:rPr>
      </w:pPr>
      <w:r>
        <w:rPr>
          <w:color w:val="000000"/>
          <w:lang w:bidi="en-US"/>
        </w:rPr>
        <w:t>Svjetska zdravstvena organizacija 5. svibnja 2023. objavila je da više ne smatra bolest COVID-19 javnozdravstvenom opasnošću koja izaziva međunarodnu zabrinutost. Prema procjeni Hrvatsk</w:t>
      </w:r>
      <w:r>
        <w:rPr>
          <w:color w:val="000000"/>
          <w:lang w:bidi="en-US"/>
        </w:rPr>
        <w:t xml:space="preserve">og zavoda za javno zdravstvo, tijekom </w:t>
      </w:r>
      <w:proofErr w:type="spellStart"/>
      <w:r>
        <w:rPr>
          <w:color w:val="000000"/>
          <w:lang w:bidi="en-US"/>
        </w:rPr>
        <w:t>pandemije</w:t>
      </w:r>
      <w:proofErr w:type="spellEnd"/>
      <w:r>
        <w:rPr>
          <w:color w:val="000000"/>
          <w:lang w:bidi="en-US"/>
        </w:rPr>
        <w:t xml:space="preserve"> došlo je do spoznaja da će bolest COVID-19 trajno biti prisutna u populaciji, s manjim ili većim intenzitetom čime je izvjesno dugotrajno praćenje kao i daljnje otkrivanje dugotrajnih posljedica bolesti COVID</w:t>
      </w:r>
      <w:r>
        <w:rPr>
          <w:color w:val="000000"/>
          <w:lang w:bidi="en-US"/>
        </w:rPr>
        <w:t>-19. Proglašenje kraja epidemije bolesti COVID-19 u Hrvatskoj temelji se na do danas stečenim spoznajama o virusu, virulenciji i posljedicama bolesti te mogućnostima zaštite populacije tako da više nema potrebe za mjerama koje se propisuju u uvjetima epide</w:t>
      </w:r>
      <w:r>
        <w:rPr>
          <w:color w:val="000000"/>
          <w:lang w:bidi="en-US"/>
        </w:rPr>
        <w:t>mije.</w:t>
      </w:r>
    </w:p>
    <w:p w:rsidR="00A07D92" w:rsidRDefault="00495E63">
      <w:pPr>
        <w:rPr>
          <w:color w:val="000000"/>
          <w:lang w:bidi="en-US"/>
        </w:rPr>
      </w:pPr>
      <w:r>
        <w:rPr>
          <w:color w:val="000000"/>
          <w:lang w:bidi="en-US"/>
        </w:rPr>
        <w:t xml:space="preserve">Stoga, a uzimajući u obzir postojeće mjere za smanjenje rizika od bolesti, poput cijepljenja, Vlada Republike Hrvatske donijela je odluku o proglašenju završetka epidemije. Unatoč proglašenju kraja epidemije, važno je nastaviti pratiti epidemiološke </w:t>
      </w:r>
      <w:r>
        <w:rPr>
          <w:color w:val="000000"/>
          <w:lang w:bidi="en-US"/>
        </w:rPr>
        <w:t>podatke i provoditi preporučene radnje za smanjenje rizika od bolesti. Osim toga, nastavak cijepljenja i pružanje podrške onima koji pate od dugoročnih posljedica bolesti COVID-19 još će neko vrijeme biti prioritet.</w:t>
      </w:r>
    </w:p>
    <w:p w:rsidR="00A07D92" w:rsidRDefault="00495E63">
      <w:pPr>
        <w:rPr>
          <w:color w:val="000000"/>
          <w:u w:val="single"/>
          <w:lang w:bidi="en-US"/>
        </w:rPr>
      </w:pPr>
      <w:r>
        <w:rPr>
          <w:color w:val="000000"/>
          <w:u w:val="single"/>
          <w:lang w:bidi="en-US"/>
        </w:rPr>
        <w:t xml:space="preserve">Podaci o broju zaraženih i umrlih osoba </w:t>
      </w:r>
      <w:r>
        <w:rPr>
          <w:color w:val="000000"/>
          <w:u w:val="single"/>
          <w:lang w:bidi="en-US"/>
        </w:rPr>
        <w:t>nakon proglašenja prestanka epidemije</w:t>
      </w:r>
    </w:p>
    <w:p w:rsidR="00A07D92" w:rsidRDefault="00495E63">
      <w:pPr>
        <w:spacing w:after="0"/>
        <w:rPr>
          <w:color w:val="000000"/>
          <w:lang w:bidi="en-US"/>
        </w:rPr>
      </w:pPr>
      <w:r>
        <w:rPr>
          <w:color w:val="000000"/>
          <w:lang w:bidi="en-US"/>
        </w:rPr>
        <w:t>Najnoviji podaci o broju oboljelih i umrlih (na dan 19.05.2023.</w:t>
      </w:r>
      <w:r>
        <w:rPr>
          <w:rStyle w:val="Sidrofusnote"/>
          <w:color w:val="000000"/>
          <w:lang w:bidi="en-US"/>
        </w:rPr>
        <w:footnoteReference w:id="9"/>
      </w:r>
      <w:r>
        <w:rPr>
          <w:color w:val="000000"/>
          <w:lang w:bidi="en-US"/>
        </w:rPr>
        <w:t>):</w:t>
      </w:r>
    </w:p>
    <w:p w:rsidR="00A07D92" w:rsidRDefault="00495E63">
      <w:pPr>
        <w:numPr>
          <w:ilvl w:val="0"/>
          <w:numId w:val="9"/>
        </w:numPr>
        <w:tabs>
          <w:tab w:val="left" w:pos="2445"/>
        </w:tabs>
        <w:spacing w:before="72" w:after="72"/>
        <w:contextualSpacing/>
        <w:rPr>
          <w:szCs w:val="22"/>
          <w:lang w:eastAsia="hr-HR" w:bidi="en-US"/>
        </w:rPr>
      </w:pPr>
      <w:r>
        <w:rPr>
          <w:szCs w:val="22"/>
          <w:lang w:eastAsia="hr-HR" w:bidi="en-US"/>
        </w:rPr>
        <w:t>Laboratorijski potvrđenih oboljelih od COVID-19 bolesti u svijetu (izvor ECDC): 688.668.272</w:t>
      </w:r>
    </w:p>
    <w:p w:rsidR="00A07D92" w:rsidRDefault="00495E63">
      <w:pPr>
        <w:numPr>
          <w:ilvl w:val="0"/>
          <w:numId w:val="9"/>
        </w:numPr>
        <w:tabs>
          <w:tab w:val="left" w:pos="2445"/>
        </w:tabs>
        <w:spacing w:before="72" w:after="72"/>
        <w:contextualSpacing/>
        <w:rPr>
          <w:szCs w:val="22"/>
          <w:lang w:eastAsia="hr-HR" w:bidi="en-US"/>
        </w:rPr>
      </w:pPr>
      <w:r>
        <w:rPr>
          <w:szCs w:val="22"/>
          <w:lang w:eastAsia="hr-HR" w:bidi="en-US"/>
        </w:rPr>
        <w:t>Broj umrlih u svijetu (izvor ECDC): 6.877.081</w:t>
      </w:r>
    </w:p>
    <w:p w:rsidR="00A07D92" w:rsidRDefault="00495E63">
      <w:pPr>
        <w:numPr>
          <w:ilvl w:val="0"/>
          <w:numId w:val="9"/>
        </w:numPr>
        <w:tabs>
          <w:tab w:val="left" w:pos="2445"/>
        </w:tabs>
        <w:spacing w:before="72" w:after="72"/>
        <w:contextualSpacing/>
        <w:rPr>
          <w:szCs w:val="22"/>
          <w:lang w:eastAsia="hr-HR" w:bidi="en-US"/>
        </w:rPr>
      </w:pPr>
      <w:r>
        <w:rPr>
          <w:szCs w:val="22"/>
          <w:lang w:eastAsia="hr-HR" w:bidi="en-US"/>
        </w:rPr>
        <w:t>Broj oboljeli</w:t>
      </w:r>
      <w:r>
        <w:rPr>
          <w:szCs w:val="22"/>
          <w:lang w:eastAsia="hr-HR" w:bidi="en-US"/>
        </w:rPr>
        <w:t>h u Hrvatskoj: 1.273.508</w:t>
      </w:r>
    </w:p>
    <w:p w:rsidR="00A07D92" w:rsidRDefault="00495E63">
      <w:pPr>
        <w:numPr>
          <w:ilvl w:val="0"/>
          <w:numId w:val="9"/>
        </w:numPr>
        <w:tabs>
          <w:tab w:val="left" w:pos="2445"/>
        </w:tabs>
        <w:spacing w:before="72" w:after="72"/>
        <w:contextualSpacing/>
        <w:rPr>
          <w:szCs w:val="22"/>
          <w:lang w:eastAsia="hr-HR" w:bidi="en-US"/>
        </w:rPr>
      </w:pPr>
      <w:r>
        <w:rPr>
          <w:szCs w:val="22"/>
          <w:lang w:eastAsia="hr-HR" w:bidi="en-US"/>
        </w:rPr>
        <w:t>Broj umrlih u Hrvatskoj: 18.230</w:t>
      </w:r>
    </w:p>
    <w:p w:rsidR="00A07D92" w:rsidRDefault="00A07D92">
      <w:pPr>
        <w:tabs>
          <w:tab w:val="left" w:pos="2445"/>
        </w:tabs>
        <w:spacing w:before="72" w:after="72"/>
        <w:ind w:left="720"/>
        <w:contextualSpacing/>
        <w:rPr>
          <w:szCs w:val="22"/>
          <w:lang w:eastAsia="hr-HR" w:bidi="en-US"/>
        </w:rPr>
      </w:pPr>
    </w:p>
    <w:p w:rsidR="00A07D92" w:rsidRDefault="00A07D92">
      <w:pPr>
        <w:tabs>
          <w:tab w:val="left" w:pos="2445"/>
        </w:tabs>
        <w:spacing w:before="72" w:after="72"/>
        <w:ind w:left="720"/>
        <w:contextualSpacing/>
        <w:rPr>
          <w:szCs w:val="22"/>
          <w:lang w:eastAsia="hr-HR" w:bidi="en-US"/>
        </w:rPr>
      </w:pPr>
    </w:p>
    <w:p w:rsidR="00A07D92" w:rsidRDefault="00A07D92">
      <w:pPr>
        <w:tabs>
          <w:tab w:val="left" w:pos="2445"/>
        </w:tabs>
        <w:spacing w:before="72" w:after="72"/>
        <w:ind w:left="720"/>
        <w:contextualSpacing/>
        <w:rPr>
          <w:szCs w:val="22"/>
          <w:lang w:eastAsia="hr-HR" w:bidi="en-US"/>
        </w:rPr>
      </w:pPr>
    </w:p>
    <w:p w:rsidR="00A07D92" w:rsidRDefault="00A07D92">
      <w:pPr>
        <w:tabs>
          <w:tab w:val="left" w:pos="2445"/>
        </w:tabs>
        <w:spacing w:before="72" w:after="72"/>
        <w:ind w:left="720"/>
        <w:contextualSpacing/>
        <w:rPr>
          <w:szCs w:val="22"/>
          <w:lang w:eastAsia="hr-HR" w:bidi="en-US"/>
        </w:rPr>
      </w:pPr>
    </w:p>
    <w:p w:rsidR="00A07D92" w:rsidRDefault="00A07D92">
      <w:pPr>
        <w:tabs>
          <w:tab w:val="left" w:pos="2445"/>
        </w:tabs>
        <w:spacing w:before="72" w:after="72"/>
        <w:ind w:left="720"/>
        <w:contextualSpacing/>
        <w:rPr>
          <w:szCs w:val="22"/>
          <w:lang w:eastAsia="hr-HR" w:bidi="en-US"/>
        </w:rPr>
      </w:pPr>
    </w:p>
    <w:p w:rsidR="00A07D92" w:rsidRDefault="00A07D92">
      <w:pPr>
        <w:tabs>
          <w:tab w:val="left" w:pos="2445"/>
        </w:tabs>
        <w:spacing w:before="72" w:after="72"/>
        <w:ind w:left="720"/>
        <w:contextualSpacing/>
        <w:rPr>
          <w:szCs w:val="22"/>
          <w:lang w:eastAsia="hr-HR" w:bidi="en-US"/>
        </w:rPr>
      </w:pPr>
    </w:p>
    <w:p w:rsidR="00A07D92" w:rsidRDefault="00A07D92">
      <w:pPr>
        <w:tabs>
          <w:tab w:val="left" w:pos="2445"/>
        </w:tabs>
        <w:spacing w:before="72" w:after="72"/>
        <w:ind w:left="720"/>
        <w:contextualSpacing/>
        <w:rPr>
          <w:szCs w:val="22"/>
          <w:lang w:eastAsia="hr-HR" w:bidi="en-US"/>
        </w:rPr>
      </w:pPr>
    </w:p>
    <w:p w:rsidR="00A07D92" w:rsidRDefault="00495E63">
      <w:pPr>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9</w:t>
      </w:r>
      <w:r>
        <w:rPr>
          <w:rFonts w:eastAsia="Calibri"/>
          <w:bCs/>
          <w:sz w:val="20"/>
          <w:szCs w:val="18"/>
        </w:rPr>
        <w:fldChar w:fldCharType="end"/>
      </w:r>
      <w:r>
        <w:rPr>
          <w:rFonts w:eastAsia="Calibri"/>
          <w:bCs/>
          <w:color w:val="54883D"/>
          <w:sz w:val="20"/>
          <w:szCs w:val="18"/>
          <w:lang w:bidi="en-US"/>
        </w:rPr>
        <w:t>. Prikaz broja oboljelih na svjetskoj razini</w:t>
      </w:r>
    </w:p>
    <w:p w:rsidR="00A07D92" w:rsidRDefault="00495E63">
      <w:pPr>
        <w:jc w:val="center"/>
        <w:rPr>
          <w:rFonts w:eastAsiaTheme="minorHAnsi"/>
          <w:bCs/>
          <w:color w:val="54883D"/>
          <w:sz w:val="20"/>
          <w:szCs w:val="18"/>
          <w:lang w:bidi="en-US"/>
        </w:rPr>
      </w:pPr>
      <w:r>
        <w:rPr>
          <w:noProof/>
          <w:lang w:eastAsia="hr-HR"/>
        </w:rPr>
        <w:drawing>
          <wp:inline distT="0" distB="0" distL="0" distR="0">
            <wp:extent cx="5983605" cy="2811780"/>
            <wp:effectExtent l="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
                    <pic:cNvPicPr>
                      <a:picLocks noChangeAspect="1" noChangeArrowheads="1"/>
                    </pic:cNvPicPr>
                  </pic:nvPicPr>
                  <pic:blipFill>
                    <a:blip r:embed="rId104"/>
                    <a:stretch>
                      <a:fillRect/>
                    </a:stretch>
                  </pic:blipFill>
                  <pic:spPr bwMode="auto">
                    <a:xfrm>
                      <a:off x="0" y="0"/>
                      <a:ext cx="5983605" cy="2811780"/>
                    </a:xfrm>
                    <a:prstGeom prst="rect">
                      <a:avLst/>
                    </a:prstGeom>
                  </pic:spPr>
                </pic:pic>
              </a:graphicData>
            </a:graphic>
          </wp:inline>
        </w:drawing>
      </w:r>
    </w:p>
    <w:p w:rsidR="00A07D92" w:rsidRDefault="00495E63">
      <w:pPr>
        <w:jc w:val="center"/>
        <w:rPr>
          <w:rFonts w:eastAsiaTheme="minorHAnsi"/>
          <w:bCs/>
          <w:color w:val="54883D"/>
          <w:sz w:val="20"/>
          <w:szCs w:val="18"/>
          <w:lang w:bidi="en-US"/>
        </w:rPr>
      </w:pPr>
      <w:r>
        <w:rPr>
          <w:noProof/>
          <w:lang w:eastAsia="hr-HR"/>
        </w:rPr>
        <w:drawing>
          <wp:inline distT="0" distB="0" distL="0" distR="0">
            <wp:extent cx="845820" cy="1698625"/>
            <wp:effectExtent l="0" t="0" r="0" b="0"/>
            <wp:docPr id="70" name="Sli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1"/>
                    <pic:cNvPicPr>
                      <a:picLocks noChangeAspect="1" noChangeArrowheads="1"/>
                    </pic:cNvPicPr>
                  </pic:nvPicPr>
                  <pic:blipFill>
                    <a:blip r:embed="rId105"/>
                    <a:stretch>
                      <a:fillRect/>
                    </a:stretch>
                  </pic:blipFill>
                  <pic:spPr bwMode="auto">
                    <a:xfrm>
                      <a:off x="0" y="0"/>
                      <a:ext cx="845820" cy="1698625"/>
                    </a:xfrm>
                    <a:prstGeom prst="rect">
                      <a:avLst/>
                    </a:prstGeom>
                  </pic:spPr>
                </pic:pic>
              </a:graphicData>
            </a:graphic>
          </wp:inline>
        </w:drawing>
      </w:r>
    </w:p>
    <w:p w:rsidR="00A07D92" w:rsidRDefault="00495E63">
      <w:pPr>
        <w:jc w:val="center"/>
        <w:rPr>
          <w:rFonts w:eastAsia="Calibri"/>
          <w:bCs/>
          <w:color w:val="54883D"/>
          <w:sz w:val="20"/>
          <w:szCs w:val="18"/>
          <w:lang w:bidi="en-US"/>
        </w:rPr>
      </w:pPr>
      <w:r>
        <w:rPr>
          <w:rFonts w:eastAsia="Calibri"/>
          <w:bCs/>
          <w:color w:val="54883D"/>
          <w:sz w:val="20"/>
          <w:szCs w:val="18"/>
          <w:lang w:bidi="en-US"/>
        </w:rPr>
        <w:t xml:space="preserve">Izvor: </w:t>
      </w:r>
      <w:hyperlink r:id="rId106">
        <w:r>
          <w:rPr>
            <w:rStyle w:val="Internetskapoveznica"/>
            <w:rFonts w:eastAsia="Calibri"/>
            <w:bCs/>
            <w:sz w:val="20"/>
            <w:szCs w:val="18"/>
            <w:lang w:bidi="en-US"/>
          </w:rPr>
          <w:t>https://covid19.who.int/</w:t>
        </w:r>
      </w:hyperlink>
    </w:p>
    <w:p w:rsidR="00A07D92" w:rsidRDefault="00A07D92">
      <w:pPr>
        <w:jc w:val="center"/>
      </w:pPr>
      <w:bookmarkStart w:id="161" w:name="_Hlk135397562"/>
      <w:bookmarkEnd w:id="161"/>
    </w:p>
    <w:p w:rsidR="00A07D92" w:rsidRDefault="00495E63">
      <w:pPr>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10</w:t>
      </w:r>
      <w:r>
        <w:rPr>
          <w:rFonts w:eastAsia="Calibri"/>
          <w:bCs/>
          <w:sz w:val="20"/>
          <w:szCs w:val="18"/>
        </w:rPr>
        <w:fldChar w:fldCharType="end"/>
      </w:r>
      <w:r>
        <w:rPr>
          <w:rFonts w:eastAsia="Calibri"/>
          <w:bCs/>
          <w:color w:val="54883D"/>
          <w:sz w:val="20"/>
          <w:szCs w:val="18"/>
          <w:lang w:bidi="en-US"/>
        </w:rPr>
        <w:t xml:space="preserve">. </w:t>
      </w:r>
      <w:r>
        <w:rPr>
          <w:rFonts w:eastAsia="Calibri"/>
          <w:bCs/>
          <w:color w:val="54883D"/>
          <w:sz w:val="20"/>
          <w:szCs w:val="18"/>
          <w:lang w:bidi="en-US"/>
        </w:rPr>
        <w:t>Prikaz broja oboljelih u Europi</w:t>
      </w:r>
    </w:p>
    <w:p w:rsidR="00A07D92" w:rsidRDefault="00495E63">
      <w:pPr>
        <w:rPr>
          <w:color w:val="000000"/>
          <w:u w:val="single"/>
          <w:lang w:bidi="en-US"/>
        </w:rPr>
      </w:pPr>
      <w:r>
        <w:rPr>
          <w:noProof/>
          <w:lang w:eastAsia="hr-HR"/>
        </w:rPr>
        <w:lastRenderedPageBreak/>
        <w:drawing>
          <wp:inline distT="0" distB="0" distL="0" distR="0">
            <wp:extent cx="5568950" cy="2655570"/>
            <wp:effectExtent l="0" t="0" r="0" b="0"/>
            <wp:docPr id="71" name="Slik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lika4"/>
                    <pic:cNvPicPr>
                      <a:picLocks noChangeAspect="1" noChangeArrowheads="1"/>
                    </pic:cNvPicPr>
                  </pic:nvPicPr>
                  <pic:blipFill>
                    <a:blip r:embed="rId107"/>
                    <a:stretch>
                      <a:fillRect/>
                    </a:stretch>
                  </pic:blipFill>
                  <pic:spPr bwMode="auto">
                    <a:xfrm>
                      <a:off x="0" y="0"/>
                      <a:ext cx="5568950" cy="2655570"/>
                    </a:xfrm>
                    <a:prstGeom prst="rect">
                      <a:avLst/>
                    </a:prstGeom>
                  </pic:spPr>
                </pic:pic>
              </a:graphicData>
            </a:graphic>
          </wp:inline>
        </w:drawing>
      </w:r>
    </w:p>
    <w:p w:rsidR="00A07D92" w:rsidRDefault="00495E63">
      <w:pPr>
        <w:jc w:val="center"/>
        <w:rPr>
          <w:rFonts w:eastAsiaTheme="minorHAnsi"/>
          <w:bCs/>
          <w:color w:val="54883D"/>
          <w:sz w:val="20"/>
          <w:szCs w:val="18"/>
          <w:lang w:bidi="en-US"/>
        </w:rPr>
      </w:pPr>
      <w:r>
        <w:rPr>
          <w:rFonts w:eastAsia="Calibri"/>
          <w:bCs/>
          <w:color w:val="54883D"/>
          <w:sz w:val="20"/>
          <w:szCs w:val="18"/>
          <w:lang w:bidi="en-US"/>
        </w:rPr>
        <w:t>Izvor: https://covid19.who.int/</w:t>
      </w:r>
    </w:p>
    <w:p w:rsidR="00A07D92" w:rsidRDefault="00495E63">
      <w:pPr>
        <w:rPr>
          <w:color w:val="000000"/>
          <w:u w:val="single"/>
          <w:lang w:bidi="en-US"/>
        </w:rPr>
      </w:pPr>
      <w:r>
        <w:rPr>
          <w:color w:val="000000"/>
          <w:u w:val="single"/>
          <w:lang w:bidi="en-US"/>
        </w:rPr>
        <w:t>Cijepljenje:</w:t>
      </w:r>
    </w:p>
    <w:p w:rsidR="00A07D92" w:rsidRDefault="00495E63">
      <w:pPr>
        <w:rPr>
          <w:color w:val="000000"/>
          <w:lang w:bidi="en-US"/>
        </w:rPr>
      </w:pPr>
      <w:r>
        <w:rPr>
          <w:color w:val="000000"/>
          <w:lang w:bidi="en-US"/>
        </w:rPr>
        <w:t>Nakon što je 26. prosinca 2020. u Hrvatski zavod za javno zdravstvo stiglo prvih 9 750 doza cjepiva protiv bolesti COVID-19 tvrtke Pfizer-</w:t>
      </w:r>
      <w:proofErr w:type="spellStart"/>
      <w:r>
        <w:rPr>
          <w:color w:val="000000"/>
          <w:lang w:bidi="en-US"/>
        </w:rPr>
        <w:t>BioNTech</w:t>
      </w:r>
      <w:proofErr w:type="spellEnd"/>
      <w:r>
        <w:rPr>
          <w:color w:val="000000"/>
          <w:lang w:bidi="en-US"/>
        </w:rPr>
        <w:t xml:space="preserve"> u EU registrirano pod nazivom </w:t>
      </w:r>
      <w:proofErr w:type="spellStart"/>
      <w:r>
        <w:rPr>
          <w:color w:val="000000"/>
          <w:lang w:bidi="en-US"/>
        </w:rPr>
        <w:t>Comirnaty</w:t>
      </w:r>
      <w:proofErr w:type="spellEnd"/>
      <w:r>
        <w:rPr>
          <w:color w:val="000000"/>
          <w:lang w:bidi="en-US"/>
        </w:rPr>
        <w:t xml:space="preserve">, 27., 28. i 29. prosinca 2020. krenula je distribucija prvih doza cjepiva svim hrvatskim županijama te cijepljenje građana. U tim danima u svim državama članicama Europske unije odvijali su se ,,Europski dani cijepljenja'', koji su imali za cilj </w:t>
      </w:r>
      <w:r>
        <w:rPr>
          <w:color w:val="000000"/>
          <w:lang w:bidi="en-US"/>
        </w:rPr>
        <w:t xml:space="preserve">podići svijest o važnosti cjepiva kao najsigurnijeg načina da se okonča </w:t>
      </w:r>
      <w:proofErr w:type="spellStart"/>
      <w:r>
        <w:rPr>
          <w:color w:val="000000"/>
          <w:lang w:bidi="en-US"/>
        </w:rPr>
        <w:t>pandemija</w:t>
      </w:r>
      <w:proofErr w:type="spellEnd"/>
      <w:r>
        <w:rPr>
          <w:color w:val="000000"/>
          <w:lang w:bidi="en-US"/>
        </w:rPr>
        <w:t xml:space="preserve"> </w:t>
      </w:r>
      <w:proofErr w:type="spellStart"/>
      <w:r>
        <w:rPr>
          <w:color w:val="000000"/>
          <w:lang w:bidi="en-US"/>
        </w:rPr>
        <w:t>koronavirusa</w:t>
      </w:r>
      <w:proofErr w:type="spellEnd"/>
      <w:r>
        <w:rPr>
          <w:color w:val="000000"/>
          <w:lang w:bidi="en-US"/>
        </w:rPr>
        <w:t>.</w:t>
      </w:r>
    </w:p>
    <w:p w:rsidR="00A07D92" w:rsidRDefault="00495E63">
      <w:pPr>
        <w:rPr>
          <w:color w:val="000000"/>
          <w:lang w:bidi="en-US"/>
        </w:rPr>
      </w:pPr>
      <w:r>
        <w:rPr>
          <w:color w:val="000000"/>
          <w:lang w:bidi="en-US"/>
        </w:rPr>
        <w:t>Cjepivo je besplatno i a cijepljenje građana je dobrovoljno.</w:t>
      </w:r>
    </w:p>
    <w:p w:rsidR="00A07D92" w:rsidRDefault="00495E63">
      <w:pPr>
        <w:rPr>
          <w:color w:val="000000"/>
          <w:lang w:bidi="en-US"/>
        </w:rPr>
      </w:pPr>
      <w:r>
        <w:rPr>
          <w:color w:val="000000"/>
          <w:lang w:bidi="en-US"/>
        </w:rPr>
        <w:t>Cijepljenje u Republici Hrvatskoj predviđeno je provoditi prema Planu cijepljenja prema kojem se pr</w:t>
      </w:r>
      <w:r>
        <w:rPr>
          <w:color w:val="000000"/>
          <w:lang w:bidi="en-US"/>
        </w:rPr>
        <w:t>vi cijepe djelatnici i korisnici domova za starije osobe (i drugih ustanova za pružanje usluge smještaja u sustavu socijalne skrbi) i zdravstvene djelatnike (prva faza), zatim sve osobe starije od 65 godina i sve osobe s kroničnim bolestima (druga faza), t</w:t>
      </w:r>
      <w:r>
        <w:rPr>
          <w:color w:val="000000"/>
          <w:lang w:bidi="en-US"/>
        </w:rPr>
        <w:t>e na kraju, (treća faza) cjelokupno stanovništvo.</w:t>
      </w:r>
    </w:p>
    <w:p w:rsidR="00A07D92" w:rsidRDefault="00495E63">
      <w:pPr>
        <w:rPr>
          <w:color w:val="000000"/>
          <w:lang w:bidi="en-US"/>
        </w:rPr>
      </w:pPr>
      <w:r>
        <w:rPr>
          <w:color w:val="000000"/>
          <w:lang w:bidi="en-US"/>
        </w:rPr>
        <w:t xml:space="preserve">U tijeku </w:t>
      </w:r>
      <w:proofErr w:type="spellStart"/>
      <w:r>
        <w:rPr>
          <w:color w:val="000000"/>
          <w:lang w:bidi="en-US"/>
        </w:rPr>
        <w:t>pandemije</w:t>
      </w:r>
      <w:proofErr w:type="spellEnd"/>
      <w:r>
        <w:rPr>
          <w:color w:val="000000"/>
          <w:lang w:bidi="en-US"/>
        </w:rPr>
        <w:t xml:space="preserve"> uzorkovane novim </w:t>
      </w:r>
      <w:proofErr w:type="spellStart"/>
      <w:r>
        <w:rPr>
          <w:color w:val="000000"/>
          <w:lang w:bidi="en-US"/>
        </w:rPr>
        <w:t>koronavirusom</w:t>
      </w:r>
      <w:proofErr w:type="spellEnd"/>
      <w:r>
        <w:rPr>
          <w:color w:val="000000"/>
          <w:lang w:bidi="en-US"/>
        </w:rPr>
        <w:t xml:space="preserve"> najveća opterećenost upravo je ona na zdravstvene službe ali i na druge javne službe. Unutar zdravstvene službe, najveću opterećenost, podnosi epidemiološka</w:t>
      </w:r>
      <w:r>
        <w:rPr>
          <w:color w:val="000000"/>
          <w:lang w:bidi="en-US"/>
        </w:rPr>
        <w:t xml:space="preserve"> služba koja je nositelj komunikacije svih protuepidemijskih mjera prema svim dijelovima zdravstvene službe, a ujedno i sama provodi protuepidemijske mjere obuzdavanja širenja uz aktivno traženje kontakata oboljelih. Osim toga Hrvatski zavod za javno zdrav</w:t>
      </w:r>
      <w:r>
        <w:rPr>
          <w:color w:val="000000"/>
          <w:lang w:bidi="en-US"/>
        </w:rPr>
        <w:t>stvo (HZJZ) koordinira rad svih epidemioloških službi na terenu i drugih dijelova zdravstvene zaštite uz praćenje međunarodne situacije i međunarodnu komunikaciju, dnevno praćenje kretanja bolesti i podatke o virološkoj konfirmaciji oboljelih i dnevnu anal</w:t>
      </w:r>
      <w:r>
        <w:rPr>
          <w:color w:val="000000"/>
          <w:lang w:bidi="en-US"/>
        </w:rPr>
        <w:t xml:space="preserve">izu epidemiološke situacije, procjenu rizika i predlaganje protuepidemijskih mjera. </w:t>
      </w:r>
    </w:p>
    <w:p w:rsidR="00A07D92" w:rsidRDefault="00495E63">
      <w:pPr>
        <w:rPr>
          <w:color w:val="000000"/>
          <w:lang w:bidi="en-US"/>
        </w:rPr>
      </w:pPr>
      <w:r>
        <w:rPr>
          <w:color w:val="000000"/>
          <w:lang w:bidi="en-US"/>
        </w:rPr>
        <w:t>Uz epidemiološku službu, najveći teret podnosi infektološka djelatnost, uz poseban napor djelatnika jedinica intenzivnog liječenja zbog liječenja teških komplikacija boles</w:t>
      </w:r>
      <w:r>
        <w:rPr>
          <w:color w:val="000000"/>
          <w:lang w:bidi="en-US"/>
        </w:rPr>
        <w:t xml:space="preserve">ti poput virusne pneumonije. Dodatno, mnogi drugi bolnički odjeli trpe zbog opterećenost </w:t>
      </w:r>
      <w:proofErr w:type="spellStart"/>
      <w:r>
        <w:rPr>
          <w:color w:val="000000"/>
          <w:lang w:bidi="en-US"/>
        </w:rPr>
        <w:t>pandemijom</w:t>
      </w:r>
      <w:proofErr w:type="spellEnd"/>
      <w:r>
        <w:rPr>
          <w:color w:val="000000"/>
          <w:lang w:bidi="en-US"/>
        </w:rPr>
        <w:t xml:space="preserve"> s obzirom da se infekcija širi bolničkim odjelima te nedostaje prijeko potrebnih zdravstvenih djelatnika.</w:t>
      </w:r>
    </w:p>
    <w:p w:rsidR="00A07D92" w:rsidRDefault="00495E63">
      <w:pPr>
        <w:rPr>
          <w:color w:val="000000"/>
          <w:lang w:bidi="en-US"/>
        </w:rPr>
      </w:pPr>
      <w:r>
        <w:rPr>
          <w:color w:val="000000"/>
          <w:lang w:bidi="en-US"/>
        </w:rPr>
        <w:lastRenderedPageBreak/>
        <w:t>U globalu epidemija uzrokuje znate posljedice na c</w:t>
      </w:r>
      <w:r>
        <w:rPr>
          <w:color w:val="000000"/>
          <w:lang w:bidi="en-US"/>
        </w:rPr>
        <w:t>jelokupni zdravstveni sustav zbog nedostatka zdravstvenih djelatnika, smanjenih bolničkih kapaciteta za oboljele tako i zbog nekontroliranog širenja virusa te povećanog broja novooboljelih.</w:t>
      </w:r>
    </w:p>
    <w:p w:rsidR="00A07D92" w:rsidRDefault="00495E63">
      <w:pPr>
        <w:rPr>
          <w:rFonts w:cs="Calibri"/>
          <w:color w:val="auto"/>
          <w:szCs w:val="22"/>
        </w:rPr>
      </w:pPr>
      <w:r>
        <w:rPr>
          <w:rFonts w:cs="Calibri"/>
          <w:color w:val="auto"/>
          <w:szCs w:val="22"/>
        </w:rPr>
        <w:t>Zdravstveni sustav ima ključnu ulogu u epidemiološkom, kliničkom i</w:t>
      </w:r>
      <w:r>
        <w:rPr>
          <w:rFonts w:cs="Calibri"/>
          <w:color w:val="auto"/>
          <w:szCs w:val="22"/>
        </w:rPr>
        <w:t xml:space="preserve"> virološkom praćenju COVID-19, na temelju kojeg donosi i provodi protuepidemijske mjere i liječenje kojima će se smanjiti rizik od širenja </w:t>
      </w:r>
      <w:proofErr w:type="spellStart"/>
      <w:r>
        <w:rPr>
          <w:rFonts w:cs="Calibri"/>
          <w:color w:val="auto"/>
          <w:szCs w:val="22"/>
        </w:rPr>
        <w:t>pandemijskog</w:t>
      </w:r>
      <w:proofErr w:type="spellEnd"/>
      <w:r>
        <w:rPr>
          <w:rFonts w:cs="Calibri"/>
          <w:color w:val="auto"/>
          <w:szCs w:val="22"/>
        </w:rPr>
        <w:t xml:space="preserve"> virusa te time smanjiti morbiditet i mortalitet.</w:t>
      </w:r>
    </w:p>
    <w:p w:rsidR="00A07D92" w:rsidRDefault="00495E63">
      <w:pPr>
        <w:rPr>
          <w:rFonts w:cs="Calibri"/>
          <w:color w:val="auto"/>
          <w:szCs w:val="22"/>
        </w:rPr>
      </w:pPr>
      <w:r>
        <w:rPr>
          <w:rFonts w:cs="Calibri"/>
          <w:color w:val="auto"/>
          <w:szCs w:val="22"/>
        </w:rPr>
        <w:t xml:space="preserve">Različite strukture nezdravstvenog sustava osiguravaju </w:t>
      </w:r>
      <w:r>
        <w:rPr>
          <w:rFonts w:cs="Calibri"/>
          <w:color w:val="auto"/>
          <w:szCs w:val="22"/>
        </w:rPr>
        <w:t xml:space="preserve">tijekom </w:t>
      </w:r>
      <w:proofErr w:type="spellStart"/>
      <w:r>
        <w:rPr>
          <w:rFonts w:cs="Calibri"/>
          <w:color w:val="auto"/>
          <w:szCs w:val="22"/>
        </w:rPr>
        <w:t>pandemije</w:t>
      </w:r>
      <w:proofErr w:type="spellEnd"/>
      <w:r>
        <w:rPr>
          <w:rFonts w:cs="Calibri"/>
          <w:color w:val="auto"/>
          <w:szCs w:val="22"/>
        </w:rPr>
        <w:t xml:space="preserve"> funkcioniranje javnih službi (opskrba energijom, transport, snabdijevanje hranom) kako bi se smanjio utjecaj na zdravstveni sustav, gospodarstvo i društvo u cjelini.</w:t>
      </w:r>
    </w:p>
    <w:p w:rsidR="00A07D92" w:rsidRDefault="00495E63">
      <w:pPr>
        <w:spacing w:before="0" w:after="0"/>
        <w:rPr>
          <w:color w:val="auto"/>
          <w:szCs w:val="22"/>
          <w:u w:val="single"/>
        </w:rPr>
      </w:pPr>
      <w:r>
        <w:rPr>
          <w:color w:val="auto"/>
          <w:szCs w:val="22"/>
          <w:u w:val="single"/>
        </w:rPr>
        <w:t xml:space="preserve">Ozbiljnost događaja </w:t>
      </w:r>
      <w:proofErr w:type="spellStart"/>
      <w:r>
        <w:rPr>
          <w:color w:val="auto"/>
          <w:szCs w:val="22"/>
          <w:u w:val="single"/>
        </w:rPr>
        <w:t>pandemije</w:t>
      </w:r>
      <w:proofErr w:type="spellEnd"/>
      <w:r>
        <w:rPr>
          <w:color w:val="auto"/>
          <w:szCs w:val="22"/>
          <w:u w:val="single"/>
        </w:rPr>
        <w:t xml:space="preserve"> kao i posljedični događaji uvelike ovise o</w:t>
      </w:r>
      <w:r>
        <w:rPr>
          <w:color w:val="auto"/>
          <w:szCs w:val="22"/>
          <w:u w:val="single"/>
        </w:rPr>
        <w:t xml:space="preserve"> pitanjima koje svaka </w:t>
      </w:r>
      <w:proofErr w:type="spellStart"/>
      <w:r>
        <w:rPr>
          <w:color w:val="auto"/>
          <w:szCs w:val="22"/>
          <w:u w:val="single"/>
        </w:rPr>
        <w:t>pandemija</w:t>
      </w:r>
      <w:proofErr w:type="spellEnd"/>
      <w:r>
        <w:rPr>
          <w:color w:val="auto"/>
          <w:szCs w:val="22"/>
          <w:u w:val="single"/>
        </w:rPr>
        <w:t xml:space="preserve"> postavlja:</w:t>
      </w:r>
    </w:p>
    <w:p w:rsidR="00A07D92" w:rsidRDefault="00495E63">
      <w:pPr>
        <w:spacing w:line="240" w:lineRule="auto"/>
        <w:rPr>
          <w:color w:val="auto"/>
          <w:szCs w:val="22"/>
        </w:rPr>
      </w:pPr>
      <w:r>
        <w:rPr>
          <w:color w:val="auto"/>
          <w:szCs w:val="22"/>
        </w:rPr>
        <w:t>a) Koliko učestalo se pojavljuju novi slučajevi,</w:t>
      </w:r>
    </w:p>
    <w:p w:rsidR="00A07D92" w:rsidRDefault="00495E63">
      <w:pPr>
        <w:spacing w:line="240" w:lineRule="auto"/>
        <w:rPr>
          <w:color w:val="auto"/>
          <w:szCs w:val="22"/>
        </w:rPr>
      </w:pPr>
      <w:r>
        <w:rPr>
          <w:color w:val="auto"/>
          <w:szCs w:val="22"/>
        </w:rPr>
        <w:t xml:space="preserve">b) Koje grupe ljudi će teže i ozbiljnije </w:t>
      </w:r>
      <w:proofErr w:type="spellStart"/>
      <w:r>
        <w:rPr>
          <w:color w:val="auto"/>
          <w:szCs w:val="22"/>
        </w:rPr>
        <w:t>oboliti</w:t>
      </w:r>
      <w:proofErr w:type="spellEnd"/>
      <w:r>
        <w:rPr>
          <w:color w:val="auto"/>
          <w:szCs w:val="22"/>
        </w:rPr>
        <w:t xml:space="preserve"> ili imaju veći rizik za umiranje,</w:t>
      </w:r>
    </w:p>
    <w:p w:rsidR="00A07D92" w:rsidRDefault="00495E63">
      <w:pPr>
        <w:spacing w:line="240" w:lineRule="auto"/>
        <w:rPr>
          <w:color w:val="auto"/>
          <w:szCs w:val="22"/>
        </w:rPr>
      </w:pPr>
      <w:r>
        <w:rPr>
          <w:color w:val="auto"/>
          <w:szCs w:val="22"/>
        </w:rPr>
        <w:t>c) Koji oblici oboljenja i posljedičnih komplikacija su viđeni u trenutku pojave,</w:t>
      </w:r>
    </w:p>
    <w:p w:rsidR="00A07D92" w:rsidRDefault="00495E63">
      <w:pPr>
        <w:spacing w:line="240" w:lineRule="auto"/>
        <w:rPr>
          <w:color w:val="auto"/>
          <w:szCs w:val="22"/>
        </w:rPr>
      </w:pPr>
      <w:r>
        <w:rPr>
          <w:color w:val="auto"/>
          <w:szCs w:val="22"/>
        </w:rPr>
        <w:t xml:space="preserve">d) Da li je </w:t>
      </w:r>
      <w:proofErr w:type="spellStart"/>
      <w:r>
        <w:rPr>
          <w:color w:val="auto"/>
          <w:szCs w:val="22"/>
        </w:rPr>
        <w:t>koronavirus</w:t>
      </w:r>
      <w:proofErr w:type="spellEnd"/>
      <w:r>
        <w:rPr>
          <w:color w:val="auto"/>
          <w:szCs w:val="22"/>
        </w:rPr>
        <w:t xml:space="preserve"> osjetljiv na </w:t>
      </w:r>
      <w:proofErr w:type="spellStart"/>
      <w:r>
        <w:rPr>
          <w:color w:val="auto"/>
          <w:szCs w:val="22"/>
        </w:rPr>
        <w:t>antiviralnu</w:t>
      </w:r>
      <w:proofErr w:type="spellEnd"/>
      <w:r>
        <w:rPr>
          <w:color w:val="auto"/>
          <w:szCs w:val="22"/>
        </w:rPr>
        <w:t xml:space="preserve"> terapiju,</w:t>
      </w:r>
    </w:p>
    <w:p w:rsidR="00A07D92" w:rsidRDefault="00495E63">
      <w:pPr>
        <w:spacing w:line="240" w:lineRule="auto"/>
        <w:rPr>
          <w:color w:val="auto"/>
          <w:szCs w:val="22"/>
        </w:rPr>
      </w:pPr>
      <w:r>
        <w:rPr>
          <w:color w:val="auto"/>
          <w:szCs w:val="22"/>
        </w:rPr>
        <w:t>e) Koliko će uopće po procjeni ljudi oboljeti od COVID-19,</w:t>
      </w:r>
    </w:p>
    <w:p w:rsidR="00A07D92" w:rsidRDefault="00495E63">
      <w:pPr>
        <w:spacing w:line="240" w:lineRule="auto"/>
        <w:rPr>
          <w:color w:val="auto"/>
          <w:szCs w:val="22"/>
        </w:rPr>
      </w:pPr>
      <w:r>
        <w:rPr>
          <w:color w:val="auto"/>
          <w:szCs w:val="22"/>
        </w:rPr>
        <w:t>f) Kakav će biti utjecaj na zdravstveni sektor u cjelini uključujući i cjelokupni angažman kompletnog zdravstvenog sustava koji ima.</w:t>
      </w:r>
    </w:p>
    <w:p w:rsidR="00A07D92" w:rsidRDefault="00495E63">
      <w:pPr>
        <w:rPr>
          <w:color w:val="auto"/>
          <w:szCs w:val="22"/>
        </w:rPr>
      </w:pPr>
      <w:r>
        <w:rPr>
          <w:color w:val="auto"/>
          <w:szCs w:val="22"/>
        </w:rPr>
        <w:t>Zdra</w:t>
      </w:r>
      <w:r>
        <w:rPr>
          <w:color w:val="auto"/>
          <w:szCs w:val="22"/>
        </w:rPr>
        <w:t xml:space="preserve">vstveni resursi koji podnose glavni teret javno zdravstvenog odgovora na </w:t>
      </w:r>
      <w:proofErr w:type="spellStart"/>
      <w:r>
        <w:rPr>
          <w:color w:val="auto"/>
          <w:szCs w:val="22"/>
        </w:rPr>
        <w:t>pandemiju</w:t>
      </w:r>
      <w:proofErr w:type="spellEnd"/>
      <w:r>
        <w:rPr>
          <w:color w:val="auto"/>
          <w:szCs w:val="22"/>
        </w:rPr>
        <w:t xml:space="preserve"> uzorkovanu novim </w:t>
      </w:r>
      <w:proofErr w:type="spellStart"/>
      <w:r>
        <w:rPr>
          <w:color w:val="auto"/>
          <w:szCs w:val="22"/>
        </w:rPr>
        <w:t>koronavirusom</w:t>
      </w:r>
      <w:proofErr w:type="spellEnd"/>
      <w:r>
        <w:rPr>
          <w:color w:val="auto"/>
          <w:szCs w:val="22"/>
        </w:rPr>
        <w:t xml:space="preserve"> na području Grada Malog Lošinja su:</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Dom zdravlja dr. Dinko Kozulić</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Nastavni Zavod za javno zdravstvo Primorsko goranske županije, ispostava Ma</w:t>
      </w:r>
      <w:r>
        <w:rPr>
          <w:rFonts w:eastAsiaTheme="minorEastAsia"/>
          <w:color w:val="auto"/>
        </w:rPr>
        <w:t>li Lošinj</w:t>
      </w:r>
    </w:p>
    <w:p w:rsidR="00A07D92" w:rsidRDefault="00495E63">
      <w:pPr>
        <w:pStyle w:val="Odlomakpopisa"/>
        <w:numPr>
          <w:ilvl w:val="0"/>
          <w:numId w:val="27"/>
        </w:numPr>
        <w:spacing w:line="276" w:lineRule="auto"/>
        <w:rPr>
          <w:rFonts w:eastAsiaTheme="minorEastAsia"/>
        </w:rPr>
      </w:pPr>
      <w:r>
        <w:rPr>
          <w:rFonts w:eastAsiaTheme="minorEastAsia"/>
        </w:rPr>
        <w:t xml:space="preserve">privatnih ordinacija opće medicine </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 xml:space="preserve">2 privatne specijalističke ordinacije, </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 xml:space="preserve">5 stomatoloških ordinacija </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2 zubotehnička laboratorija.</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3 ljekarne</w:t>
      </w:r>
    </w:p>
    <w:p w:rsidR="00A07D92" w:rsidRDefault="00A07D92">
      <w:pPr>
        <w:tabs>
          <w:tab w:val="left" w:pos="142"/>
        </w:tabs>
        <w:spacing w:before="72" w:after="72"/>
        <w:contextualSpacing/>
        <w:rPr>
          <w:szCs w:val="22"/>
          <w:lang w:eastAsia="hr-HR"/>
        </w:rPr>
      </w:pPr>
    </w:p>
    <w:p w:rsidR="00A07D92" w:rsidRDefault="00495E63">
      <w:pPr>
        <w:rPr>
          <w:color w:val="auto"/>
          <w:szCs w:val="22"/>
        </w:rPr>
      </w:pPr>
      <w:r>
        <w:rPr>
          <w:color w:val="auto"/>
          <w:szCs w:val="22"/>
        </w:rPr>
        <w:t xml:space="preserve">U trenutcima </w:t>
      </w:r>
      <w:proofErr w:type="spellStart"/>
      <w:r>
        <w:rPr>
          <w:color w:val="auto"/>
          <w:szCs w:val="22"/>
        </w:rPr>
        <w:t>pandemijskog</w:t>
      </w:r>
      <w:proofErr w:type="spellEnd"/>
      <w:r>
        <w:rPr>
          <w:color w:val="auto"/>
          <w:szCs w:val="22"/>
        </w:rPr>
        <w:t xml:space="preserve"> vrhunca smještaj u bolnicama oboljelih od COVID-19, je kapacitetom ograniče</w:t>
      </w:r>
      <w:r>
        <w:rPr>
          <w:color w:val="auto"/>
          <w:szCs w:val="22"/>
        </w:rPr>
        <w:t xml:space="preserve">n, pa je potreban dodatni smještajni kapacitet u drugim ustanovama poput umirovljeničkih domova, dječjih vrtića, škola, hotela i sličnih objekata. </w:t>
      </w:r>
    </w:p>
    <w:p w:rsidR="00A07D92" w:rsidRDefault="00495E63">
      <w:pPr>
        <w:rPr>
          <w:color w:val="auto"/>
          <w:szCs w:val="22"/>
        </w:rPr>
      </w:pPr>
      <w:r>
        <w:rPr>
          <w:color w:val="auto"/>
          <w:szCs w:val="22"/>
        </w:rPr>
        <w:t xml:space="preserve">Nadalje, posljedice </w:t>
      </w:r>
      <w:proofErr w:type="spellStart"/>
      <w:r>
        <w:rPr>
          <w:color w:val="auto"/>
          <w:szCs w:val="22"/>
        </w:rPr>
        <w:t>pandemije</w:t>
      </w:r>
      <w:proofErr w:type="spellEnd"/>
      <w:r>
        <w:rPr>
          <w:color w:val="auto"/>
          <w:szCs w:val="22"/>
        </w:rPr>
        <w:t xml:space="preserve"> uzorkovane novim </w:t>
      </w:r>
      <w:proofErr w:type="spellStart"/>
      <w:r>
        <w:rPr>
          <w:color w:val="auto"/>
          <w:szCs w:val="22"/>
        </w:rPr>
        <w:t>koronavirusom</w:t>
      </w:r>
      <w:proofErr w:type="spellEnd"/>
      <w:r>
        <w:rPr>
          <w:color w:val="auto"/>
          <w:szCs w:val="22"/>
        </w:rPr>
        <w:t xml:space="preserve"> obuhvaćaju i sve aspekte proizašle iz provedbe </w:t>
      </w:r>
      <w:r>
        <w:rPr>
          <w:color w:val="auto"/>
          <w:szCs w:val="22"/>
        </w:rPr>
        <w:t>protuepidemijskih mjera koji se odnose na socijalne navike stanovništva poput izbjegavanja fizičkog kontakta, pridržavanje socijalne distance, restrikcije putovanja, zatvaranja granice za putovanja, zatvaranja škola i drugih ustanova, te izračun posljedičn</w:t>
      </w:r>
      <w:r>
        <w:rPr>
          <w:color w:val="auto"/>
          <w:szCs w:val="22"/>
        </w:rPr>
        <w:t>ih šteta ovakvih događaja također treba uzeti u obzir.</w:t>
      </w:r>
    </w:p>
    <w:p w:rsidR="00A07D92" w:rsidRDefault="00495E63">
      <w:pPr>
        <w:rPr>
          <w:color w:val="auto"/>
          <w:szCs w:val="22"/>
        </w:rPr>
      </w:pPr>
      <w:r>
        <w:rPr>
          <w:color w:val="auto"/>
          <w:szCs w:val="22"/>
        </w:rPr>
        <w:t xml:space="preserve">Po </w:t>
      </w:r>
      <w:r>
        <w:rPr>
          <w:color w:val="000000"/>
          <w:lang w:bidi="en-US"/>
        </w:rPr>
        <w:t>prestanku epidemije bolesti COVID-19 uzrokovane virusom SARS-</w:t>
      </w:r>
      <w:proofErr w:type="spellStart"/>
      <w:r>
        <w:rPr>
          <w:color w:val="000000"/>
          <w:lang w:bidi="en-US"/>
        </w:rPr>
        <w:t>CoV</w:t>
      </w:r>
      <w:proofErr w:type="spellEnd"/>
      <w:r>
        <w:rPr>
          <w:color w:val="000000"/>
          <w:lang w:bidi="en-US"/>
        </w:rPr>
        <w:t xml:space="preserve">-2 zabilježen je 5.361.862 broj utrošenih doza cjepiva, s jednom dozom cijepljeno je 2.321.595 ljudi, dok je sa dvije doze cijepljeno </w:t>
      </w:r>
      <w:r>
        <w:rPr>
          <w:color w:val="000000"/>
          <w:lang w:bidi="en-US"/>
        </w:rPr>
        <w:t>2.251.570 ljudi.</w:t>
      </w:r>
    </w:p>
    <w:p w:rsidR="00A07D92" w:rsidRDefault="00495E63">
      <w:pPr>
        <w:keepNext/>
        <w:keepLines/>
        <w:spacing w:before="40"/>
        <w:outlineLvl w:val="2"/>
        <w:rPr>
          <w:rFonts w:cstheme="majorBidi"/>
          <w:color w:val="54883D"/>
          <w:sz w:val="28"/>
          <w:lang w:bidi="en-US"/>
        </w:rPr>
      </w:pPr>
      <w:bookmarkStart w:id="162" w:name="_Toc136522826"/>
      <w:bookmarkStart w:id="163" w:name="_Toc13472012"/>
      <w:bookmarkStart w:id="164" w:name="_Toc10450134"/>
      <w:r>
        <w:rPr>
          <w:rFonts w:cstheme="majorBidi"/>
          <w:color w:val="54883D"/>
          <w:sz w:val="28"/>
          <w:lang w:bidi="en-US"/>
        </w:rPr>
        <w:lastRenderedPageBreak/>
        <w:t>6.2.5 Uzrok</w:t>
      </w:r>
      <w:bookmarkEnd w:id="162"/>
      <w:bookmarkEnd w:id="163"/>
      <w:bookmarkEnd w:id="164"/>
    </w:p>
    <w:p w:rsidR="00A07D92" w:rsidRDefault="00495E63">
      <w:pPr>
        <w:rPr>
          <w:lang w:bidi="en-US"/>
        </w:rPr>
      </w:pPr>
      <w:r>
        <w:rPr>
          <w:lang w:bidi="en-US"/>
        </w:rPr>
        <w:t xml:space="preserve">Uzrok </w:t>
      </w:r>
      <w:proofErr w:type="spellStart"/>
      <w:r>
        <w:rPr>
          <w:lang w:bidi="en-US"/>
        </w:rPr>
        <w:t>pandemije</w:t>
      </w:r>
      <w:proofErr w:type="spellEnd"/>
      <w:r>
        <w:rPr>
          <w:lang w:bidi="en-US"/>
        </w:rPr>
        <w:t xml:space="preserve"> je novi </w:t>
      </w:r>
      <w:proofErr w:type="spellStart"/>
      <w:r>
        <w:rPr>
          <w:lang w:bidi="en-US"/>
        </w:rPr>
        <w:t>koronavirus</w:t>
      </w:r>
      <w:proofErr w:type="spellEnd"/>
      <w:r>
        <w:rPr>
          <w:lang w:bidi="en-US"/>
        </w:rPr>
        <w:t xml:space="preserve"> SARS—</w:t>
      </w:r>
      <w:proofErr w:type="spellStart"/>
      <w:r>
        <w:rPr>
          <w:lang w:bidi="en-US"/>
        </w:rPr>
        <w:t>CoV</w:t>
      </w:r>
      <w:proofErr w:type="spellEnd"/>
      <w:r>
        <w:rPr>
          <w:lang w:bidi="en-US"/>
        </w:rPr>
        <w:t xml:space="preserve">-2, koji se pojavio krajem 2019. godine u Kini. Radi se o novom soju </w:t>
      </w:r>
      <w:proofErr w:type="spellStart"/>
      <w:r>
        <w:rPr>
          <w:lang w:bidi="en-US"/>
        </w:rPr>
        <w:t>koronavirusa</w:t>
      </w:r>
      <w:proofErr w:type="spellEnd"/>
      <w:r>
        <w:rPr>
          <w:lang w:bidi="en-US"/>
        </w:rPr>
        <w:t xml:space="preserve"> koji prije nije bio otkriven kod ljudi te uzrokuje bolest COVID-2019.</w:t>
      </w:r>
    </w:p>
    <w:p w:rsidR="00A07D92" w:rsidRDefault="00495E63">
      <w:pPr>
        <w:rPr>
          <w:u w:val="single"/>
        </w:rPr>
      </w:pPr>
      <w:r>
        <w:rPr>
          <w:u w:val="single"/>
        </w:rPr>
        <w:t>RAZVOJ DOGAĐAJA KOJI JE PRETHOD</w:t>
      </w:r>
      <w:r>
        <w:rPr>
          <w:u w:val="single"/>
        </w:rPr>
        <w:t>IO VELIKOJ NESREĆI</w:t>
      </w:r>
    </w:p>
    <w:p w:rsidR="00A07D92" w:rsidRDefault="00495E63">
      <w:pPr>
        <w:rPr>
          <w:lang w:bidi="en-US"/>
        </w:rPr>
      </w:pPr>
      <w:proofErr w:type="spellStart"/>
      <w:r>
        <w:rPr>
          <w:lang w:bidi="en-US"/>
        </w:rPr>
        <w:t>Koronavirusi</w:t>
      </w:r>
      <w:proofErr w:type="spellEnd"/>
      <w:r>
        <w:rPr>
          <w:lang w:bidi="en-US"/>
        </w:rPr>
        <w:t xml:space="preserve"> su virusi koji cirkuliraju među životinjama no neki od njih mogu prijeći na ljude. Nakon što prijeđu sa životinje na čovjeka mogu se prenositi među ljudima.</w:t>
      </w:r>
    </w:p>
    <w:p w:rsidR="00A07D92" w:rsidRDefault="00495E63">
      <w:pPr>
        <w:rPr>
          <w:u w:val="single"/>
        </w:rPr>
      </w:pPr>
      <w:r>
        <w:rPr>
          <w:u w:val="single"/>
        </w:rPr>
        <w:t>OKIDAČ KOJI JE UZROKOVAO VELIKU NESREĆU</w:t>
      </w:r>
    </w:p>
    <w:p w:rsidR="00A07D92" w:rsidRDefault="00495E63">
      <w:pPr>
        <w:rPr>
          <w:lang w:bidi="en-US"/>
        </w:rPr>
      </w:pPr>
      <w:r>
        <w:rPr>
          <w:lang w:bidi="en-US"/>
        </w:rPr>
        <w:t xml:space="preserve">Pojava novog </w:t>
      </w:r>
      <w:proofErr w:type="spellStart"/>
      <w:r>
        <w:rPr>
          <w:lang w:bidi="en-US"/>
        </w:rPr>
        <w:t>koronavirusa</w:t>
      </w:r>
      <w:proofErr w:type="spellEnd"/>
      <w:r>
        <w:rPr>
          <w:lang w:bidi="en-US"/>
        </w:rPr>
        <w:t xml:space="preserve"> k</w:t>
      </w:r>
      <w:r>
        <w:rPr>
          <w:lang w:bidi="en-US"/>
        </w:rPr>
        <w:t xml:space="preserve">oji se sada širi s osobe na osobu (prijenos s čovjeka na čovjeka) iako virus potječe od životinja te je uzrokovao </w:t>
      </w:r>
      <w:proofErr w:type="spellStart"/>
      <w:r>
        <w:rPr>
          <w:lang w:bidi="en-US"/>
        </w:rPr>
        <w:t>pandemiju</w:t>
      </w:r>
      <w:proofErr w:type="spellEnd"/>
      <w:r>
        <w:rPr>
          <w:lang w:bidi="en-US"/>
        </w:rPr>
        <w:t xml:space="preserve">. </w:t>
      </w:r>
    </w:p>
    <w:p w:rsidR="00A07D92" w:rsidRDefault="00495E63">
      <w:pPr>
        <w:rPr>
          <w:lang w:bidi="en-US"/>
        </w:rPr>
      </w:pPr>
      <w:proofErr w:type="spellStart"/>
      <w:r>
        <w:rPr>
          <w:b/>
          <w:u w:val="single"/>
          <w:lang w:bidi="en-US"/>
        </w:rPr>
        <w:t>Pandemija</w:t>
      </w:r>
      <w:proofErr w:type="spellEnd"/>
      <w:r>
        <w:rPr>
          <w:b/>
          <w:u w:val="single"/>
          <w:lang w:bidi="en-US"/>
        </w:rPr>
        <w:t xml:space="preserve"> </w:t>
      </w:r>
      <w:r>
        <w:rPr>
          <w:lang w:bidi="en-US"/>
        </w:rPr>
        <w:t xml:space="preserve">(od grčke riječi </w:t>
      </w:r>
      <w:proofErr w:type="spellStart"/>
      <w:r>
        <w:rPr>
          <w:lang w:bidi="en-US"/>
        </w:rPr>
        <w:t>pan</w:t>
      </w:r>
      <w:proofErr w:type="spellEnd"/>
      <w:r>
        <w:rPr>
          <w:lang w:bidi="en-US"/>
        </w:rPr>
        <w:t xml:space="preserve"> "svi" i demos "ljudi") označava širenje infekcijske bolesti u širokim geografskim regijama, </w:t>
      </w:r>
      <w:r>
        <w:rPr>
          <w:lang w:bidi="en-US"/>
        </w:rPr>
        <w:t>kontinentalnih ili globalnih razmjera.</w:t>
      </w:r>
    </w:p>
    <w:p w:rsidR="00A07D92" w:rsidRDefault="00495E63">
      <w:pPr>
        <w:rPr>
          <w:lang w:bidi="en-US"/>
        </w:rPr>
      </w:pPr>
      <w:r>
        <w:rPr>
          <w:lang w:bidi="en-US"/>
        </w:rPr>
        <w:t xml:space="preserve">Obzirom na epidemiološku situaciju u cijelom svijetu i činjenicu da cjepivo još uvijek nije pronađeno, ovakva situacija dodatno povećava zabrinutost cjelokupnog stanovništva i preopterećenost zdravstvenog sektora ali </w:t>
      </w:r>
      <w:r>
        <w:rPr>
          <w:lang w:bidi="en-US"/>
        </w:rPr>
        <w:t>i drugih sektora u Hrvatskoj.</w:t>
      </w:r>
    </w:p>
    <w:p w:rsidR="00A07D92" w:rsidRDefault="00495E63">
      <w:pPr>
        <w:keepNext/>
        <w:keepLines/>
        <w:spacing w:before="40"/>
        <w:outlineLvl w:val="2"/>
        <w:rPr>
          <w:rFonts w:cstheme="majorBidi"/>
          <w:iCs/>
          <w:color w:val="54883D"/>
          <w:sz w:val="28"/>
          <w:lang w:bidi="en-US"/>
        </w:rPr>
      </w:pPr>
      <w:bookmarkStart w:id="165" w:name="_Toc136522827"/>
      <w:bookmarkStart w:id="166" w:name="_Toc13472013"/>
      <w:bookmarkStart w:id="167" w:name="_Toc10450135"/>
      <w:r>
        <w:rPr>
          <w:rFonts w:cstheme="majorBidi"/>
          <w:iCs/>
          <w:color w:val="54883D"/>
          <w:sz w:val="28"/>
          <w:lang w:bidi="en-US"/>
        </w:rPr>
        <w:t>6.2.6 Događaj s najgorim mogućim posljedicama</w:t>
      </w:r>
      <w:bookmarkEnd w:id="165"/>
      <w:bookmarkEnd w:id="166"/>
      <w:bookmarkEnd w:id="167"/>
    </w:p>
    <w:p w:rsidR="00A07D92" w:rsidRDefault="00495E63">
      <w:pPr>
        <w:rPr>
          <w:color w:val="auto"/>
          <w:lang w:bidi="en-US"/>
        </w:rPr>
      </w:pPr>
      <w:proofErr w:type="spellStart"/>
      <w:r>
        <w:rPr>
          <w:color w:val="auto"/>
          <w:lang w:bidi="en-US"/>
        </w:rPr>
        <w:t>Pandemija</w:t>
      </w:r>
      <w:proofErr w:type="spellEnd"/>
      <w:r>
        <w:rPr>
          <w:color w:val="auto"/>
          <w:lang w:bidi="en-US"/>
        </w:rPr>
        <w:t xml:space="preserve"> </w:t>
      </w:r>
      <w:proofErr w:type="spellStart"/>
      <w:r>
        <w:rPr>
          <w:color w:val="auto"/>
          <w:lang w:bidi="en-US"/>
        </w:rPr>
        <w:t>koronavirusa</w:t>
      </w:r>
      <w:proofErr w:type="spellEnd"/>
      <w:r>
        <w:rPr>
          <w:color w:val="auto"/>
          <w:lang w:bidi="en-US"/>
        </w:rPr>
        <w:t xml:space="preserve"> proširila se na Hrvatsku 25. veljače 2020. godine. Prvi slučaj potvrđen je u Zagrebu. Obolio je 26-godišnjak koji je od 19. do 21. veljače boravio u </w:t>
      </w:r>
      <w:r>
        <w:rPr>
          <w:color w:val="auto"/>
          <w:lang w:bidi="en-US"/>
        </w:rPr>
        <w:t>talijanskom gradu Milanu. Nakon što je pozitivno testiran, hospitaliziran je u Sveučilišnoj bolnici za zarazne bolesti dr. Frana Mihaljevića u Zagrebu.</w:t>
      </w:r>
    </w:p>
    <w:p w:rsidR="00A07D92" w:rsidRDefault="00495E63">
      <w:pPr>
        <w:rPr>
          <w:color w:val="auto"/>
          <w:lang w:bidi="en-US"/>
        </w:rPr>
      </w:pPr>
      <w:r>
        <w:rPr>
          <w:color w:val="auto"/>
          <w:lang w:bidi="en-US"/>
        </w:rPr>
        <w:t xml:space="preserve">Dana 19. ožujka 2020. zabilježeno je više od 100 slučajeva. Broj oboljelih samo za 2 dana duplicirao se </w:t>
      </w:r>
      <w:r>
        <w:rPr>
          <w:color w:val="auto"/>
          <w:lang w:bidi="en-US"/>
        </w:rPr>
        <w:t>na 200, a zaključno s 27. ožujka potvrđeno je više od 500 slučajeva. Dana 2. travnja zabilježeno je više od 1.000 slučajeva.</w:t>
      </w:r>
    </w:p>
    <w:p w:rsidR="00A07D92" w:rsidRDefault="00495E63">
      <w:pPr>
        <w:rPr>
          <w:i/>
          <w:iCs/>
          <w:color w:val="54883D"/>
        </w:rPr>
      </w:pPr>
      <w:r>
        <w:rPr>
          <w:i/>
          <w:iCs/>
          <w:color w:val="54883D"/>
        </w:rPr>
        <w:t>Posljedice</w:t>
      </w:r>
    </w:p>
    <w:p w:rsidR="00A07D92" w:rsidRDefault="00495E63">
      <w:pPr>
        <w:rPr>
          <w:u w:val="single"/>
        </w:rPr>
      </w:pPr>
      <w:r>
        <w:rPr>
          <w:u w:val="single"/>
        </w:rPr>
        <w:t>Život i zdravlje ljudi</w:t>
      </w:r>
    </w:p>
    <w:p w:rsidR="00A07D92" w:rsidRDefault="00495E63">
      <w:pPr>
        <w:spacing w:before="0" w:after="240"/>
        <w:jc w:val="center"/>
        <w:rPr>
          <w:rFonts w:eastAsiaTheme="minorHAnsi"/>
          <w:bCs/>
          <w:color w:val="54883D"/>
          <w:sz w:val="20"/>
          <w:szCs w:val="18"/>
          <w:lang w:bidi="en-US"/>
        </w:rPr>
      </w:pPr>
      <w:r>
        <w:rPr>
          <w:rFonts w:eastAsiaTheme="minorHAnsi"/>
          <w:bCs/>
          <w:color w:val="54883D"/>
          <w:sz w:val="20"/>
          <w:szCs w:val="18"/>
          <w:lang w:bidi="en-US"/>
        </w:rPr>
        <w:t xml:space="preserve">Tablica </w:t>
      </w:r>
      <w:r>
        <w:rPr>
          <w:rFonts w:eastAsiaTheme="minorHAns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31</w:t>
      </w:r>
      <w:r>
        <w:rPr>
          <w:rFonts w:eastAsia="Calibri"/>
          <w:bCs/>
          <w:sz w:val="20"/>
          <w:szCs w:val="18"/>
        </w:rPr>
        <w:fldChar w:fldCharType="end"/>
      </w:r>
      <w:r>
        <w:rPr>
          <w:rFonts w:eastAsiaTheme="minorHAnsi"/>
          <w:bCs/>
          <w:color w:val="54883D"/>
          <w:sz w:val="20"/>
          <w:szCs w:val="18"/>
          <w:lang w:bidi="en-US"/>
        </w:rPr>
        <w:t>.Vrijednost kriterija za posljedice na život i zdravlje ljudi po</w:t>
      </w:r>
      <w:r>
        <w:rPr>
          <w:rFonts w:eastAsiaTheme="minorHAnsi"/>
          <w:bCs/>
          <w:color w:val="54883D"/>
          <w:sz w:val="20"/>
          <w:szCs w:val="18"/>
          <w:lang w:bidi="en-US"/>
        </w:rPr>
        <w:t xml:space="preserve"> kategorijama – epidemije i </w:t>
      </w:r>
      <w:proofErr w:type="spellStart"/>
      <w:r>
        <w:rPr>
          <w:rFonts w:eastAsiaTheme="minorHAnsi"/>
          <w:bCs/>
          <w:color w:val="54883D"/>
          <w:sz w:val="20"/>
          <w:szCs w:val="18"/>
          <w:lang w:bidi="en-US"/>
        </w:rPr>
        <w:t>pandemije</w:t>
      </w:r>
      <w:proofErr w:type="spellEnd"/>
    </w:p>
    <w:tbl>
      <w:tblPr>
        <w:tblStyle w:val="ivopisnatablicareetke6-isticanje31214"/>
        <w:tblW w:w="8332" w:type="dxa"/>
        <w:jc w:val="center"/>
        <w:tblLook w:val="04A0" w:firstRow="1" w:lastRow="0" w:firstColumn="1" w:lastColumn="0" w:noHBand="0" w:noVBand="1"/>
      </w:tblPr>
      <w:tblGrid>
        <w:gridCol w:w="1528"/>
        <w:gridCol w:w="2566"/>
        <w:gridCol w:w="2252"/>
        <w:gridCol w:w="1986"/>
      </w:tblGrid>
      <w:tr w:rsidR="00A07D92" w:rsidTr="00A07D92">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BROJ UGROŽENIH OSOBA %</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&lt; 0,001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07D92" w:rsidTr="00A07D92">
        <w:trPr>
          <w:trHeight w:val="243"/>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0,001 - 0,0046</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0,0047 - 0,011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07D92" w:rsidTr="00A07D92">
        <w:trPr>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0,012 - 0,035</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0,036 &gt;</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bl>
    <w:p w:rsidR="00A07D92" w:rsidRDefault="00A07D92">
      <w:pPr>
        <w:tabs>
          <w:tab w:val="left" w:pos="897"/>
        </w:tabs>
        <w:rPr>
          <w:u w:val="single"/>
        </w:rPr>
      </w:pPr>
    </w:p>
    <w:p w:rsidR="00A07D92" w:rsidRDefault="00495E63">
      <w:pPr>
        <w:tabs>
          <w:tab w:val="left" w:pos="897"/>
        </w:tabs>
        <w:rPr>
          <w:u w:val="single"/>
        </w:rPr>
      </w:pPr>
      <w:r>
        <w:rPr>
          <w:u w:val="single"/>
        </w:rPr>
        <w:t>Gospodarstvo</w:t>
      </w:r>
    </w:p>
    <w:p w:rsidR="00A07D92" w:rsidRDefault="00495E63">
      <w:pPr>
        <w:rPr>
          <w:szCs w:val="22"/>
        </w:rPr>
      </w:pPr>
      <w:r>
        <w:rPr>
          <w:szCs w:val="22"/>
        </w:rPr>
        <w:t xml:space="preserve">Posljedice </w:t>
      </w:r>
      <w:proofErr w:type="spellStart"/>
      <w:r>
        <w:rPr>
          <w:szCs w:val="22"/>
        </w:rPr>
        <w:t>pandemije</w:t>
      </w:r>
      <w:proofErr w:type="spellEnd"/>
      <w:r>
        <w:rPr>
          <w:szCs w:val="22"/>
        </w:rPr>
        <w:t xml:space="preserve"> uzrokovane novim </w:t>
      </w:r>
      <w:proofErr w:type="spellStart"/>
      <w:r>
        <w:rPr>
          <w:szCs w:val="22"/>
        </w:rPr>
        <w:t>koronavirusom</w:t>
      </w:r>
      <w:proofErr w:type="spellEnd"/>
      <w:r>
        <w:rPr>
          <w:szCs w:val="22"/>
        </w:rPr>
        <w:t xml:space="preserve"> primarno se očituju kroz indirektne troškove kao posljedica „</w:t>
      </w:r>
      <w:proofErr w:type="spellStart"/>
      <w:r>
        <w:rPr>
          <w:szCs w:val="22"/>
        </w:rPr>
        <w:t>lockdown</w:t>
      </w:r>
      <w:proofErr w:type="spellEnd"/>
      <w:r>
        <w:rPr>
          <w:szCs w:val="22"/>
        </w:rPr>
        <w:t xml:space="preserve">-a“, apsentizma zaposlenih osoba i troškove zdravstvenog </w:t>
      </w:r>
      <w:r>
        <w:rPr>
          <w:szCs w:val="22"/>
        </w:rPr>
        <w:lastRenderedPageBreak/>
        <w:t>sustava za liječenje oboljelih i provođenje preventivnih mjera u cilju suzbija</w:t>
      </w:r>
      <w:r>
        <w:rPr>
          <w:szCs w:val="22"/>
        </w:rPr>
        <w:t xml:space="preserve">nja i sprječavanja daljnjeg širenja </w:t>
      </w:r>
      <w:proofErr w:type="spellStart"/>
      <w:r>
        <w:rPr>
          <w:szCs w:val="22"/>
        </w:rPr>
        <w:t>pandemije</w:t>
      </w:r>
      <w:proofErr w:type="spellEnd"/>
      <w:r>
        <w:rPr>
          <w:szCs w:val="22"/>
        </w:rPr>
        <w:t xml:space="preserve">. </w:t>
      </w:r>
    </w:p>
    <w:p w:rsidR="00A07D92" w:rsidRDefault="00495E63">
      <w:pPr>
        <w:spacing w:before="0" w:after="240"/>
        <w:jc w:val="center"/>
        <w:rPr>
          <w:rFonts w:eastAsiaTheme="minorHAnsi"/>
          <w:bCs/>
          <w:iCs/>
          <w:color w:val="54883D"/>
          <w:sz w:val="20"/>
          <w:szCs w:val="18"/>
          <w:lang w:bidi="en-US"/>
        </w:rPr>
      </w:pPr>
      <w:r>
        <w:rPr>
          <w:rFonts w:eastAsiaTheme="minorHAnsi"/>
          <w:bCs/>
          <w:color w:val="54883D"/>
          <w:sz w:val="20"/>
          <w:szCs w:val="18"/>
          <w:lang w:bidi="en-US"/>
        </w:rPr>
        <w:t xml:space="preserve">Tablica </w:t>
      </w:r>
      <w:r>
        <w:rPr>
          <w:rFonts w:eastAsiaTheme="minorHAns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32</w:t>
      </w:r>
      <w:r>
        <w:rPr>
          <w:rFonts w:eastAsia="Calibri"/>
          <w:bCs/>
          <w:sz w:val="20"/>
          <w:szCs w:val="18"/>
        </w:rPr>
        <w:fldChar w:fldCharType="end"/>
      </w:r>
      <w:r>
        <w:rPr>
          <w:rFonts w:eastAsiaTheme="minorHAnsi"/>
          <w:bCs/>
          <w:color w:val="54883D"/>
          <w:sz w:val="20"/>
          <w:szCs w:val="18"/>
          <w:lang w:bidi="en-US"/>
        </w:rPr>
        <w:t>.</w:t>
      </w:r>
      <w:r>
        <w:rPr>
          <w:rFonts w:eastAsiaTheme="minorHAnsi"/>
          <w:bCs/>
          <w:iCs/>
          <w:color w:val="54883D"/>
          <w:sz w:val="20"/>
          <w:szCs w:val="18"/>
          <w:lang w:bidi="en-US"/>
        </w:rPr>
        <w:t xml:space="preserve">Vrijednost kriterija za posljedice na gospodarstvo po kategorijama – epidemije i </w:t>
      </w:r>
      <w:proofErr w:type="spellStart"/>
      <w:r>
        <w:rPr>
          <w:rFonts w:eastAsiaTheme="minorHAnsi"/>
          <w:bCs/>
          <w:iCs/>
          <w:color w:val="54883D"/>
          <w:sz w:val="20"/>
          <w:szCs w:val="18"/>
          <w:lang w:bidi="en-US"/>
        </w:rPr>
        <w:t>pandemije</w:t>
      </w:r>
      <w:proofErr w:type="spellEnd"/>
    </w:p>
    <w:tbl>
      <w:tblPr>
        <w:tblStyle w:val="ivopisnatablicareetke6-isticanje32322"/>
        <w:tblW w:w="9148" w:type="dxa"/>
        <w:jc w:val="center"/>
        <w:tblLook w:val="04A0" w:firstRow="1" w:lastRow="0" w:firstColumn="1" w:lastColumn="0" w:noHBand="0" w:noVBand="1"/>
      </w:tblPr>
      <w:tblGrid>
        <w:gridCol w:w="1528"/>
        <w:gridCol w:w="2421"/>
        <w:gridCol w:w="3558"/>
        <w:gridCol w:w="1641"/>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72" w:after="72" w:line="240" w:lineRule="auto"/>
              <w:jc w:val="center"/>
              <w:rPr>
                <w:color w:val="auto"/>
                <w:sz w:val="20"/>
                <w:szCs w:val="20"/>
              </w:rPr>
            </w:pPr>
            <w:r>
              <w:rPr>
                <w:color w:val="auto"/>
                <w:sz w:val="20"/>
                <w:szCs w:val="20"/>
              </w:rPr>
              <w:t>KATEGORIJA</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POSLJEDICE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KRITERIJ (€)</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1.</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6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2.</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 919.266,10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Pr>
                <w:b/>
                <w:color w:val="auto"/>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3.</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919.266,10 – 2.757.798,30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4.</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2.757.798,30 – 4.596.330,50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5.</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Katastrofalne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sz w:val="20"/>
                <w:szCs w:val="20"/>
              </w:rPr>
              <w:t xml:space="preserve">&gt; </w:t>
            </w:r>
            <w:r>
              <w:rPr>
                <w:color w:val="auto"/>
                <w:sz w:val="20"/>
                <w:szCs w:val="20"/>
              </w:rPr>
              <w:t>4.596.330,50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bl>
    <w:p w:rsidR="00A07D92" w:rsidRDefault="00A07D92">
      <w:pPr>
        <w:rPr>
          <w:u w:val="single"/>
        </w:rPr>
      </w:pPr>
    </w:p>
    <w:p w:rsidR="00A07D92" w:rsidRDefault="00495E63">
      <w:pPr>
        <w:rPr>
          <w:u w:val="single"/>
        </w:rPr>
      </w:pPr>
      <w:r>
        <w:rPr>
          <w:u w:val="single"/>
        </w:rPr>
        <w:t>Društvena stabilnost i politika</w:t>
      </w:r>
    </w:p>
    <w:p w:rsidR="00A07D92" w:rsidRDefault="00495E63">
      <w:pPr>
        <w:rPr>
          <w:rFonts w:eastAsiaTheme="minorHAnsi"/>
          <w:b/>
          <w:u w:val="single"/>
        </w:rPr>
      </w:pPr>
      <w:r>
        <w:rPr>
          <w:rFonts w:eastAsiaTheme="minorHAnsi"/>
          <w:b/>
          <w:u w:val="single"/>
        </w:rPr>
        <w:t>Posljedice po kritičnu infrastrukturu:</w:t>
      </w:r>
    </w:p>
    <w:p w:rsidR="00A07D92" w:rsidRDefault="00495E63">
      <w:pPr>
        <w:rPr>
          <w:szCs w:val="22"/>
        </w:rPr>
      </w:pPr>
      <w:r>
        <w:rPr>
          <w:szCs w:val="22"/>
        </w:rPr>
        <w:t xml:space="preserve">Ne očekuju se velike posljedice na kritičnu infrastrukturu zbog povećanog broja oboljelih osoba koji će koristiti bolovanje. </w:t>
      </w:r>
    </w:p>
    <w:p w:rsidR="00A07D92" w:rsidRDefault="00495E63">
      <w:pPr>
        <w:spacing w:after="0"/>
        <w:rPr>
          <w:i/>
          <w:iCs/>
          <w:color w:val="54883D"/>
        </w:rPr>
      </w:pPr>
      <w:r>
        <w:rPr>
          <w:i/>
          <w:iCs/>
          <w:color w:val="54883D"/>
        </w:rPr>
        <w:t>Zdravstvo</w:t>
      </w:r>
    </w:p>
    <w:p w:rsidR="00A07D92" w:rsidRDefault="00495E63">
      <w:pPr>
        <w:spacing w:after="0"/>
        <w:rPr>
          <w:iCs/>
          <w:color w:val="auto"/>
        </w:rPr>
      </w:pPr>
      <w:r>
        <w:rPr>
          <w:iCs/>
          <w:color w:val="auto"/>
        </w:rPr>
        <w:t>Moguće su poteškoće u održavanju zdravstvene zaštite zbog sve većeg broja oboljelih koji zahtijevaju veći angažman zdrav</w:t>
      </w:r>
      <w:r>
        <w:rPr>
          <w:iCs/>
          <w:color w:val="auto"/>
        </w:rPr>
        <w:t xml:space="preserve">stvenih djelatnika. </w:t>
      </w:r>
    </w:p>
    <w:p w:rsidR="00A07D92" w:rsidRDefault="00495E63">
      <w:pPr>
        <w:spacing w:after="0"/>
        <w:rPr>
          <w:color w:val="54883D"/>
          <w:szCs w:val="20"/>
        </w:rPr>
      </w:pPr>
      <w:r>
        <w:rPr>
          <w:i/>
          <w:iCs/>
          <w:color w:val="54883D"/>
        </w:rPr>
        <w:t>Javne službe</w:t>
      </w:r>
    </w:p>
    <w:p w:rsidR="00A07D92" w:rsidRDefault="00495E63">
      <w:pPr>
        <w:spacing w:after="0"/>
        <w:rPr>
          <w:szCs w:val="20"/>
        </w:rPr>
      </w:pPr>
      <w:r>
        <w:rPr>
          <w:szCs w:val="20"/>
        </w:rPr>
        <w:t>Može doći do poteškoća u radu javnih službi zbog povećanog broja osoba na bolovanju.</w:t>
      </w:r>
    </w:p>
    <w:p w:rsidR="00A07D92" w:rsidRDefault="00A07D92">
      <w:pPr>
        <w:spacing w:before="0" w:after="0"/>
        <w:jc w:val="center"/>
        <w:rPr>
          <w:rFonts w:eastAsiaTheme="minorHAnsi"/>
          <w:bCs/>
          <w:color w:val="54883D"/>
          <w:sz w:val="20"/>
          <w:szCs w:val="18"/>
          <w:lang w:bidi="en-US"/>
        </w:rPr>
      </w:pPr>
    </w:p>
    <w:p w:rsidR="00A07D92" w:rsidRDefault="00495E63">
      <w:pPr>
        <w:spacing w:before="0" w:after="0"/>
        <w:jc w:val="center"/>
        <w:rPr>
          <w:rFonts w:eastAsiaTheme="minorHAnsi"/>
          <w:bCs/>
          <w:color w:val="54883D"/>
          <w:sz w:val="20"/>
          <w:szCs w:val="18"/>
          <w:lang w:bidi="en-US"/>
        </w:rPr>
      </w:pPr>
      <w:r>
        <w:rPr>
          <w:rFonts w:eastAsiaTheme="minorHAnsi"/>
          <w:bCs/>
          <w:color w:val="54883D"/>
          <w:sz w:val="20"/>
          <w:szCs w:val="18"/>
          <w:lang w:bidi="en-US"/>
        </w:rPr>
        <w:t xml:space="preserve">Tablica </w:t>
      </w:r>
      <w:r>
        <w:rPr>
          <w:rFonts w:eastAsiaTheme="minorHAns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33</w:t>
      </w:r>
      <w:r>
        <w:rPr>
          <w:rFonts w:eastAsia="Calibri"/>
          <w:bCs/>
          <w:sz w:val="20"/>
          <w:szCs w:val="18"/>
        </w:rPr>
        <w:fldChar w:fldCharType="end"/>
      </w:r>
      <w:r>
        <w:rPr>
          <w:rFonts w:eastAsiaTheme="minorHAnsi"/>
          <w:bCs/>
          <w:color w:val="54883D"/>
          <w:sz w:val="20"/>
          <w:szCs w:val="18"/>
          <w:lang w:bidi="en-US"/>
        </w:rPr>
        <w:t>.Vrijednost kriterija za posljedice na društvenu stabilnost i politiku</w:t>
      </w:r>
    </w:p>
    <w:p w:rsidR="00A07D92" w:rsidRDefault="00495E63">
      <w:pPr>
        <w:spacing w:before="0" w:after="0"/>
        <w:jc w:val="center"/>
        <w:rPr>
          <w:rFonts w:eastAsiaTheme="minorHAnsi"/>
          <w:bCs/>
          <w:color w:val="54883D"/>
          <w:sz w:val="20"/>
          <w:szCs w:val="18"/>
          <w:lang w:bidi="en-US"/>
        </w:rPr>
      </w:pPr>
      <w:r>
        <w:rPr>
          <w:rFonts w:eastAsiaTheme="minorHAnsi"/>
          <w:bCs/>
          <w:color w:val="54883D"/>
          <w:sz w:val="20"/>
          <w:szCs w:val="18"/>
          <w:lang w:bidi="en-US"/>
        </w:rPr>
        <w:t xml:space="preserve">- oštećena kritična </w:t>
      </w:r>
      <w:r>
        <w:rPr>
          <w:rFonts w:eastAsiaTheme="minorHAnsi"/>
          <w:bCs/>
          <w:color w:val="54883D"/>
          <w:sz w:val="20"/>
          <w:szCs w:val="18"/>
          <w:lang w:bidi="en-US"/>
        </w:rPr>
        <w:t xml:space="preserve">infrastruktura – epidemije i </w:t>
      </w:r>
      <w:proofErr w:type="spellStart"/>
      <w:r>
        <w:rPr>
          <w:rFonts w:eastAsiaTheme="minorHAnsi"/>
          <w:bCs/>
          <w:color w:val="54883D"/>
          <w:sz w:val="20"/>
          <w:szCs w:val="18"/>
          <w:lang w:bidi="en-US"/>
        </w:rPr>
        <w:t>pandemije</w:t>
      </w:r>
      <w:proofErr w:type="spellEnd"/>
    </w:p>
    <w:p w:rsidR="00A07D92" w:rsidRDefault="00A07D92">
      <w:pPr>
        <w:spacing w:before="0" w:after="0"/>
        <w:jc w:val="center"/>
        <w:rPr>
          <w:rFonts w:eastAsiaTheme="minorHAnsi"/>
          <w:bCs/>
          <w:color w:val="54883D"/>
          <w:sz w:val="20"/>
          <w:szCs w:val="18"/>
          <w:lang w:bidi="en-US"/>
        </w:rPr>
      </w:pPr>
    </w:p>
    <w:tbl>
      <w:tblPr>
        <w:tblStyle w:val="ivopisnatablicareetke6-isticanje32322"/>
        <w:tblW w:w="9148" w:type="dxa"/>
        <w:jc w:val="center"/>
        <w:tblLook w:val="04A0" w:firstRow="1" w:lastRow="0" w:firstColumn="1" w:lastColumn="0" w:noHBand="0" w:noVBand="1"/>
      </w:tblPr>
      <w:tblGrid>
        <w:gridCol w:w="1528"/>
        <w:gridCol w:w="2421"/>
        <w:gridCol w:w="3558"/>
        <w:gridCol w:w="1641"/>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72" w:after="72" w:line="240" w:lineRule="auto"/>
              <w:jc w:val="center"/>
              <w:rPr>
                <w:color w:val="auto"/>
                <w:sz w:val="20"/>
                <w:szCs w:val="20"/>
              </w:rPr>
            </w:pPr>
            <w:r>
              <w:rPr>
                <w:color w:val="auto"/>
                <w:sz w:val="20"/>
                <w:szCs w:val="20"/>
              </w:rPr>
              <w:t>KATEGORIJA</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POSLJEDICE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KRITERIJ (€)</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1.</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6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Pr>
                <w:b/>
                <w:color w:val="auto"/>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2.</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 919.266,10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3.</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919.266,10 – 2.757.798,30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4.</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2.757.798,30 – 4.596.330,50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5.</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Katastrofalne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sz w:val="20"/>
                <w:szCs w:val="20"/>
              </w:rPr>
              <w:t xml:space="preserve">&gt; </w:t>
            </w:r>
            <w:r>
              <w:rPr>
                <w:color w:val="auto"/>
                <w:sz w:val="20"/>
                <w:szCs w:val="20"/>
              </w:rPr>
              <w:t>4.596.330,50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bl>
    <w:p w:rsidR="00A07D92" w:rsidRDefault="00A07D92">
      <w:pPr>
        <w:rPr>
          <w:rFonts w:eastAsiaTheme="minorHAnsi"/>
          <w:b/>
          <w:u w:val="single"/>
        </w:rPr>
      </w:pPr>
    </w:p>
    <w:p w:rsidR="00A07D92" w:rsidRDefault="00495E63">
      <w:pPr>
        <w:rPr>
          <w:rFonts w:eastAsiaTheme="minorHAnsi"/>
          <w:b/>
          <w:u w:val="single"/>
        </w:rPr>
      </w:pPr>
      <w:r>
        <w:rPr>
          <w:rFonts w:eastAsiaTheme="minorHAnsi"/>
          <w:b/>
          <w:u w:val="single"/>
        </w:rPr>
        <w:t>Posljedice po građevine javnog društvenog značaja:</w:t>
      </w:r>
    </w:p>
    <w:p w:rsidR="00A07D92" w:rsidRDefault="00495E63">
      <w:pPr>
        <w:spacing w:before="0" w:after="0"/>
        <w:jc w:val="center"/>
        <w:rPr>
          <w:rFonts w:eastAsiaTheme="minorHAnsi"/>
          <w:bCs/>
          <w:color w:val="54883D"/>
          <w:sz w:val="20"/>
          <w:szCs w:val="18"/>
          <w:lang w:bidi="en-US"/>
        </w:rPr>
      </w:pPr>
      <w:r>
        <w:rPr>
          <w:rFonts w:eastAsiaTheme="minorHAnsi"/>
          <w:bCs/>
          <w:color w:val="54883D"/>
          <w:sz w:val="20"/>
          <w:szCs w:val="18"/>
          <w:lang w:bidi="en-US"/>
        </w:rPr>
        <w:t xml:space="preserve">Tablica </w:t>
      </w:r>
      <w:r>
        <w:rPr>
          <w:rFonts w:eastAsiaTheme="minorHAns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34</w:t>
      </w:r>
      <w:r>
        <w:rPr>
          <w:rFonts w:eastAsia="Calibri"/>
          <w:bCs/>
          <w:sz w:val="20"/>
          <w:szCs w:val="18"/>
        </w:rPr>
        <w:fldChar w:fldCharType="end"/>
      </w:r>
      <w:r>
        <w:rPr>
          <w:rFonts w:eastAsiaTheme="minorHAnsi"/>
          <w:bCs/>
          <w:color w:val="54883D"/>
          <w:sz w:val="20"/>
          <w:szCs w:val="18"/>
          <w:lang w:bidi="en-US"/>
        </w:rPr>
        <w:t>.Vrijednost kriterija za posljedice na društvenu stabilnost i politiku</w:t>
      </w:r>
    </w:p>
    <w:p w:rsidR="00A07D92" w:rsidRDefault="00495E63">
      <w:pPr>
        <w:spacing w:before="0" w:after="0"/>
        <w:jc w:val="center"/>
        <w:rPr>
          <w:rFonts w:eastAsiaTheme="minorHAnsi"/>
          <w:bCs/>
          <w:color w:val="54883D"/>
          <w:sz w:val="20"/>
          <w:szCs w:val="18"/>
          <w:lang w:bidi="en-US"/>
        </w:rPr>
      </w:pPr>
      <w:r>
        <w:rPr>
          <w:rFonts w:eastAsiaTheme="minorHAnsi"/>
          <w:bCs/>
          <w:color w:val="54883D"/>
          <w:sz w:val="20"/>
          <w:szCs w:val="18"/>
          <w:lang w:bidi="en-US"/>
        </w:rPr>
        <w:t xml:space="preserve">- štete/gubitci na ustanovama/građevinama javnog društvenog značaja – epidemije i </w:t>
      </w:r>
      <w:proofErr w:type="spellStart"/>
      <w:r>
        <w:rPr>
          <w:rFonts w:eastAsiaTheme="minorHAnsi"/>
          <w:bCs/>
          <w:color w:val="54883D"/>
          <w:sz w:val="20"/>
          <w:szCs w:val="18"/>
          <w:lang w:bidi="en-US"/>
        </w:rPr>
        <w:t>pandemije</w:t>
      </w:r>
      <w:proofErr w:type="spellEnd"/>
    </w:p>
    <w:p w:rsidR="00A07D92" w:rsidRDefault="00A07D92">
      <w:pPr>
        <w:spacing w:before="0" w:after="0"/>
        <w:jc w:val="center"/>
        <w:rPr>
          <w:rFonts w:eastAsiaTheme="minorHAnsi"/>
          <w:bCs/>
          <w:color w:val="54883D"/>
          <w:sz w:val="20"/>
          <w:szCs w:val="18"/>
          <w:lang w:bidi="en-US"/>
        </w:rPr>
      </w:pPr>
    </w:p>
    <w:tbl>
      <w:tblPr>
        <w:tblStyle w:val="ivopisnatablicareetke6-isticanje32322"/>
        <w:tblW w:w="9148" w:type="dxa"/>
        <w:jc w:val="center"/>
        <w:tblLook w:val="04A0" w:firstRow="1" w:lastRow="0" w:firstColumn="1" w:lastColumn="0" w:noHBand="0" w:noVBand="1"/>
      </w:tblPr>
      <w:tblGrid>
        <w:gridCol w:w="1528"/>
        <w:gridCol w:w="2421"/>
        <w:gridCol w:w="3558"/>
        <w:gridCol w:w="1641"/>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72" w:after="72" w:line="240" w:lineRule="auto"/>
              <w:jc w:val="center"/>
              <w:rPr>
                <w:color w:val="auto"/>
                <w:sz w:val="20"/>
                <w:szCs w:val="20"/>
              </w:rPr>
            </w:pPr>
            <w:r>
              <w:rPr>
                <w:color w:val="auto"/>
                <w:sz w:val="20"/>
                <w:szCs w:val="20"/>
              </w:rPr>
              <w:t>KATEGORIJA</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POSLJEDICE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KRITERIJ (€)</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1.</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6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Pr>
                <w:b/>
                <w:color w:val="auto"/>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2.</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 919.266,10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3.</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919.266,10 – 2.757.798,30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4.</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2.757.798,30 – 4.596.330,50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auto"/>
                <w:sz w:val="20"/>
                <w:szCs w:val="20"/>
              </w:rPr>
            </w:pPr>
            <w:r>
              <w:rPr>
                <w:color w:val="auto"/>
                <w:sz w:val="20"/>
                <w:szCs w:val="20"/>
              </w:rPr>
              <w:t>5.</w:t>
            </w:r>
          </w:p>
        </w:tc>
        <w:tc>
          <w:tcPr>
            <w:tcW w:w="242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Katastrofalne</w:t>
            </w:r>
          </w:p>
        </w:tc>
        <w:tc>
          <w:tcPr>
            <w:tcW w:w="355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sz w:val="20"/>
                <w:szCs w:val="20"/>
              </w:rPr>
              <w:t xml:space="preserve">&gt; </w:t>
            </w:r>
            <w:r>
              <w:rPr>
                <w:color w:val="auto"/>
                <w:sz w:val="20"/>
                <w:szCs w:val="20"/>
              </w:rPr>
              <w:t>4.596.330,50</w:t>
            </w:r>
          </w:p>
        </w:tc>
        <w:tc>
          <w:tcPr>
            <w:tcW w:w="16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bl>
    <w:p w:rsidR="00A07D92" w:rsidRDefault="00495E63">
      <w:pPr>
        <w:spacing w:after="0"/>
        <w:rPr>
          <w:szCs w:val="22"/>
        </w:rPr>
      </w:pPr>
      <w:r>
        <w:rPr>
          <w:szCs w:val="22"/>
        </w:rPr>
        <w:lastRenderedPageBreak/>
        <w:t xml:space="preserve">Zbog </w:t>
      </w:r>
      <w:r>
        <w:rPr>
          <w:szCs w:val="22"/>
        </w:rPr>
        <w:t xml:space="preserve">povećanog broja bolovanja dolazi do poteškoća u radu kritičnih službi koje zahtijevaju i prekovremeni rad i uvođenje dodatnih smjena te je zbog provedbe preventivnih mjera i organizacijskih prilagodbi došlo do prestanka rada nekih javnih službi na više od </w:t>
      </w:r>
      <w:r>
        <w:rPr>
          <w:szCs w:val="22"/>
        </w:rPr>
        <w:t>mjesec dana te su radile samo hitne službe.</w:t>
      </w:r>
    </w:p>
    <w:p w:rsidR="00A07D92" w:rsidRDefault="00A07D92">
      <w:pPr>
        <w:spacing w:after="0"/>
        <w:rPr>
          <w:szCs w:val="22"/>
        </w:rPr>
      </w:pPr>
    </w:p>
    <w:p w:rsidR="00A07D92" w:rsidRDefault="00495E63">
      <w:pPr>
        <w:spacing w:before="0" w:after="0"/>
        <w:jc w:val="center"/>
        <w:rPr>
          <w:rFonts w:eastAsiaTheme="minorHAnsi"/>
          <w:bCs/>
          <w:color w:val="54883D"/>
          <w:sz w:val="20"/>
          <w:szCs w:val="18"/>
          <w:lang w:bidi="en-US"/>
        </w:rPr>
      </w:pPr>
      <w:r>
        <w:rPr>
          <w:rFonts w:eastAsiaTheme="minorHAnsi"/>
          <w:bCs/>
          <w:color w:val="54883D"/>
          <w:sz w:val="20"/>
          <w:szCs w:val="18"/>
          <w:lang w:bidi="en-US"/>
        </w:rPr>
        <w:t xml:space="preserve">Tablica </w:t>
      </w:r>
      <w:r>
        <w:rPr>
          <w:rFonts w:eastAsiaTheme="minorHAns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35</w:t>
      </w:r>
      <w:r>
        <w:rPr>
          <w:rFonts w:eastAsia="Calibri"/>
          <w:bCs/>
          <w:sz w:val="20"/>
          <w:szCs w:val="18"/>
        </w:rPr>
        <w:fldChar w:fldCharType="end"/>
      </w:r>
      <w:r>
        <w:rPr>
          <w:rFonts w:eastAsiaTheme="minorHAnsi"/>
          <w:bCs/>
          <w:color w:val="54883D"/>
          <w:sz w:val="20"/>
          <w:szCs w:val="18"/>
          <w:lang w:bidi="en-US"/>
        </w:rPr>
        <w:t>.Vrijednost kriterija za društvenu stabilnost i politiku</w:t>
      </w:r>
    </w:p>
    <w:p w:rsidR="00A07D92" w:rsidRDefault="00495E63">
      <w:pPr>
        <w:spacing w:before="0" w:after="240"/>
        <w:jc w:val="center"/>
        <w:rPr>
          <w:rFonts w:eastAsiaTheme="minorHAnsi"/>
          <w:bCs/>
          <w:color w:val="54883D"/>
          <w:sz w:val="20"/>
          <w:szCs w:val="18"/>
          <w:lang w:bidi="en-US"/>
        </w:rPr>
      </w:pPr>
      <w:r>
        <w:rPr>
          <w:rFonts w:eastAsiaTheme="minorHAnsi"/>
          <w:bCs/>
          <w:color w:val="54883D"/>
          <w:sz w:val="20"/>
          <w:szCs w:val="18"/>
          <w:lang w:bidi="en-US"/>
        </w:rPr>
        <w:t xml:space="preserve"> - zbirno – epidemije i </w:t>
      </w:r>
      <w:proofErr w:type="spellStart"/>
      <w:r>
        <w:rPr>
          <w:rFonts w:eastAsiaTheme="minorHAnsi"/>
          <w:bCs/>
          <w:color w:val="54883D"/>
          <w:sz w:val="20"/>
          <w:szCs w:val="18"/>
          <w:lang w:bidi="en-US"/>
        </w:rPr>
        <w:t>pandemije</w:t>
      </w:r>
      <w:proofErr w:type="spellEnd"/>
    </w:p>
    <w:tbl>
      <w:tblPr>
        <w:tblStyle w:val="ivopisnatablicareetke6-isticanje3100"/>
        <w:tblW w:w="8789" w:type="dxa"/>
        <w:jc w:val="center"/>
        <w:tblLook w:val="04A0" w:firstRow="1" w:lastRow="0" w:firstColumn="1" w:lastColumn="0" w:noHBand="0" w:noVBand="1"/>
      </w:tblPr>
      <w:tblGrid>
        <w:gridCol w:w="1557"/>
        <w:gridCol w:w="2109"/>
        <w:gridCol w:w="3699"/>
        <w:gridCol w:w="1424"/>
      </w:tblGrid>
      <w:tr w:rsidR="00A07D92" w:rsidTr="00A07D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rPr>
                <w:sz w:val="20"/>
              </w:rPr>
            </w:pPr>
            <w:r>
              <w:rPr>
                <w:color w:val="76923C" w:themeColor="accent3" w:themeShade="BF"/>
                <w:sz w:val="20"/>
              </w:rPr>
              <w:t>KATEGORIJA</w:t>
            </w:r>
          </w:p>
        </w:tc>
        <w:tc>
          <w:tcPr>
            <w:tcW w:w="210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KRITIČNA INFRASTRUKTURA</w:t>
            </w:r>
          </w:p>
        </w:tc>
        <w:tc>
          <w:tcPr>
            <w:tcW w:w="36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USTANOVE/GRAĐEVINE JAVNOG DRUŠTVENOG ZNAČAJA</w:t>
            </w: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1.</w:t>
            </w:r>
          </w:p>
        </w:tc>
        <w:tc>
          <w:tcPr>
            <w:tcW w:w="210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r>
              <w:rPr>
                <w:b/>
                <w:color w:val="76923C" w:themeColor="accent3" w:themeShade="BF"/>
                <w:sz w:val="20"/>
              </w:rPr>
              <w:t>x</w:t>
            </w:r>
          </w:p>
        </w:tc>
        <w:tc>
          <w:tcPr>
            <w:tcW w:w="36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r>
              <w:rPr>
                <w:b/>
                <w:color w:val="76923C" w:themeColor="accent3" w:themeShade="BF"/>
                <w:sz w:val="20"/>
              </w:rPr>
              <w:t>x</w:t>
            </w: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r>
              <w:rPr>
                <w:b/>
                <w:color w:val="76923C" w:themeColor="accent3" w:themeShade="BF"/>
                <w:sz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2.</w:t>
            </w:r>
          </w:p>
        </w:tc>
        <w:tc>
          <w:tcPr>
            <w:tcW w:w="21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36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3.</w:t>
            </w:r>
          </w:p>
        </w:tc>
        <w:tc>
          <w:tcPr>
            <w:tcW w:w="210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36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4.</w:t>
            </w:r>
          </w:p>
        </w:tc>
        <w:tc>
          <w:tcPr>
            <w:tcW w:w="210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36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5.</w:t>
            </w:r>
          </w:p>
        </w:tc>
        <w:tc>
          <w:tcPr>
            <w:tcW w:w="210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36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r>
    </w:tbl>
    <w:p w:rsidR="00A07D92" w:rsidRDefault="00A07D92">
      <w:pPr>
        <w:rPr>
          <w:i/>
          <w:iCs/>
          <w:color w:val="54883D"/>
        </w:rPr>
      </w:pPr>
    </w:p>
    <w:p w:rsidR="00A07D92" w:rsidRDefault="00495E63">
      <w:pPr>
        <w:rPr>
          <w:i/>
          <w:iCs/>
          <w:color w:val="54883D"/>
        </w:rPr>
      </w:pPr>
      <w:r>
        <w:rPr>
          <w:i/>
          <w:iCs/>
          <w:color w:val="54883D"/>
        </w:rPr>
        <w:t>Vjerojatnost događaja</w:t>
      </w:r>
    </w:p>
    <w:p w:rsidR="00A07D92" w:rsidRDefault="00495E63">
      <w:r>
        <w:t xml:space="preserve">S obzirom na </w:t>
      </w:r>
      <w:proofErr w:type="spellStart"/>
      <w:r>
        <w:t>razmatrajuće</w:t>
      </w:r>
      <w:proofErr w:type="spellEnd"/>
      <w:r>
        <w:t xml:space="preserve"> podatke, odabrana je mala vjerojatnost pojavljivanja.</w:t>
      </w:r>
    </w:p>
    <w:p w:rsidR="00A07D92" w:rsidRDefault="00495E63">
      <w:pPr>
        <w:spacing w:before="0" w:after="240"/>
        <w:jc w:val="center"/>
        <w:rPr>
          <w:rFonts w:eastAsiaTheme="minorHAnsi"/>
          <w:bCs/>
          <w:color w:val="54883D"/>
          <w:sz w:val="20"/>
          <w:szCs w:val="18"/>
          <w:lang w:bidi="en-US"/>
        </w:rPr>
      </w:pPr>
      <w:r>
        <w:rPr>
          <w:rFonts w:eastAsiaTheme="minorHAnsi"/>
          <w:bCs/>
          <w:color w:val="54883D"/>
          <w:sz w:val="20"/>
          <w:szCs w:val="18"/>
          <w:lang w:bidi="en-US"/>
        </w:rPr>
        <w:t xml:space="preserve">Tablica </w:t>
      </w:r>
      <w:r>
        <w:rPr>
          <w:rFonts w:eastAsiaTheme="minorHAns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36</w:t>
      </w:r>
      <w:r>
        <w:rPr>
          <w:rFonts w:eastAsia="Calibri"/>
          <w:bCs/>
          <w:sz w:val="20"/>
          <w:szCs w:val="18"/>
        </w:rPr>
        <w:fldChar w:fldCharType="end"/>
      </w:r>
      <w:r>
        <w:rPr>
          <w:rFonts w:eastAsiaTheme="minorHAnsi"/>
          <w:bCs/>
          <w:color w:val="54883D"/>
          <w:sz w:val="20"/>
          <w:szCs w:val="18"/>
          <w:lang w:bidi="en-US"/>
        </w:rPr>
        <w:t xml:space="preserve">.Vjerojatnost / frekvencija – epidemije i </w:t>
      </w:r>
      <w:proofErr w:type="spellStart"/>
      <w:r>
        <w:rPr>
          <w:rFonts w:eastAsiaTheme="minorHAnsi"/>
          <w:bCs/>
          <w:color w:val="54883D"/>
          <w:sz w:val="20"/>
          <w:szCs w:val="18"/>
          <w:lang w:bidi="en-US"/>
        </w:rPr>
        <w:t>pandemije</w:t>
      </w:r>
      <w:proofErr w:type="spellEnd"/>
    </w:p>
    <w:tbl>
      <w:tblPr>
        <w:tblStyle w:val="ivopisnatablicareetke6-isticanje3100"/>
        <w:tblW w:w="9634" w:type="dxa"/>
        <w:tblLook w:val="04A0" w:firstRow="1" w:lastRow="0" w:firstColumn="1" w:lastColumn="0" w:noHBand="0" w:noVBand="1"/>
      </w:tblPr>
      <w:tblGrid>
        <w:gridCol w:w="1554"/>
        <w:gridCol w:w="1701"/>
        <w:gridCol w:w="1841"/>
        <w:gridCol w:w="2977"/>
        <w:gridCol w:w="1561"/>
      </w:tblGrid>
      <w:tr w:rsidR="00A07D92" w:rsidTr="00A07D92">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szCs w:val="20"/>
              </w:rPr>
            </w:pPr>
            <w:r>
              <w:rPr>
                <w:color w:val="76923C" w:themeColor="accent3" w:themeShade="BF"/>
                <w:sz w:val="20"/>
                <w:szCs w:val="20"/>
              </w:rPr>
              <w:t>KATEGORIJA</w:t>
            </w:r>
          </w:p>
        </w:tc>
        <w:tc>
          <w:tcPr>
            <w:tcW w:w="8080" w:type="dxa"/>
            <w:gridSpan w:val="4"/>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VJEROJATNOST / FREKVENCIJA</w:t>
            </w:r>
          </w:p>
        </w:tc>
      </w:tr>
      <w:tr w:rsidR="00A07D92" w:rsidTr="00A07D92">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4"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rPr>
                <w:b w:val="0"/>
                <w:color w:val="76923C" w:themeColor="accent3" w:themeShade="BF"/>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KVALITATIVNO</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VJEROJATNOST</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FREKVENCIJA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ODABRANO</w:t>
            </w: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1</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 1 %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2</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X</w:t>
            </w: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3</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4</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 xml:space="preserve">1 događaj </w:t>
            </w:r>
            <w:r>
              <w:rPr>
                <w:color w:val="76923C" w:themeColor="accent3" w:themeShade="BF"/>
                <w:sz w:val="20"/>
                <w:szCs w:val="20"/>
              </w:rPr>
              <w:t>1 do 2 godine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70"/>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5</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szCs w:val="20"/>
              </w:rPr>
            </w:pPr>
          </w:p>
        </w:tc>
      </w:tr>
    </w:tbl>
    <w:p w:rsidR="00A07D92" w:rsidRDefault="00A07D92"/>
    <w:p w:rsidR="00A07D92" w:rsidRDefault="00495E63">
      <w:pPr>
        <w:keepNext/>
        <w:keepLines/>
        <w:spacing w:before="40"/>
        <w:outlineLvl w:val="2"/>
        <w:rPr>
          <w:rFonts w:cstheme="majorBidi"/>
          <w:color w:val="54883D"/>
          <w:sz w:val="28"/>
          <w:lang w:bidi="en-US"/>
        </w:rPr>
      </w:pPr>
      <w:bookmarkStart w:id="168" w:name="_Toc136522828"/>
      <w:bookmarkStart w:id="169" w:name="_Toc13472014"/>
      <w:bookmarkStart w:id="170" w:name="_Toc10450136"/>
      <w:r>
        <w:rPr>
          <w:rFonts w:cstheme="majorBidi"/>
          <w:color w:val="54883D"/>
          <w:sz w:val="28"/>
          <w:lang w:bidi="en-US"/>
        </w:rPr>
        <w:t>6.2.7 Podaci, izvori i metode proračuna</w:t>
      </w:r>
      <w:bookmarkEnd w:id="168"/>
      <w:bookmarkEnd w:id="169"/>
      <w:bookmarkEnd w:id="170"/>
    </w:p>
    <w:p w:rsidR="00A07D92" w:rsidRDefault="00495E63">
      <w:pPr>
        <w:rPr>
          <w:szCs w:val="22"/>
        </w:rPr>
      </w:pPr>
      <w:r>
        <w:rPr>
          <w:szCs w:val="22"/>
        </w:rPr>
        <w:t>Prilikom izračuna zona ugroženosti i procjene rizika korišteni su podaci iz:</w:t>
      </w:r>
    </w:p>
    <w:p w:rsidR="00A07D92" w:rsidRDefault="00495E63">
      <w:pPr>
        <w:pStyle w:val="Odlomakpopisa"/>
        <w:numPr>
          <w:ilvl w:val="0"/>
          <w:numId w:val="20"/>
        </w:numPr>
        <w:spacing w:line="276" w:lineRule="auto"/>
        <w:rPr>
          <w:sz w:val="22"/>
        </w:rPr>
      </w:pPr>
      <w:r>
        <w:rPr>
          <w:sz w:val="22"/>
        </w:rPr>
        <w:t>Grada Mali Lošinj,</w:t>
      </w:r>
    </w:p>
    <w:p w:rsidR="00A07D92" w:rsidRDefault="00495E63">
      <w:pPr>
        <w:pStyle w:val="Odlomakpopisa"/>
        <w:numPr>
          <w:ilvl w:val="0"/>
          <w:numId w:val="20"/>
        </w:numPr>
        <w:spacing w:line="276" w:lineRule="auto"/>
        <w:rPr>
          <w:sz w:val="22"/>
        </w:rPr>
      </w:pPr>
      <w:r>
        <w:rPr>
          <w:sz w:val="22"/>
        </w:rPr>
        <w:t xml:space="preserve">Procjene rizika od katastrofa za Republiku Hrvatsku, </w:t>
      </w:r>
    </w:p>
    <w:p w:rsidR="00A07D92" w:rsidRDefault="00495E63">
      <w:pPr>
        <w:pStyle w:val="Odlomakpopisa"/>
        <w:numPr>
          <w:ilvl w:val="0"/>
          <w:numId w:val="20"/>
        </w:numPr>
        <w:spacing w:line="276" w:lineRule="auto"/>
        <w:rPr>
          <w:sz w:val="22"/>
        </w:rPr>
      </w:pPr>
      <w:r>
        <w:rPr>
          <w:sz w:val="22"/>
        </w:rPr>
        <w:t>Hrvatskog zavoda za javno zdravstvo,</w:t>
      </w:r>
    </w:p>
    <w:p w:rsidR="00A07D92" w:rsidRDefault="00495E63">
      <w:pPr>
        <w:pStyle w:val="Odlomakpopisa"/>
        <w:numPr>
          <w:ilvl w:val="0"/>
          <w:numId w:val="20"/>
        </w:numPr>
        <w:spacing w:line="276" w:lineRule="auto"/>
        <w:rPr>
          <w:sz w:val="22"/>
        </w:rPr>
      </w:pPr>
      <w:proofErr w:type="spellStart"/>
      <w:r>
        <w:rPr>
          <w:sz w:val="22"/>
        </w:rPr>
        <w:t>European</w:t>
      </w:r>
      <w:proofErr w:type="spellEnd"/>
      <w:r>
        <w:rPr>
          <w:sz w:val="22"/>
        </w:rPr>
        <w:t xml:space="preserve"> Centre for </w:t>
      </w:r>
      <w:proofErr w:type="spellStart"/>
      <w:r>
        <w:rPr>
          <w:sz w:val="22"/>
        </w:rPr>
        <w:t>Disease</w:t>
      </w:r>
      <w:proofErr w:type="spellEnd"/>
      <w:r>
        <w:rPr>
          <w:sz w:val="22"/>
        </w:rPr>
        <w:t xml:space="preserve"> </w:t>
      </w:r>
      <w:proofErr w:type="spellStart"/>
      <w:r>
        <w:rPr>
          <w:sz w:val="22"/>
        </w:rPr>
        <w:t>Prevention</w:t>
      </w:r>
      <w:proofErr w:type="spellEnd"/>
      <w:r>
        <w:rPr>
          <w:sz w:val="22"/>
        </w:rPr>
        <w:t xml:space="preserve"> </w:t>
      </w:r>
      <w:proofErr w:type="spellStart"/>
      <w:r>
        <w:rPr>
          <w:sz w:val="22"/>
        </w:rPr>
        <w:t>and</w:t>
      </w:r>
      <w:proofErr w:type="spellEnd"/>
      <w:r>
        <w:rPr>
          <w:sz w:val="22"/>
        </w:rPr>
        <w:t xml:space="preserve"> </w:t>
      </w:r>
      <w:proofErr w:type="spellStart"/>
      <w:r>
        <w:rPr>
          <w:sz w:val="22"/>
        </w:rPr>
        <w:t>Control</w:t>
      </w:r>
      <w:proofErr w:type="spellEnd"/>
      <w:r>
        <w:rPr>
          <w:sz w:val="22"/>
        </w:rPr>
        <w:t xml:space="preserve"> -</w:t>
      </w:r>
      <w:proofErr w:type="spellStart"/>
      <w:r>
        <w:rPr>
          <w:sz w:val="22"/>
        </w:rPr>
        <w:t>An</w:t>
      </w:r>
      <w:proofErr w:type="spellEnd"/>
      <w:r>
        <w:rPr>
          <w:sz w:val="22"/>
        </w:rPr>
        <w:t xml:space="preserve"> </w:t>
      </w:r>
      <w:proofErr w:type="spellStart"/>
      <w:r>
        <w:rPr>
          <w:sz w:val="22"/>
        </w:rPr>
        <w:t>agency</w:t>
      </w:r>
      <w:proofErr w:type="spellEnd"/>
      <w:r>
        <w:rPr>
          <w:sz w:val="22"/>
        </w:rPr>
        <w:t xml:space="preserve"> </w:t>
      </w:r>
      <w:proofErr w:type="spellStart"/>
      <w:r>
        <w:rPr>
          <w:sz w:val="22"/>
        </w:rPr>
        <w:t>of</w:t>
      </w:r>
      <w:proofErr w:type="spellEnd"/>
      <w:r>
        <w:rPr>
          <w:sz w:val="22"/>
        </w:rPr>
        <w:t xml:space="preserve"> </w:t>
      </w:r>
      <w:proofErr w:type="spellStart"/>
      <w:r>
        <w:rPr>
          <w:sz w:val="22"/>
        </w:rPr>
        <w:t>the</w:t>
      </w:r>
      <w:proofErr w:type="spellEnd"/>
      <w:r>
        <w:rPr>
          <w:sz w:val="22"/>
        </w:rPr>
        <w:t xml:space="preserve"> </w:t>
      </w:r>
      <w:proofErr w:type="spellStart"/>
      <w:r>
        <w:rPr>
          <w:sz w:val="22"/>
        </w:rPr>
        <w:t>European</w:t>
      </w:r>
      <w:proofErr w:type="spellEnd"/>
      <w:r>
        <w:rPr>
          <w:sz w:val="22"/>
        </w:rPr>
        <w:t xml:space="preserve"> Union,</w:t>
      </w:r>
    </w:p>
    <w:p w:rsidR="00A07D92" w:rsidRDefault="00495E63">
      <w:pPr>
        <w:pStyle w:val="Odlomakpopisa"/>
        <w:numPr>
          <w:ilvl w:val="0"/>
          <w:numId w:val="20"/>
        </w:numPr>
        <w:spacing w:line="276" w:lineRule="auto"/>
        <w:rPr>
          <w:sz w:val="22"/>
        </w:rPr>
      </w:pPr>
      <w:hyperlink r:id="rId108">
        <w:r>
          <w:rPr>
            <w:rStyle w:val="Internetskapoveznica"/>
            <w:sz w:val="22"/>
          </w:rPr>
          <w:t>https://www.koronavirus.hr/</w:t>
        </w:r>
      </w:hyperlink>
      <w:r>
        <w:rPr>
          <w:sz w:val="22"/>
        </w:rPr>
        <w:t>.</w:t>
      </w:r>
    </w:p>
    <w:p w:rsidR="00A07D92" w:rsidRDefault="00495E63">
      <w:pPr>
        <w:pStyle w:val="Odlomakpopisa"/>
        <w:numPr>
          <w:ilvl w:val="0"/>
          <w:numId w:val="20"/>
        </w:numPr>
        <w:spacing w:line="276" w:lineRule="auto"/>
        <w:rPr>
          <w:sz w:val="22"/>
        </w:rPr>
      </w:pPr>
      <w:hyperlink r:id="rId109">
        <w:r>
          <w:rPr>
            <w:rStyle w:val="Internetskapoveznica"/>
            <w:sz w:val="22"/>
          </w:rPr>
          <w:t>https://mup.gov.hr/</w:t>
        </w:r>
      </w:hyperlink>
      <w:r>
        <w:rPr>
          <w:sz w:val="22"/>
        </w:rPr>
        <w:t xml:space="preserve"> </w:t>
      </w:r>
    </w:p>
    <w:p w:rsidR="00A07D92" w:rsidRDefault="00495E63">
      <w:pPr>
        <w:pStyle w:val="Odlomakpopisa"/>
        <w:numPr>
          <w:ilvl w:val="0"/>
          <w:numId w:val="20"/>
        </w:numPr>
        <w:spacing w:line="276" w:lineRule="auto"/>
        <w:rPr>
          <w:sz w:val="22"/>
        </w:rPr>
      </w:pPr>
      <w:r>
        <w:br w:type="page"/>
      </w:r>
    </w:p>
    <w:p w:rsidR="00A07D92" w:rsidRDefault="00495E63">
      <w:pPr>
        <w:keepNext/>
        <w:keepLines/>
        <w:spacing w:before="40"/>
        <w:outlineLvl w:val="2"/>
        <w:rPr>
          <w:rFonts w:cstheme="majorBidi"/>
          <w:color w:val="54883D"/>
          <w:sz w:val="28"/>
          <w:lang w:bidi="en-US"/>
        </w:rPr>
      </w:pPr>
      <w:bookmarkStart w:id="171" w:name="_Toc136522829"/>
      <w:bookmarkStart w:id="172" w:name="_Toc13472015"/>
      <w:bookmarkStart w:id="173" w:name="_Toc10450137"/>
      <w:r>
        <w:rPr>
          <w:rFonts w:cstheme="majorBidi"/>
          <w:color w:val="54883D"/>
          <w:sz w:val="28"/>
          <w:lang w:bidi="en-US"/>
        </w:rPr>
        <w:lastRenderedPageBreak/>
        <w:t>6.2.8 Matrice rizika</w:t>
      </w:r>
      <w:bookmarkEnd w:id="171"/>
      <w:bookmarkEnd w:id="172"/>
      <w:bookmarkEnd w:id="173"/>
    </w:p>
    <w:p w:rsidR="00A07D92" w:rsidRDefault="00495E63">
      <w:r>
        <w:t xml:space="preserve">Rizik: Epidemije i </w:t>
      </w:r>
      <w:proofErr w:type="spellStart"/>
      <w:r>
        <w:t>pandemije</w:t>
      </w:r>
      <w:proofErr w:type="spellEnd"/>
    </w:p>
    <w:p w:rsidR="00A07D92" w:rsidRDefault="00495E63">
      <w:r>
        <w:t xml:space="preserve">Naziv scenarija: </w:t>
      </w:r>
      <w:proofErr w:type="spellStart"/>
      <w:r>
        <w:t>Pandemija</w:t>
      </w:r>
      <w:proofErr w:type="spellEnd"/>
      <w:r>
        <w:t xml:space="preserve"> uzrokovana novim </w:t>
      </w:r>
      <w:proofErr w:type="spellStart"/>
      <w:r>
        <w:t>koronavirusom</w:t>
      </w:r>
      <w:proofErr w:type="spellEnd"/>
      <w:r>
        <w:t xml:space="preserve"> (SARS-</w:t>
      </w:r>
      <w:proofErr w:type="spellStart"/>
      <w:r>
        <w:t>CoV</w:t>
      </w:r>
      <w:proofErr w:type="spellEnd"/>
      <w:r>
        <w:t>-2)</w:t>
      </w:r>
    </w:p>
    <w:p w:rsidR="00A07D92" w:rsidRDefault="00A07D92"/>
    <w:p w:rsidR="00A07D92" w:rsidRDefault="00A07D92">
      <w:pPr>
        <w:jc w:val="center"/>
      </w:pPr>
    </w:p>
    <w:p w:rsidR="00A07D92" w:rsidRDefault="00495E63">
      <w:pPr>
        <w:jc w:val="center"/>
      </w:pPr>
      <w:r>
        <w:rPr>
          <w:noProof/>
          <w:lang w:eastAsia="hr-HR"/>
        </w:rPr>
        <w:drawing>
          <wp:inline distT="0" distB="0" distL="0" distR="0">
            <wp:extent cx="5210175" cy="4443730"/>
            <wp:effectExtent l="0" t="0" r="0" b="0"/>
            <wp:docPr id="73"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297"/>
                    <pic:cNvPicPr>
                      <a:picLocks noChangeAspect="1" noChangeArrowheads="1"/>
                    </pic:cNvPicPr>
                  </pic:nvPicPr>
                  <pic:blipFill>
                    <a:blip r:embed="rId98"/>
                    <a:stretch>
                      <a:fillRect/>
                    </a:stretch>
                  </pic:blipFill>
                  <pic:spPr bwMode="auto">
                    <a:xfrm>
                      <a:off x="0" y="0"/>
                      <a:ext cx="5210175" cy="4443730"/>
                    </a:xfrm>
                    <a:prstGeom prst="rect">
                      <a:avLst/>
                    </a:prstGeom>
                  </pic:spPr>
                </pic:pic>
              </a:graphicData>
            </a:graphic>
          </wp:inline>
        </w:drawing>
      </w:r>
      <w:r>
        <w:rPr>
          <w:noProof/>
          <w:lang w:eastAsia="hr-HR"/>
        </w:rPr>
        <mc:AlternateContent>
          <mc:Choice Requires="wps">
            <w:drawing>
              <wp:anchor distT="0" distB="0" distL="0" distR="0" simplePos="0" relativeHeight="33" behindDoc="0" locked="0" layoutInCell="1" allowOverlap="1" wp14:anchorId="34DD6051">
                <wp:simplePos x="0" y="0"/>
                <wp:positionH relativeFrom="column">
                  <wp:posOffset>2194560</wp:posOffset>
                </wp:positionH>
                <wp:positionV relativeFrom="paragraph">
                  <wp:posOffset>1765300</wp:posOffset>
                </wp:positionV>
                <wp:extent cx="314960" cy="253365"/>
                <wp:effectExtent l="19050" t="0" r="28575" b="13970"/>
                <wp:wrapNone/>
                <wp:docPr id="72" name="Hexagon 60"/>
                <wp:cNvGraphicFramePr/>
                <a:graphic xmlns:a="http://schemas.openxmlformats.org/drawingml/2006/main">
                  <a:graphicData uri="http://schemas.microsoft.com/office/word/2010/wordprocessingShape">
                    <wps:wsp>
                      <wps:cNvSpPr/>
                      <wps:spPr>
                        <a:xfrm>
                          <a:off x="0" y="0"/>
                          <a:ext cx="314280" cy="252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60" fillcolor="#4f81bd" stroked="t" style="position:absolute;margin-left:172.8pt;margin-top:139pt;width:24.7pt;height:19.85pt" wp14:anchorId="34DD6051" type="shapetype_9">
                <w10:wrap type="none"/>
                <v:fill o:detectmouseclick="t" type="solid" color2="#b07e42"/>
                <v:stroke color="#4f81bd" weight="9360" joinstyle="miter" endcap="flat"/>
              </v:shape>
            </w:pict>
          </mc:Fallback>
        </mc:AlternateContent>
      </w:r>
    </w:p>
    <w:p w:rsidR="00A07D92" w:rsidRDefault="00A07D92">
      <w:pPr>
        <w:jc w:val="left"/>
      </w:pPr>
    </w:p>
    <w:p w:rsidR="00A07D92" w:rsidRDefault="00495E63">
      <w:pPr>
        <w:jc w:val="center"/>
        <w:rPr>
          <w:b/>
          <w:sz w:val="20"/>
        </w:rPr>
      </w:pPr>
      <w:r>
        <w:rPr>
          <w:b/>
          <w:sz w:val="20"/>
        </w:rPr>
        <w:t>Život i zdravlje ljudi</w:t>
      </w:r>
      <w:r>
        <w:rPr>
          <w:b/>
          <w:sz w:val="20"/>
        </w:rPr>
        <w:tab/>
      </w:r>
      <w:r>
        <w:rPr>
          <w:b/>
          <w:sz w:val="20"/>
        </w:rPr>
        <w:tab/>
        <w:t xml:space="preserve">       Gospodarstvo</w:t>
      </w:r>
      <w:r>
        <w:rPr>
          <w:b/>
          <w:sz w:val="20"/>
        </w:rPr>
        <w:tab/>
      </w:r>
      <w:r>
        <w:rPr>
          <w:b/>
          <w:sz w:val="20"/>
        </w:rPr>
        <w:t xml:space="preserve">          Društvena stabilnost i politika</w:t>
      </w:r>
    </w:p>
    <w:p w:rsidR="00A07D92" w:rsidRDefault="00495E63">
      <w:pPr>
        <w:jc w:val="center"/>
        <w:rPr>
          <w:b/>
          <w:sz w:val="20"/>
        </w:rPr>
      </w:pPr>
      <w:r>
        <w:rPr>
          <w:noProof/>
          <w:lang w:eastAsia="hr-HR"/>
        </w:rPr>
        <mc:AlternateContent>
          <mc:Choice Requires="wps">
            <w:drawing>
              <wp:anchor distT="0" distB="0" distL="0" distR="0" simplePos="0" relativeHeight="34" behindDoc="0" locked="0" layoutInCell="1" allowOverlap="1" wp14:anchorId="1FDAED84">
                <wp:simplePos x="0" y="0"/>
                <wp:positionH relativeFrom="column">
                  <wp:posOffset>704215</wp:posOffset>
                </wp:positionH>
                <wp:positionV relativeFrom="paragraph">
                  <wp:posOffset>271145</wp:posOffset>
                </wp:positionV>
                <wp:extent cx="111760" cy="91440"/>
                <wp:effectExtent l="19050" t="0" r="41275" b="23495"/>
                <wp:wrapNone/>
                <wp:docPr id="74" name="Hexagon 316"/>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316" fillcolor="#4f81bd" stroked="t" style="position:absolute;margin-left:55.45pt;margin-top:21.35pt;width:8.7pt;height:7.1pt" wp14:anchorId="1FDAED84"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35" behindDoc="0" locked="0" layoutInCell="1" allowOverlap="1" wp14:anchorId="1A766012">
                <wp:simplePos x="0" y="0"/>
                <wp:positionH relativeFrom="column">
                  <wp:posOffset>2583180</wp:posOffset>
                </wp:positionH>
                <wp:positionV relativeFrom="paragraph">
                  <wp:posOffset>842010</wp:posOffset>
                </wp:positionV>
                <wp:extent cx="111760" cy="91440"/>
                <wp:effectExtent l="19050" t="0" r="41275" b="23495"/>
                <wp:wrapNone/>
                <wp:docPr id="75" name="Hexagon 315"/>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315" fillcolor="#4f81bd" stroked="t" style="position:absolute;margin-left:203.4pt;margin-top:66.3pt;width:8.7pt;height:7.1pt" wp14:anchorId="1A766012"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36" behindDoc="0" locked="0" layoutInCell="1" allowOverlap="1" wp14:anchorId="03EE60E3">
                <wp:simplePos x="0" y="0"/>
                <wp:positionH relativeFrom="column">
                  <wp:posOffset>4496435</wp:posOffset>
                </wp:positionH>
                <wp:positionV relativeFrom="paragraph">
                  <wp:posOffset>1062990</wp:posOffset>
                </wp:positionV>
                <wp:extent cx="111760" cy="91440"/>
                <wp:effectExtent l="19050" t="0" r="41275" b="23495"/>
                <wp:wrapNone/>
                <wp:docPr id="76" name="Hexagon 314"/>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314" fillcolor="#4f81bd" stroked="t" style="position:absolute;margin-left:354.05pt;margin-top:83.7pt;width:8.7pt;height:7.1pt" wp14:anchorId="03EE60E3" type="shapetype_9">
                <w10:wrap type="none"/>
                <v:fill o:detectmouseclick="t" type="solid" color2="#b07e42"/>
                <v:stroke color="#4f81bd" weight="9360" joinstyle="miter" endcap="flat"/>
              </v:shape>
            </w:pict>
          </mc:Fallback>
        </mc:AlternateContent>
      </w:r>
      <w:r>
        <w:rPr>
          <w:noProof/>
          <w:lang w:eastAsia="hr-HR"/>
        </w:rPr>
        <w:drawing>
          <wp:inline distT="0" distB="0" distL="0" distR="0">
            <wp:extent cx="1828800" cy="1554480"/>
            <wp:effectExtent l="0" t="0" r="0" b="0"/>
            <wp:docPr id="7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317"/>
                    <pic:cNvPicPr>
                      <a:picLocks noChangeAspect="1" noChangeArrowheads="1"/>
                    </pic:cNvPicPr>
                  </pic:nvPicPr>
                  <pic:blipFill>
                    <a:blip r:embed="rId99"/>
                    <a:stretch>
                      <a:fillRect/>
                    </a:stretch>
                  </pic:blipFill>
                  <pic:spPr bwMode="auto">
                    <a:xfrm>
                      <a:off x="0" y="0"/>
                      <a:ext cx="1828800" cy="1554480"/>
                    </a:xfrm>
                    <a:prstGeom prst="rect">
                      <a:avLst/>
                    </a:prstGeom>
                  </pic:spPr>
                </pic:pic>
              </a:graphicData>
            </a:graphic>
          </wp:inline>
        </w:drawing>
      </w:r>
      <w:r>
        <w:rPr>
          <w:noProof/>
          <w:lang w:eastAsia="hr-HR"/>
        </w:rPr>
        <w:drawing>
          <wp:inline distT="0" distB="0" distL="0" distR="0">
            <wp:extent cx="1905000" cy="1619250"/>
            <wp:effectExtent l="0" t="0" r="0" b="0"/>
            <wp:docPr id="7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318"/>
                    <pic:cNvPicPr>
                      <a:picLocks noChangeAspect="1" noChangeArrowheads="1"/>
                    </pic:cNvPicPr>
                  </pic:nvPicPr>
                  <pic:blipFill>
                    <a:blip r:embed="rId100"/>
                    <a:stretch>
                      <a:fillRect/>
                    </a:stretch>
                  </pic:blipFill>
                  <pic:spPr bwMode="auto">
                    <a:xfrm>
                      <a:off x="0" y="0"/>
                      <a:ext cx="1905000" cy="1619250"/>
                    </a:xfrm>
                    <a:prstGeom prst="rect">
                      <a:avLst/>
                    </a:prstGeom>
                  </pic:spPr>
                </pic:pic>
              </a:graphicData>
            </a:graphic>
          </wp:inline>
        </w:drawing>
      </w:r>
      <w:r>
        <w:rPr>
          <w:noProof/>
          <w:lang w:eastAsia="hr-HR"/>
        </w:rPr>
        <w:drawing>
          <wp:inline distT="0" distB="0" distL="0" distR="0">
            <wp:extent cx="1906270" cy="1620520"/>
            <wp:effectExtent l="0" t="0" r="0" b="0"/>
            <wp:docPr id="7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319"/>
                    <pic:cNvPicPr>
                      <a:picLocks noChangeAspect="1" noChangeArrowheads="1"/>
                    </pic:cNvPicPr>
                  </pic:nvPicPr>
                  <pic:blipFill>
                    <a:blip r:embed="rId101"/>
                    <a:stretch>
                      <a:fillRect/>
                    </a:stretch>
                  </pic:blipFill>
                  <pic:spPr bwMode="auto">
                    <a:xfrm>
                      <a:off x="0" y="0"/>
                      <a:ext cx="1906270" cy="1620520"/>
                    </a:xfrm>
                    <a:prstGeom prst="rect">
                      <a:avLst/>
                    </a:prstGeom>
                  </pic:spPr>
                </pic:pic>
              </a:graphicData>
            </a:graphic>
          </wp:inline>
        </w:drawing>
      </w:r>
    </w:p>
    <w:p w:rsidR="00A07D92" w:rsidRDefault="00495E63">
      <w:pPr>
        <w:rPr>
          <w:b/>
          <w:sz w:val="20"/>
        </w:rPr>
      </w:pPr>
      <w:r>
        <w:rPr>
          <w:b/>
          <w:sz w:val="20"/>
        </w:rPr>
        <w:tab/>
      </w:r>
      <w:bookmarkStart w:id="174" w:name="_Toc507493178"/>
    </w:p>
    <w:p w:rsidR="00A07D92" w:rsidRDefault="00A07D92">
      <w:pPr>
        <w:rPr>
          <w:b/>
          <w:sz w:val="20"/>
        </w:rPr>
      </w:pPr>
    </w:p>
    <w:p w:rsidR="00A07D92" w:rsidRDefault="00495E63">
      <w:pPr>
        <w:rPr>
          <w:u w:val="single"/>
        </w:rPr>
      </w:pPr>
      <w:r>
        <w:rPr>
          <w:u w:val="single"/>
        </w:rPr>
        <w:lastRenderedPageBreak/>
        <w:t>METODOLOGIJA I NEPOUZDANOST</w:t>
      </w:r>
    </w:p>
    <w:tbl>
      <w:tblPr>
        <w:tblStyle w:val="Reetkatablice92"/>
        <w:tblW w:w="9634" w:type="dxa"/>
        <w:tblLook w:val="04A0" w:firstRow="1" w:lastRow="0" w:firstColumn="1" w:lastColumn="0" w:noHBand="0" w:noVBand="1"/>
      </w:tblPr>
      <w:tblGrid>
        <w:gridCol w:w="2241"/>
        <w:gridCol w:w="984"/>
        <w:gridCol w:w="6409"/>
      </w:tblGrid>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highlight w:val="yellow"/>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highlight w:val="yellow"/>
              </w:rPr>
            </w:pPr>
            <w:r>
              <w:rPr>
                <w:rFonts w:ascii="Times New Roman" w:hAnsi="Times New Roman" w:cs="Times New Roman"/>
                <w:sz w:val="20"/>
                <w:lang w:eastAsia="hr-HR"/>
              </w:rPr>
              <w:t>Ne postoji dovoljna količina statističkih, iskustva stručnjaka i ostalih podataka te pouzdana metodologija procjene posljedica zbog čega se očekuju značajnije greške</w:t>
            </w: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 xml:space="preserve">Vrlo </w:t>
            </w:r>
            <w:r>
              <w:rPr>
                <w:rFonts w:ascii="Times New Roman" w:hAnsi="Times New Roman" w:cs="Times New Roman"/>
                <w:b/>
                <w:sz w:val="20"/>
                <w:lang w:eastAsia="hr-HR"/>
              </w:rPr>
              <w:t>visoka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4</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468"/>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Visoka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3</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X</w:t>
            </w:r>
          </w:p>
        </w:tc>
      </w:tr>
      <w:tr w:rsidR="00A07D92">
        <w:trPr>
          <w:trHeight w:val="306"/>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2</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Vrlo 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line="240" w:lineRule="auto"/>
              <w:jc w:val="center"/>
              <w:rPr>
                <w:sz w:val="20"/>
              </w:rPr>
            </w:pPr>
            <w:r>
              <w:rPr>
                <w:rFonts w:ascii="Times New Roman" w:hAnsi="Times New Roman" w:cs="Times New Roman"/>
                <w:sz w:val="20"/>
                <w:lang w:eastAsia="hr-HR"/>
              </w:rPr>
              <w:t>1</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highlight w:val="yellow"/>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highlight w:val="yellow"/>
              </w:rPr>
            </w:pPr>
            <w:r>
              <w:rPr>
                <w:rFonts w:ascii="Times New Roman" w:hAnsi="Times New Roman" w:cs="Times New Roman"/>
                <w:sz w:val="20"/>
                <w:lang w:eastAsia="hr-HR"/>
              </w:rPr>
              <w:t xml:space="preserve">Postoji dovoljna količina statističkih podataka, iskustva stručnjaka i pouzdana metodologija procjene zbog čega je pojavljivanje grešaka vrlo malo </w:t>
            </w:r>
            <w:r>
              <w:rPr>
                <w:rFonts w:ascii="Times New Roman" w:hAnsi="Times New Roman" w:cs="Times New Roman"/>
                <w:sz w:val="20"/>
                <w:lang w:eastAsia="hr-HR"/>
              </w:rPr>
              <w:t>vjerojatno</w:t>
            </w:r>
          </w:p>
        </w:tc>
      </w:tr>
    </w:tbl>
    <w:p w:rsidR="00A07D92" w:rsidRDefault="00A07D92">
      <w:pPr>
        <w:jc w:val="center"/>
        <w:rPr>
          <w:b/>
          <w:sz w:val="20"/>
        </w:rPr>
      </w:pPr>
    </w:p>
    <w:p w:rsidR="00A07D92" w:rsidRDefault="00495E63">
      <w:pPr>
        <w:keepNext/>
        <w:keepLines/>
        <w:spacing w:before="40"/>
        <w:outlineLvl w:val="2"/>
        <w:rPr>
          <w:rFonts w:cstheme="majorBidi"/>
          <w:color w:val="54883D"/>
          <w:sz w:val="28"/>
          <w:lang w:bidi="en-US"/>
        </w:rPr>
      </w:pPr>
      <w:bookmarkStart w:id="175" w:name="_Toc136522830"/>
      <w:bookmarkStart w:id="176" w:name="_Toc13472016"/>
      <w:bookmarkStart w:id="177" w:name="_Toc10450138"/>
      <w:bookmarkStart w:id="178" w:name="_Toc5969828"/>
      <w:bookmarkStart w:id="179" w:name="_Toc536691733"/>
      <w:r>
        <w:rPr>
          <w:rFonts w:cstheme="majorBidi"/>
          <w:color w:val="54883D"/>
          <w:sz w:val="28"/>
          <w:lang w:bidi="en-US"/>
        </w:rPr>
        <w:t>6.2.9 Karte</w:t>
      </w:r>
      <w:bookmarkEnd w:id="175"/>
      <w:bookmarkEnd w:id="176"/>
      <w:bookmarkEnd w:id="177"/>
      <w:bookmarkEnd w:id="178"/>
      <w:bookmarkEnd w:id="179"/>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t>6.2.9.1 Karta rizika</w:t>
      </w:r>
    </w:p>
    <w:tbl>
      <w:tblPr>
        <w:tblStyle w:val="Reetkatablice1011"/>
        <w:tblpPr w:leftFromText="180" w:rightFromText="180" w:vertAnchor="text" w:horzAnchor="page" w:tblpX="9034" w:tblpY="1136"/>
        <w:tblW w:w="1980" w:type="dxa"/>
        <w:tblLook w:val="04A0" w:firstRow="1" w:lastRow="0" w:firstColumn="1" w:lastColumn="0" w:noHBand="0" w:noVBand="1"/>
      </w:tblPr>
      <w:tblGrid>
        <w:gridCol w:w="845"/>
        <w:gridCol w:w="1135"/>
      </w:tblGrid>
      <w:tr w:rsidR="00A07D92">
        <w:trPr>
          <w:trHeight w:val="310"/>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RIZIK</w:t>
            </w:r>
          </w:p>
        </w:tc>
      </w:tr>
      <w:tr w:rsidR="00A07D92">
        <w:trPr>
          <w:trHeight w:val="354"/>
        </w:trPr>
        <w:tc>
          <w:tcPr>
            <w:tcW w:w="845"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Vrlo visok</w:t>
            </w:r>
          </w:p>
        </w:tc>
      </w:tr>
      <w:tr w:rsidR="00A07D92">
        <w:trPr>
          <w:trHeight w:val="286"/>
        </w:trPr>
        <w:tc>
          <w:tcPr>
            <w:tcW w:w="845"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Visok </w:t>
            </w:r>
          </w:p>
        </w:tc>
      </w:tr>
      <w:tr w:rsidR="00A07D92">
        <w:trPr>
          <w:trHeight w:val="262"/>
        </w:trPr>
        <w:tc>
          <w:tcPr>
            <w:tcW w:w="845"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 </w:t>
            </w:r>
          </w:p>
        </w:tc>
      </w:tr>
      <w:tr w:rsidR="00A07D92">
        <w:trPr>
          <w:trHeight w:val="280"/>
        </w:trPr>
        <w:tc>
          <w:tcPr>
            <w:tcW w:w="845" w:type="dxa"/>
            <w:shd w:val="clear" w:color="auto" w:fill="92D05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Nizak </w:t>
            </w:r>
          </w:p>
        </w:tc>
      </w:tr>
    </w:tbl>
    <w:p w:rsidR="00A07D92" w:rsidRDefault="00495E63">
      <w:pPr>
        <w:jc w:val="center"/>
        <w:rPr>
          <w:lang w:bidi="en-US"/>
        </w:rPr>
      </w:pPr>
      <w:r>
        <w:rPr>
          <w:noProof/>
          <w:lang w:eastAsia="hr-HR"/>
        </w:rPr>
        <w:drawing>
          <wp:inline distT="0" distB="0" distL="0" distR="0">
            <wp:extent cx="3322320" cy="4435475"/>
            <wp:effectExtent l="0" t="0" r="0" b="0"/>
            <wp:docPr id="80" name="Slik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ika5"/>
                    <pic:cNvPicPr>
                      <a:picLocks noChangeAspect="1" noChangeArrowheads="1"/>
                    </pic:cNvPicPr>
                  </pic:nvPicPr>
                  <pic:blipFill>
                    <a:blip r:embed="rId110"/>
                    <a:stretch>
                      <a:fillRect/>
                    </a:stretch>
                  </pic:blipFill>
                  <pic:spPr bwMode="auto">
                    <a:xfrm>
                      <a:off x="0" y="0"/>
                      <a:ext cx="3322320" cy="4435475"/>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11</w:t>
      </w:r>
      <w:r>
        <w:rPr>
          <w:rFonts w:eastAsia="Calibri"/>
          <w:bCs/>
          <w:sz w:val="20"/>
          <w:szCs w:val="18"/>
        </w:rPr>
        <w:fldChar w:fldCharType="end"/>
      </w:r>
      <w:r>
        <w:rPr>
          <w:rFonts w:eastAsia="Calibri"/>
          <w:bCs/>
          <w:color w:val="54883D"/>
          <w:sz w:val="20"/>
          <w:szCs w:val="18"/>
          <w:lang w:bidi="en-US"/>
        </w:rPr>
        <w:t xml:space="preserve">. Karta rizika – Epidemija i </w:t>
      </w:r>
      <w:proofErr w:type="spellStart"/>
      <w:r>
        <w:rPr>
          <w:rFonts w:eastAsia="Calibri"/>
          <w:bCs/>
          <w:color w:val="54883D"/>
          <w:sz w:val="20"/>
          <w:szCs w:val="18"/>
          <w:lang w:bidi="en-US"/>
        </w:rPr>
        <w:t>pandemija</w:t>
      </w:r>
      <w:proofErr w:type="spellEnd"/>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t>6.2.9.2 Karta posljedica</w:t>
      </w:r>
    </w:p>
    <w:tbl>
      <w:tblPr>
        <w:tblStyle w:val="Reetkatablice1011"/>
        <w:tblpPr w:leftFromText="180" w:rightFromText="180" w:vertAnchor="text" w:horzAnchor="page" w:tblpX="9306" w:tblpY="510"/>
        <w:tblW w:w="2123" w:type="dxa"/>
        <w:tblLook w:val="04A0" w:firstRow="1" w:lastRow="0" w:firstColumn="1" w:lastColumn="0" w:noHBand="0" w:noVBand="1"/>
      </w:tblPr>
      <w:tblGrid>
        <w:gridCol w:w="846"/>
        <w:gridCol w:w="1277"/>
      </w:tblGrid>
      <w:tr w:rsidR="00A07D92">
        <w:trPr>
          <w:trHeight w:val="310"/>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POSLJEDICE</w:t>
            </w:r>
          </w:p>
        </w:tc>
      </w:tr>
      <w:tr w:rsidR="00A07D92">
        <w:trPr>
          <w:trHeight w:val="353"/>
        </w:trPr>
        <w:tc>
          <w:tcPr>
            <w:tcW w:w="846"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Katastrofalne </w:t>
            </w:r>
          </w:p>
        </w:tc>
      </w:tr>
      <w:tr w:rsidR="00A07D92">
        <w:trPr>
          <w:trHeight w:val="273"/>
        </w:trPr>
        <w:tc>
          <w:tcPr>
            <w:tcW w:w="846"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Značajne </w:t>
            </w:r>
          </w:p>
        </w:tc>
      </w:tr>
      <w:tr w:rsidR="00A07D92">
        <w:trPr>
          <w:trHeight w:val="278"/>
        </w:trPr>
        <w:tc>
          <w:tcPr>
            <w:tcW w:w="846"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Umjerene </w:t>
            </w:r>
          </w:p>
        </w:tc>
      </w:tr>
      <w:tr w:rsidR="00A07D92">
        <w:trPr>
          <w:trHeight w:val="267"/>
        </w:trPr>
        <w:tc>
          <w:tcPr>
            <w:tcW w:w="846" w:type="dxa"/>
            <w:shd w:val="clear" w:color="auto" w:fill="CCFF99"/>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Malene </w:t>
            </w:r>
          </w:p>
        </w:tc>
      </w:tr>
      <w:tr w:rsidR="00A07D92">
        <w:trPr>
          <w:trHeight w:val="286"/>
        </w:trPr>
        <w:tc>
          <w:tcPr>
            <w:tcW w:w="846" w:type="dxa"/>
            <w:shd w:val="clear" w:color="auto" w:fill="C6D9F1" w:themeFill="text2" w:themeFillTint="33"/>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Neznatne </w:t>
            </w:r>
          </w:p>
        </w:tc>
      </w:tr>
    </w:tbl>
    <w:p w:rsidR="00A07D92" w:rsidRDefault="00495E63">
      <w:pPr>
        <w:jc w:val="center"/>
        <w:rPr>
          <w:lang w:bidi="en-US"/>
        </w:rPr>
      </w:pPr>
      <w:r>
        <w:rPr>
          <w:noProof/>
          <w:lang w:eastAsia="hr-HR"/>
        </w:rPr>
        <w:drawing>
          <wp:inline distT="0" distB="0" distL="0" distR="0">
            <wp:extent cx="3330575" cy="4488180"/>
            <wp:effectExtent l="0" t="0" r="0" b="0"/>
            <wp:docPr id="81" name="Slik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lika6"/>
                    <pic:cNvPicPr>
                      <a:picLocks noChangeAspect="1" noChangeArrowheads="1"/>
                    </pic:cNvPicPr>
                  </pic:nvPicPr>
                  <pic:blipFill>
                    <a:blip r:embed="rId102"/>
                    <a:stretch>
                      <a:fillRect/>
                    </a:stretch>
                  </pic:blipFill>
                  <pic:spPr bwMode="auto">
                    <a:xfrm>
                      <a:off x="0" y="0"/>
                      <a:ext cx="3330575" cy="448818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12</w:t>
      </w:r>
      <w:r>
        <w:rPr>
          <w:rFonts w:eastAsia="Calibri"/>
          <w:bCs/>
          <w:sz w:val="20"/>
          <w:szCs w:val="18"/>
        </w:rPr>
        <w:fldChar w:fldCharType="end"/>
      </w:r>
      <w:r>
        <w:rPr>
          <w:rFonts w:eastAsia="Calibri"/>
          <w:bCs/>
          <w:color w:val="54883D"/>
          <w:sz w:val="20"/>
          <w:szCs w:val="18"/>
          <w:lang w:bidi="en-US"/>
        </w:rPr>
        <w:t xml:space="preserve">. Karta posljedica – Epidemija i </w:t>
      </w:r>
      <w:proofErr w:type="spellStart"/>
      <w:r>
        <w:rPr>
          <w:rFonts w:eastAsia="Calibri"/>
          <w:bCs/>
          <w:color w:val="54883D"/>
          <w:sz w:val="20"/>
          <w:szCs w:val="18"/>
          <w:lang w:bidi="en-US"/>
        </w:rPr>
        <w:t>pandemija</w:t>
      </w:r>
      <w:proofErr w:type="spellEnd"/>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rPr>
          <w:rFonts w:eastAsia="Calibri"/>
          <w:bCs/>
          <w:color w:val="54883D"/>
          <w:sz w:val="20"/>
          <w:szCs w:val="18"/>
          <w:lang w:bidi="en-US"/>
        </w:rPr>
      </w:pPr>
    </w:p>
    <w:p w:rsidR="00A07D92" w:rsidRDefault="00495E63">
      <w:pPr>
        <w:keepNext/>
        <w:ind w:left="576" w:hanging="576"/>
        <w:outlineLvl w:val="1"/>
        <w:rPr>
          <w:bCs/>
          <w:color w:val="54883D"/>
          <w:sz w:val="32"/>
        </w:rPr>
      </w:pPr>
      <w:bookmarkStart w:id="180" w:name="_Toc525721008"/>
      <w:bookmarkStart w:id="181" w:name="_Toc136522831"/>
      <w:bookmarkEnd w:id="174"/>
      <w:r>
        <w:rPr>
          <w:bCs/>
          <w:color w:val="54883D"/>
          <w:sz w:val="32"/>
        </w:rPr>
        <w:lastRenderedPageBreak/>
        <w:t>6.3 Poplava</w:t>
      </w:r>
      <w:bookmarkEnd w:id="180"/>
      <w:r>
        <w:rPr>
          <w:bCs/>
          <w:color w:val="54883D"/>
          <w:sz w:val="32"/>
        </w:rPr>
        <w:t xml:space="preserve"> – plimni val</w:t>
      </w:r>
      <w:bookmarkEnd w:id="181"/>
    </w:p>
    <w:p w:rsidR="00A07D92" w:rsidRDefault="00495E63">
      <w:pPr>
        <w:keepNext/>
        <w:keepLines/>
        <w:tabs>
          <w:tab w:val="left" w:pos="0"/>
        </w:tabs>
        <w:spacing w:before="40"/>
        <w:outlineLvl w:val="2"/>
        <w:rPr>
          <w:rFonts w:cstheme="majorBidi"/>
          <w:color w:val="54883D"/>
          <w:sz w:val="28"/>
          <w:lang w:bidi="en-US"/>
        </w:rPr>
      </w:pPr>
      <w:bookmarkStart w:id="182" w:name="_Toc136522832"/>
      <w:bookmarkStart w:id="183" w:name="_Toc525721009"/>
      <w:bookmarkStart w:id="184" w:name="_Toc507493209"/>
      <w:bookmarkStart w:id="185" w:name="_Toc496179681"/>
      <w:bookmarkStart w:id="186" w:name="_Toc486323768"/>
      <w:r>
        <w:rPr>
          <w:rFonts w:cstheme="majorBidi"/>
          <w:color w:val="54883D"/>
          <w:sz w:val="28"/>
          <w:lang w:bidi="en-US"/>
        </w:rPr>
        <w:t>6.3.1 Naziv scenarija</w:t>
      </w:r>
      <w:bookmarkEnd w:id="182"/>
      <w:bookmarkEnd w:id="183"/>
      <w:bookmarkEnd w:id="184"/>
      <w:bookmarkEnd w:id="185"/>
      <w:bookmarkEnd w:id="186"/>
    </w:p>
    <w:tbl>
      <w:tblPr>
        <w:tblStyle w:val="ivopisnatablicareetke6-isticanje35"/>
        <w:tblW w:w="9060" w:type="dxa"/>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Naziv scenarija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b w:val="0"/>
              </w:rPr>
            </w:pPr>
            <w:r>
              <w:rPr>
                <w:b w:val="0"/>
                <w:color w:val="76923C" w:themeColor="accent3" w:themeShade="BF"/>
              </w:rPr>
              <w:t>Pojava plimnog vala na području Grada Malog Lošinja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 xml:space="preserve">Grupa </w:t>
            </w:r>
            <w:r>
              <w:rPr>
                <w:color w:val="76923C" w:themeColor="accent3" w:themeShade="BF"/>
              </w:rPr>
              <w:t>rizika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b w:val="0"/>
              </w:rPr>
            </w:pPr>
            <w:r>
              <w:rPr>
                <w:b w:val="0"/>
                <w:color w:val="76923C" w:themeColor="accent3" w:themeShade="BF"/>
              </w:rPr>
              <w:t>Poplava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Rizik</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b w:val="0"/>
              </w:rPr>
            </w:pPr>
            <w:r>
              <w:rPr>
                <w:b w:val="0"/>
                <w:color w:val="76923C" w:themeColor="accent3" w:themeShade="BF"/>
              </w:rPr>
              <w:t>Plimni val</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Radna skupina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Grada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highlight w:val="yellow"/>
              </w:rPr>
            </w:pPr>
            <w:r>
              <w:rPr>
                <w:b w:val="0"/>
                <w:color w:val="76923C" w:themeColor="accent3" w:themeShade="BF"/>
              </w:rPr>
              <w:t>Matija</w:t>
            </w:r>
            <w:r>
              <w:rPr>
                <w:b w:val="0"/>
                <w:color w:val="76923C" w:themeColor="accent3" w:themeShade="BF"/>
              </w:rPr>
              <w:t xml:space="preserve">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495E63">
      <w:pPr>
        <w:keepNext/>
        <w:keepLines/>
        <w:tabs>
          <w:tab w:val="left" w:pos="0"/>
        </w:tabs>
        <w:spacing w:before="40"/>
        <w:outlineLvl w:val="2"/>
        <w:rPr>
          <w:rFonts w:cstheme="majorBidi"/>
          <w:color w:val="54883D"/>
          <w:sz w:val="28"/>
          <w:lang w:bidi="en-US"/>
        </w:rPr>
      </w:pPr>
      <w:bookmarkStart w:id="187" w:name="_Toc136522833"/>
      <w:bookmarkStart w:id="188" w:name="_Toc525721010"/>
      <w:bookmarkStart w:id="189" w:name="_Toc507493210"/>
      <w:bookmarkStart w:id="190" w:name="_Toc496179682"/>
      <w:bookmarkStart w:id="191" w:name="_Toc492284931"/>
      <w:r>
        <w:rPr>
          <w:rFonts w:cstheme="majorBidi"/>
          <w:color w:val="54883D"/>
          <w:sz w:val="28"/>
          <w:lang w:bidi="en-US"/>
        </w:rPr>
        <w:t>6.3.2 Uvod</w:t>
      </w:r>
      <w:bookmarkEnd w:id="187"/>
      <w:bookmarkEnd w:id="188"/>
      <w:bookmarkEnd w:id="189"/>
      <w:bookmarkEnd w:id="190"/>
      <w:bookmarkEnd w:id="191"/>
    </w:p>
    <w:p w:rsidR="00A07D92" w:rsidRDefault="00495E63">
      <w:r>
        <w:t xml:space="preserve">Obrana od poplava u Republici Hrvatskoj regulirana je kroz zakonsku regulativu prvenstveno kroz Zakon o vodama i Zakon o financiranju vodnoga gospodarstva te druge zakonske </w:t>
      </w:r>
      <w:r>
        <w:t xml:space="preserve">i </w:t>
      </w:r>
      <w:proofErr w:type="spellStart"/>
      <w:r>
        <w:t>podzakonske</w:t>
      </w:r>
      <w:proofErr w:type="spellEnd"/>
      <w:r>
        <w:t xml:space="preserve"> akte. Na teritoriju Republike Hrvatske za operativne aktivnosti preventivne, redovite i izvanredne obrane od poplava, kroz izgradnju vodnih građevina za obranu od poplava, održavanje postojećeg sustava obrane od poplava te organizaciju operat</w:t>
      </w:r>
      <w:r>
        <w:t xml:space="preserve">ivne obrane od poplava na terenu, nadležne su Hrvatske vode zajedno s resornim ministarstvom, odnosno Upravom vodnog gospodarstva.  </w:t>
      </w:r>
    </w:p>
    <w:p w:rsidR="00A07D92" w:rsidRDefault="00495E63">
      <w:r>
        <w:t xml:space="preserve">Poplave su prirodni fenomeni čije se pojave ne mogu izbjeći, ali se poduzimanjem različitih preventivnih građevinskih i </w:t>
      </w:r>
      <w:proofErr w:type="spellStart"/>
      <w:r>
        <w:t>neg</w:t>
      </w:r>
      <w:r>
        <w:t>rađevinskih</w:t>
      </w:r>
      <w:proofErr w:type="spellEnd"/>
      <w:r>
        <w:t xml:space="preserve"> mjera rizici od poplavljivanja mogu smanjiti na prihvatljivu razinu. Poplave su među opasnijim elementarnim nepogodama i na mnogim mjestima mogu uzrokovati gubitke ljudskih života, velike materijalne štete, devastiranje kulturnih dobara i ekolo</w:t>
      </w:r>
      <w:r>
        <w:t>ške štete.</w:t>
      </w:r>
    </w:p>
    <w:p w:rsidR="00A07D92" w:rsidRDefault="00495E63">
      <w:pPr>
        <w:spacing w:line="240" w:lineRule="auto"/>
        <w:rPr>
          <w:color w:val="auto"/>
          <w:szCs w:val="22"/>
          <w:u w:val="single"/>
        </w:rPr>
      </w:pPr>
      <w:r>
        <w:rPr>
          <w:color w:val="auto"/>
          <w:szCs w:val="22"/>
          <w:u w:val="single"/>
        </w:rPr>
        <w:t>Poplave koje se pojavljuju u Hrvatskoj mogu se svrstati u 7 osnovnih skupina:</w:t>
      </w:r>
    </w:p>
    <w:p w:rsidR="00A07D92" w:rsidRDefault="00495E63">
      <w:pPr>
        <w:spacing w:line="240" w:lineRule="auto"/>
        <w:rPr>
          <w:color w:val="auto"/>
          <w:szCs w:val="22"/>
        </w:rPr>
      </w:pPr>
      <w:r>
        <w:rPr>
          <w:color w:val="auto"/>
          <w:szCs w:val="22"/>
        </w:rPr>
        <w:t>- riječne poplave zbog obilnih kiša i/ili naglog topljenja snijega,</w:t>
      </w:r>
    </w:p>
    <w:p w:rsidR="00A07D92" w:rsidRDefault="00495E63">
      <w:pPr>
        <w:spacing w:line="240" w:lineRule="auto"/>
        <w:rPr>
          <w:color w:val="auto"/>
          <w:szCs w:val="22"/>
        </w:rPr>
      </w:pPr>
      <w:r>
        <w:rPr>
          <w:color w:val="auto"/>
          <w:szCs w:val="22"/>
        </w:rPr>
        <w:t>- bujične poplave manjih vodotoka zbog kratkotrajnih kiša visokih intenziteta,</w:t>
      </w:r>
    </w:p>
    <w:p w:rsidR="00A07D92" w:rsidRDefault="00495E63">
      <w:pPr>
        <w:spacing w:line="240" w:lineRule="auto"/>
        <w:rPr>
          <w:color w:val="auto"/>
          <w:szCs w:val="22"/>
        </w:rPr>
      </w:pPr>
      <w:r>
        <w:rPr>
          <w:color w:val="auto"/>
          <w:szCs w:val="22"/>
        </w:rPr>
        <w:t xml:space="preserve">- poplave na krškim </w:t>
      </w:r>
      <w:r>
        <w:rPr>
          <w:color w:val="auto"/>
          <w:szCs w:val="22"/>
        </w:rPr>
        <w:t>poljima zbog obilnih kiša i/ili naglog topljenja snijega te nedovoljnih</w:t>
      </w:r>
    </w:p>
    <w:p w:rsidR="00A07D92" w:rsidRDefault="00495E63">
      <w:pPr>
        <w:spacing w:line="240" w:lineRule="auto"/>
        <w:rPr>
          <w:color w:val="auto"/>
          <w:szCs w:val="22"/>
        </w:rPr>
      </w:pPr>
      <w:r>
        <w:rPr>
          <w:color w:val="auto"/>
          <w:szCs w:val="22"/>
        </w:rPr>
        <w:t>- propusnih kapaciteta prirodnih ponora,</w:t>
      </w:r>
    </w:p>
    <w:p w:rsidR="00A07D92" w:rsidRDefault="00495E63">
      <w:pPr>
        <w:spacing w:line="240" w:lineRule="auto"/>
        <w:rPr>
          <w:color w:val="auto"/>
          <w:szCs w:val="22"/>
        </w:rPr>
      </w:pPr>
      <w:r>
        <w:rPr>
          <w:color w:val="auto"/>
          <w:szCs w:val="22"/>
        </w:rPr>
        <w:t>- poplave unutarnjih voda na ravničarskim površinama,</w:t>
      </w:r>
    </w:p>
    <w:p w:rsidR="00A07D92" w:rsidRDefault="00495E63">
      <w:pPr>
        <w:spacing w:line="240" w:lineRule="auto"/>
        <w:rPr>
          <w:color w:val="auto"/>
          <w:szCs w:val="22"/>
        </w:rPr>
      </w:pPr>
      <w:r>
        <w:rPr>
          <w:color w:val="auto"/>
          <w:szCs w:val="22"/>
        </w:rPr>
        <w:t>- ledene poplave,</w:t>
      </w:r>
    </w:p>
    <w:p w:rsidR="00A07D92" w:rsidRDefault="00495E63">
      <w:pPr>
        <w:spacing w:line="240" w:lineRule="auto"/>
        <w:rPr>
          <w:color w:val="auto"/>
          <w:szCs w:val="22"/>
        </w:rPr>
      </w:pPr>
      <w:r>
        <w:rPr>
          <w:color w:val="auto"/>
          <w:szCs w:val="22"/>
        </w:rPr>
        <w:t>- poplave mora te</w:t>
      </w:r>
    </w:p>
    <w:p w:rsidR="00A07D92" w:rsidRDefault="00495E63">
      <w:pPr>
        <w:spacing w:line="240" w:lineRule="auto"/>
        <w:rPr>
          <w:color w:val="auto"/>
          <w:szCs w:val="22"/>
        </w:rPr>
      </w:pPr>
      <w:r>
        <w:rPr>
          <w:color w:val="auto"/>
          <w:szCs w:val="22"/>
        </w:rPr>
        <w:t xml:space="preserve">- umjetne (akcidentne) poplave zbog eventualnih </w:t>
      </w:r>
      <w:r>
        <w:rPr>
          <w:color w:val="auto"/>
          <w:szCs w:val="22"/>
        </w:rPr>
        <w:t>proboja brana i nasipa, aktiviranja klizišta, neprimjerenih gradnji i slično.</w:t>
      </w:r>
    </w:p>
    <w:p w:rsidR="00A07D92" w:rsidRDefault="00495E63">
      <w:pPr>
        <w:rPr>
          <w:color w:val="auto"/>
          <w:szCs w:val="22"/>
        </w:rPr>
      </w:pPr>
      <w:r>
        <w:rPr>
          <w:color w:val="auto"/>
          <w:szCs w:val="22"/>
        </w:rPr>
        <w:t>Znatan su problem i poplave u urbanim sredinama koje nastaju zbog kratkotrajnih oborina visokih intenziteta i koje zbog velikih koncentracija stanovništva na relativno malim pros</w:t>
      </w:r>
      <w:r>
        <w:rPr>
          <w:color w:val="auto"/>
          <w:szCs w:val="22"/>
        </w:rPr>
        <w:t>torima, često uzrokuju velike materijalne štete.</w:t>
      </w:r>
    </w:p>
    <w:p w:rsidR="00A07D92" w:rsidRDefault="00495E63">
      <w:pPr>
        <w:keepNext/>
        <w:keepLines/>
        <w:tabs>
          <w:tab w:val="left" w:pos="0"/>
        </w:tabs>
        <w:spacing w:before="40"/>
        <w:outlineLvl w:val="2"/>
        <w:rPr>
          <w:rFonts w:cstheme="majorBidi"/>
          <w:color w:val="54883D"/>
          <w:sz w:val="28"/>
          <w:lang w:bidi="en-US"/>
        </w:rPr>
      </w:pPr>
      <w:bookmarkStart w:id="192" w:name="_Toc136522834"/>
      <w:bookmarkStart w:id="193" w:name="_Toc525721011"/>
      <w:bookmarkStart w:id="194" w:name="_Toc507493211"/>
      <w:bookmarkStart w:id="195" w:name="_Toc496179683"/>
      <w:bookmarkStart w:id="196" w:name="_Toc492284932"/>
      <w:r>
        <w:rPr>
          <w:rFonts w:cstheme="majorBidi"/>
          <w:color w:val="54883D"/>
          <w:sz w:val="28"/>
          <w:lang w:bidi="en-US"/>
        </w:rPr>
        <w:lastRenderedPageBreak/>
        <w:t>6.3.3 Prikaz utjecaja na kritičnu infrastrukturu</w:t>
      </w:r>
      <w:bookmarkEnd w:id="192"/>
      <w:bookmarkEnd w:id="193"/>
      <w:bookmarkEnd w:id="194"/>
      <w:bookmarkEnd w:id="195"/>
      <w:bookmarkEnd w:id="196"/>
    </w:p>
    <w:tbl>
      <w:tblPr>
        <w:tblStyle w:val="ivopisnatablicareetke6-isticanje35"/>
        <w:tblW w:w="9423" w:type="dxa"/>
        <w:tblLook w:val="04A0" w:firstRow="1" w:lastRow="0" w:firstColumn="1" w:lastColumn="0" w:noHBand="0" w:noVBand="1"/>
      </w:tblPr>
      <w:tblGrid>
        <w:gridCol w:w="1128"/>
        <w:gridCol w:w="8295"/>
      </w:tblGrid>
      <w:tr w:rsidR="00A07D92" w:rsidTr="00A07D92">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UTJECAJ</w:t>
            </w:r>
          </w:p>
        </w:tc>
        <w:tc>
          <w:tcPr>
            <w:tcW w:w="8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SEKTOR</w:t>
            </w:r>
          </w:p>
        </w:tc>
      </w:tr>
      <w:tr w:rsidR="00A07D92" w:rsidTr="00A07D92">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rsidR="00A07D92" w:rsidTr="00A07D92">
        <w:trPr>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Komunikacijska i informacijska tehnologija (elektroničke </w:t>
            </w:r>
            <w:r>
              <w:rPr>
                <w:color w:val="76923C" w:themeColor="accent3" w:themeShade="BF"/>
                <w:sz w:val="20"/>
                <w:szCs w:val="20"/>
              </w:rPr>
              <w:t>komunikacije, prijenos podataka, informacijski sustavi, pružanje audio i audiovizualnih usluga)</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rsidR="00A07D92" w:rsidTr="00A07D92">
        <w:trPr>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rsidR="00A07D92" w:rsidTr="00A07D92">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Prijevoz opasnih tvari (kemijski, biološki, radiološki i nuklearni materijali)</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civilna zaštita, hitna medicinska pomoć)</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rsidR="00A07D92" w:rsidRDefault="00A07D92"/>
    <w:p w:rsidR="00A07D92" w:rsidRDefault="00495E63">
      <w:pPr>
        <w:keepNext/>
        <w:keepLines/>
        <w:tabs>
          <w:tab w:val="left" w:pos="0"/>
        </w:tabs>
        <w:spacing w:before="40"/>
        <w:outlineLvl w:val="2"/>
        <w:rPr>
          <w:rFonts w:cstheme="majorBidi"/>
          <w:color w:val="54883D"/>
          <w:sz w:val="28"/>
          <w:lang w:bidi="en-US"/>
        </w:rPr>
      </w:pPr>
      <w:bookmarkStart w:id="197" w:name="_Toc136522835"/>
      <w:r>
        <w:rPr>
          <w:rFonts w:cstheme="majorBidi"/>
          <w:color w:val="54883D"/>
          <w:sz w:val="28"/>
          <w:lang w:bidi="en-US"/>
        </w:rPr>
        <w:t>6.3.4 Kontekst</w:t>
      </w:r>
      <w:bookmarkEnd w:id="197"/>
    </w:p>
    <w:p w:rsidR="00A07D92" w:rsidRDefault="00495E63">
      <w:pPr>
        <w:rPr>
          <w:rFonts w:eastAsiaTheme="minorHAnsi"/>
        </w:rPr>
      </w:pPr>
      <w:r>
        <w:rPr>
          <w:rFonts w:eastAsiaTheme="minorHAnsi"/>
        </w:rPr>
        <w:t xml:space="preserve">Područje grada Malog Lošinja pripada sektoru E-Sjeverni Jadran, branjenom području 23.- Područja malih slivova Kvarnersko primorje i otoci i podvelebitsko primorje i otoci. Na području malog sliva </w:t>
      </w:r>
      <w:r>
        <w:rPr>
          <w:rFonts w:eastAsiaTheme="minorHAnsi"/>
        </w:rPr>
        <w:t xml:space="preserve">Kvarnersko primorje i otoci nalaze se gradovi Bakar, Cres, Crikvenica, Kastav, Kraljevica, Krk, Mali Lošinj, Novi Vinodolski, Opatija, Rijeka, te općine Baška, Čavle, </w:t>
      </w:r>
      <w:proofErr w:type="spellStart"/>
      <w:r>
        <w:rPr>
          <w:rFonts w:eastAsiaTheme="minorHAnsi"/>
        </w:rPr>
        <w:t>Dobrinj</w:t>
      </w:r>
      <w:proofErr w:type="spellEnd"/>
      <w:r>
        <w:rPr>
          <w:rFonts w:eastAsiaTheme="minorHAnsi"/>
        </w:rPr>
        <w:t xml:space="preserve">, Jelenje, Klana, </w:t>
      </w:r>
      <w:proofErr w:type="spellStart"/>
      <w:r>
        <w:rPr>
          <w:rFonts w:eastAsiaTheme="minorHAnsi"/>
        </w:rPr>
        <w:t>Kostrena</w:t>
      </w:r>
      <w:proofErr w:type="spellEnd"/>
      <w:r>
        <w:rPr>
          <w:rFonts w:eastAsiaTheme="minorHAnsi"/>
        </w:rPr>
        <w:t xml:space="preserve">, Lovran, </w:t>
      </w:r>
      <w:proofErr w:type="spellStart"/>
      <w:r>
        <w:rPr>
          <w:rFonts w:eastAsiaTheme="minorHAnsi"/>
        </w:rPr>
        <w:t>Malinska</w:t>
      </w:r>
      <w:proofErr w:type="spellEnd"/>
      <w:r>
        <w:rPr>
          <w:rFonts w:eastAsiaTheme="minorHAnsi"/>
        </w:rPr>
        <w:t xml:space="preserve"> – </w:t>
      </w:r>
      <w:proofErr w:type="spellStart"/>
      <w:r>
        <w:rPr>
          <w:rFonts w:eastAsiaTheme="minorHAnsi"/>
        </w:rPr>
        <w:t>Dubašnica</w:t>
      </w:r>
      <w:proofErr w:type="spellEnd"/>
      <w:r>
        <w:rPr>
          <w:rFonts w:eastAsiaTheme="minorHAnsi"/>
        </w:rPr>
        <w:t xml:space="preserve">, Matulji, </w:t>
      </w:r>
      <w:proofErr w:type="spellStart"/>
      <w:r>
        <w:rPr>
          <w:rFonts w:eastAsiaTheme="minorHAnsi"/>
        </w:rPr>
        <w:t>Mošćenička</w:t>
      </w:r>
      <w:proofErr w:type="spellEnd"/>
      <w:r>
        <w:rPr>
          <w:rFonts w:eastAsiaTheme="minorHAnsi"/>
        </w:rPr>
        <w:t xml:space="preserve"> Drag</w:t>
      </w:r>
      <w:r>
        <w:rPr>
          <w:rFonts w:eastAsiaTheme="minorHAnsi"/>
        </w:rPr>
        <w:t xml:space="preserve">a, Omišalj, Punat, Vinodolska općina, </w:t>
      </w:r>
      <w:proofErr w:type="spellStart"/>
      <w:r>
        <w:rPr>
          <w:rFonts w:eastAsiaTheme="minorHAnsi"/>
        </w:rPr>
        <w:t>Viškovo</w:t>
      </w:r>
      <w:proofErr w:type="spellEnd"/>
      <w:r>
        <w:rPr>
          <w:rFonts w:eastAsiaTheme="minorHAnsi"/>
        </w:rPr>
        <w:t>, Vrbnik.</w:t>
      </w:r>
    </w:p>
    <w:p w:rsidR="00A07D92" w:rsidRDefault="00495E63">
      <w:r>
        <w:t>Područje Kvarnerskog zaljeva je krško područje s karakterističnom dinamikom površinskih i podzemnih voda, sa značajnom ulogom povezanosti površinskih i podzemnih tokova, velikim brzinama podzemnih toko</w:t>
      </w:r>
      <w:r>
        <w:t xml:space="preserve">va, pojavama velikih krških izvora i vrulja, malom mogućnosti zadržavanja vode u krškom podzemlju, te visokim stupnjem osjetljivosti na onečišćenja. Osnovne značajke krških slivova su prostrane zone prikupljanja vode u </w:t>
      </w:r>
      <w:proofErr w:type="spellStart"/>
      <w:r>
        <w:t>zaleđnim</w:t>
      </w:r>
      <w:proofErr w:type="spellEnd"/>
      <w:r>
        <w:t xml:space="preserve"> planinskim područjima bogati</w:t>
      </w:r>
      <w:r>
        <w:t xml:space="preserve">m padalinama i vrlo složeni uvjeti izviranja na kontaktima s vodonepropusnim barijerama ili pod </w:t>
      </w:r>
      <w:proofErr w:type="spellStart"/>
      <w:r>
        <w:t>uspornim</w:t>
      </w:r>
      <w:proofErr w:type="spellEnd"/>
      <w:r>
        <w:t xml:space="preserve"> djelovanjem mora.</w:t>
      </w:r>
    </w:p>
    <w:p w:rsidR="00A07D92" w:rsidRDefault="00495E63">
      <w:pPr>
        <w:rPr>
          <w:rFonts w:eastAsiaTheme="minorHAnsi"/>
        </w:rPr>
      </w:pPr>
      <w:r>
        <w:t>Slivno područje Kvarnersko primorje i otoci, osim problema koji su u bujičnom dijelu vodotoka slični slivu Gorskog kotara, karakteriz</w:t>
      </w:r>
      <w:r>
        <w:t xml:space="preserve">iraju i problemi poplava na obalnim i otočnim bujicama. Za navedene su karakteristične rijetke pojave vode, ali i izrazito velike protoke koje izazivaju velike štete na urbanim </w:t>
      </w:r>
      <w:proofErr w:type="spellStart"/>
      <w:r>
        <w:t>djelovima</w:t>
      </w:r>
      <w:proofErr w:type="spellEnd"/>
      <w:r>
        <w:t xml:space="preserve"> (koji se obično nalaze u njihovim donjim tokovima) kao i moguće ljuds</w:t>
      </w:r>
      <w:r>
        <w:t>ke žrtve zbog velikih brzina propagacije takvih vodnih valova. Mjere koje se primjenjuju u ovakvim situacijama variraju od limitiranja gradnje u takvim područjima, do izgradnje regulacija za visoke povratne periode pojavnosti, odnosno u interventnim situac</w:t>
      </w:r>
      <w:r>
        <w:t>ijama svode se na pravovremeno obavještavanje ljudi i uklanjanje njihove imovine i zone poplava.</w:t>
      </w:r>
    </w:p>
    <w:p w:rsidR="00A07D92" w:rsidRDefault="00495E63">
      <w:pPr>
        <w:jc w:val="center"/>
        <w:rPr>
          <w:rFonts w:eastAsiaTheme="minorHAnsi"/>
        </w:rPr>
      </w:pPr>
      <w:r>
        <w:rPr>
          <w:noProof/>
          <w:lang w:eastAsia="hr-HR"/>
        </w:rPr>
        <w:lastRenderedPageBreak/>
        <w:drawing>
          <wp:inline distT="0" distB="0" distL="0" distR="0">
            <wp:extent cx="4752975" cy="4726940"/>
            <wp:effectExtent l="0" t="0" r="0" b="0"/>
            <wp:docPr id="82" name="Slika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lika 931"/>
                    <pic:cNvPicPr>
                      <a:picLocks noChangeAspect="1" noChangeArrowheads="1"/>
                    </pic:cNvPicPr>
                  </pic:nvPicPr>
                  <pic:blipFill>
                    <a:blip r:embed="rId111"/>
                    <a:srcRect b="2179"/>
                    <a:stretch>
                      <a:fillRect/>
                    </a:stretch>
                  </pic:blipFill>
                  <pic:spPr bwMode="auto">
                    <a:xfrm>
                      <a:off x="0" y="0"/>
                      <a:ext cx="4752975" cy="472694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13</w:t>
      </w:r>
      <w:r>
        <w:rPr>
          <w:rFonts w:eastAsia="Calibri"/>
          <w:bCs/>
          <w:sz w:val="20"/>
          <w:szCs w:val="18"/>
        </w:rPr>
        <w:fldChar w:fldCharType="end"/>
      </w:r>
      <w:r>
        <w:rPr>
          <w:rFonts w:eastAsia="Calibri"/>
          <w:bCs/>
          <w:color w:val="54883D"/>
          <w:sz w:val="20"/>
          <w:szCs w:val="18"/>
          <w:lang w:bidi="en-US"/>
        </w:rPr>
        <w:t>. Branjeno područje 23.- Područja malih slivova Kvarnersko primorje i otoci i podvelebitsko primorje i otoci</w:t>
      </w:r>
    </w:p>
    <w:p w:rsidR="00A07D92" w:rsidRDefault="00A07D92">
      <w:pPr>
        <w:spacing w:before="0" w:after="0"/>
        <w:rPr>
          <w:rFonts w:eastAsia="Calibri"/>
          <w:bCs/>
          <w:color w:val="54883D"/>
          <w:sz w:val="20"/>
          <w:szCs w:val="18"/>
          <w:lang w:bidi="en-US"/>
        </w:rPr>
      </w:pPr>
    </w:p>
    <w:p w:rsidR="00A07D92" w:rsidRDefault="00495E63">
      <w:pPr>
        <w:rPr>
          <w:lang w:bidi="en-US"/>
        </w:rPr>
      </w:pPr>
      <w:r>
        <w:rPr>
          <w:lang w:bidi="en-US"/>
        </w:rPr>
        <w:t>Plimni val defini</w:t>
      </w:r>
      <w:r>
        <w:rPr>
          <w:lang w:bidi="en-US"/>
        </w:rPr>
        <w:t>ran je kao val koji se formira u fenomenu plime, a nastaje kao razlika između razine vode oseke i vodene mase koja joj se suprotstavlja strujanjem u suprotnom smjeru, pa je stoga plimni val najčešći u uskim, dugim zaljevima gdje veća količina vodene mase u</w:t>
      </w:r>
      <w:r>
        <w:rPr>
          <w:lang w:bidi="en-US"/>
        </w:rPr>
        <w:t>tječe kroz pritoke. Često se javljaju kao posljedica jakog nevremena. Plimni valovi ne samo da povisuju razinu plime nego isto tako mogu produžiti vrijeme plimne poplavljenosti određenog područja zahvaćenog plimnim valom te pri tome stvoriti efekt iznenadn</w:t>
      </w:r>
      <w:r>
        <w:rPr>
          <w:lang w:bidi="en-US"/>
        </w:rPr>
        <w:t>og porasta razine vode koji nije uobičajen.</w:t>
      </w:r>
    </w:p>
    <w:p w:rsidR="00A07D92" w:rsidRDefault="00495E63">
      <w:pPr>
        <w:rPr>
          <w:lang w:bidi="en-US"/>
        </w:rPr>
      </w:pPr>
      <w:r>
        <w:rPr>
          <w:lang w:bidi="en-US"/>
        </w:rPr>
        <w:t>Plimni valovi (u pojedinoj literaturi se nazivaju i uspori) u Jadranu se javljaju pod utjecajem tlaka zraka i vjetra, naročito juga koje potiskuje vodene mase prema zatvorenom kraju bazena te tako podiže razinu m</w:t>
      </w:r>
      <w:r>
        <w:rPr>
          <w:lang w:bidi="en-US"/>
        </w:rPr>
        <w:t xml:space="preserve">ora. Nastajanje olujnih </w:t>
      </w:r>
      <w:proofErr w:type="spellStart"/>
      <w:r>
        <w:rPr>
          <w:lang w:bidi="en-US"/>
        </w:rPr>
        <w:t>uspora</w:t>
      </w:r>
      <w:proofErr w:type="spellEnd"/>
      <w:r>
        <w:rPr>
          <w:lang w:bidi="en-US"/>
        </w:rPr>
        <w:t>, koji izazivaju plavljenje pojedinih obalnih područja u sjevernom Jadranu, rezultat je dugotrajnog (višednevnog) puhanja juga duž cijelog ili većeg dijela Jadrana. Olujno dugotrajno jugo je posljedica stabilne sinoptičke situ</w:t>
      </w:r>
      <w:r>
        <w:rPr>
          <w:lang w:bidi="en-US"/>
        </w:rPr>
        <w:t xml:space="preserve">acije s Đenovskom ciklonom stacioniranom nad </w:t>
      </w:r>
      <w:proofErr w:type="spellStart"/>
      <w:r>
        <w:rPr>
          <w:lang w:bidi="en-US"/>
        </w:rPr>
        <w:t>Tirenskim</w:t>
      </w:r>
      <w:proofErr w:type="spellEnd"/>
      <w:r>
        <w:rPr>
          <w:lang w:bidi="en-US"/>
        </w:rPr>
        <w:t xml:space="preserve"> morem i sjevernim Jadranom te područjem visokog tlaka koje se proteže na istoku Mediterana. Pri takvim situacijama jugo puše nad cijelim Jadranom, a osim zbog vjetra, podizanje razine mora u sjevernom </w:t>
      </w:r>
      <w:r>
        <w:rPr>
          <w:lang w:bidi="en-US"/>
        </w:rPr>
        <w:t>Jadranu je i izravna posljedica barometarskog odziva mora na djelovanje tlaka zraka.</w:t>
      </w:r>
    </w:p>
    <w:p w:rsidR="00A07D92" w:rsidRDefault="00A07D92">
      <w:pPr>
        <w:rPr>
          <w:lang w:bidi="en-US"/>
        </w:rPr>
      </w:pPr>
    </w:p>
    <w:p w:rsidR="00A07D92" w:rsidRDefault="00495E63">
      <w:pPr>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14</w:t>
      </w:r>
      <w:r>
        <w:rPr>
          <w:rFonts w:eastAsia="Calibri"/>
          <w:bCs/>
          <w:sz w:val="20"/>
          <w:szCs w:val="18"/>
        </w:rPr>
        <w:fldChar w:fldCharType="end"/>
      </w:r>
      <w:r>
        <w:rPr>
          <w:rFonts w:eastAsia="Calibri"/>
          <w:bCs/>
          <w:color w:val="54883D"/>
          <w:sz w:val="20"/>
          <w:szCs w:val="18"/>
          <w:lang w:bidi="en-US"/>
        </w:rPr>
        <w:t>. Karta opasnosti od pojave plimnog vala na području Grada Malog Lošinja</w:t>
      </w:r>
    </w:p>
    <w:p w:rsidR="00A07D92" w:rsidRDefault="00495E63">
      <w:pPr>
        <w:spacing w:before="0" w:after="0"/>
        <w:jc w:val="center"/>
        <w:rPr>
          <w:rFonts w:eastAsia="Calibri"/>
          <w:bCs/>
          <w:color w:val="54883D"/>
          <w:sz w:val="20"/>
          <w:szCs w:val="18"/>
          <w:lang w:bidi="en-US"/>
        </w:rPr>
      </w:pPr>
      <w:r>
        <w:rPr>
          <w:noProof/>
          <w:lang w:eastAsia="hr-HR"/>
        </w:rPr>
        <w:drawing>
          <wp:inline distT="0" distB="0" distL="0" distR="0">
            <wp:extent cx="5532755" cy="3795395"/>
            <wp:effectExtent l="0" t="0" r="0" b="0"/>
            <wp:docPr id="83" name="Picture 83672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6725079"/>
                    <pic:cNvPicPr>
                      <a:picLocks noChangeAspect="1" noChangeArrowheads="1"/>
                    </pic:cNvPicPr>
                  </pic:nvPicPr>
                  <pic:blipFill>
                    <a:blip r:embed="rId112"/>
                    <a:stretch>
                      <a:fillRect/>
                    </a:stretch>
                  </pic:blipFill>
                  <pic:spPr bwMode="auto">
                    <a:xfrm>
                      <a:off x="0" y="0"/>
                      <a:ext cx="5532755" cy="3795395"/>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i/>
          <w:color w:val="54883D"/>
          <w:sz w:val="20"/>
          <w:szCs w:val="18"/>
          <w:lang w:bidi="en-US"/>
        </w:rPr>
        <w:t>Izvor: Hrvatske vode, http://korp.voda.hr/</w:t>
      </w:r>
    </w:p>
    <w:p w:rsidR="00A07D92" w:rsidRDefault="00A07D92">
      <w:pPr>
        <w:jc w:val="center"/>
        <w:rPr>
          <w:highlight w:val="yellow"/>
          <w:lang w:bidi="en-US"/>
        </w:rPr>
      </w:pPr>
    </w:p>
    <w:p w:rsidR="00A07D92" w:rsidRDefault="00495E63">
      <w:r>
        <w:t xml:space="preserve">Na području Županije </w:t>
      </w:r>
      <w:r>
        <w:t xml:space="preserve">zadnjih godina se sve više javljaju poplave u obalnom pojasu naselja. U urbanim sredinama sve se češće javljaju poplave niskih obalnih površina naselja kao rezultat dizanja razine mora. Zapravo, najizraženije poplave i poplave s najvećim štetama u obalnoj </w:t>
      </w:r>
      <w:r>
        <w:t>zoni su u području naselja. To su poplave koje nastaju u periodima velikih oborina za vrijeme ciklona i niskog tlaka, a rezultat su dotjecanja velikih bujičnih voda iz zaleđa naselja, površinskih voda samog naselja i utjecaja visokih razina mora. Poplave s</w:t>
      </w:r>
      <w:r>
        <w:t>u rezultat neuređenosti bujica kao i sustava odvodnje površinskih voda na području naselja, te niskih obala. Poplave su posljedica stalnog dizanja razine mora, te sve većih dinamičkih oscilacija mora kao posljedice vremena. Ove poplave ugrožavaju izgrađene</w:t>
      </w:r>
      <w:r>
        <w:t xml:space="preserve"> obale i njihovu stabilnost, objekte uz obale, te urbanu infrastrukturu koja se nalazi u obalnom pojasu. Poplave dovode do poremećaja rada sustava odvodnje otpadnih voda zbog čega dolazi do onečišćenja mora i problema u njegovom funkcioniranju. Poplave isp</w:t>
      </w:r>
      <w:r>
        <w:t>iru onečišćenje koje se nalazi na obali što također dovodi do nekontroliranog onečišćenja mora. Važno je napomenuti da će zbog očekivanih klimatskih promjena problem biti značajno veći. Analizom zabilježenih razina mora koje rezultiraju plavljenjem obala u</w:t>
      </w:r>
      <w:r>
        <w:t>tvrđeno je da se razina mora diže na pojedinim obalnim područjima od 0,7 m do 1,2 m.</w:t>
      </w:r>
      <w:r>
        <w:rPr>
          <w:rStyle w:val="Sidrofusnote"/>
        </w:rPr>
        <w:footnoteReference w:id="10"/>
      </w:r>
    </w:p>
    <w:p w:rsidR="00A07D92" w:rsidRDefault="00495E63">
      <w:pPr>
        <w:rPr>
          <w:lang w:bidi="en-US"/>
        </w:rPr>
      </w:pPr>
      <w:r>
        <w:rPr>
          <w:lang w:bidi="en-US"/>
        </w:rPr>
        <w:t xml:space="preserve">Porast razine mora je ubrzan zadnjih desetljeća te se kreće oko 30 cm u 100 godina. Rekordne visine razine mora su zabilježene upravo posljednjih nekoliko godina, te su </w:t>
      </w:r>
      <w:r>
        <w:rPr>
          <w:lang w:bidi="en-US"/>
        </w:rPr>
        <w:lastRenderedPageBreak/>
        <w:t>p</w:t>
      </w:r>
      <w:r>
        <w:rPr>
          <w:lang w:bidi="en-US"/>
        </w:rPr>
        <w:t xml:space="preserve">okazatelj promjena koje se odvijaju i koje će se nastaviti odvijati u budućem razdoblju. Naime, projekcije promjena srednje razine mora ukazuju na daljnji porast razine mora u području Županije, i to s iznosima većim od dosadašnjih. U najgorim scenarijima </w:t>
      </w:r>
      <w:r>
        <w:rPr>
          <w:lang w:bidi="en-US"/>
        </w:rPr>
        <w:t>ova promjena može biti i do 1 metar u sljedećih 100 godina, dok srednji scenarij razvoja predviđa porast razine mora od oko 50 cm. Ove brojke predstavljaju srednje iznose na globalnoj razini, dok predviđanja porasta razine mora u području sjevernog Jadrana</w:t>
      </w:r>
      <w:r>
        <w:rPr>
          <w:lang w:bidi="en-US"/>
        </w:rPr>
        <w:t xml:space="preserve"> nisu rađena. Također je potrebno naglasiti da broj poplavljivanja obalnih područja nije u linearnoj ovisnosti o porastu razine mora, već se ugroženost obalnih područja mnogostruko povećava s određenim porastom razine mora, zavisno o prilagodljivosti obaln</w:t>
      </w:r>
      <w:r>
        <w:rPr>
          <w:lang w:bidi="en-US"/>
        </w:rPr>
        <w:t>e infrastrukture tim promjenama.</w:t>
      </w:r>
    </w:p>
    <w:p w:rsidR="00A07D92" w:rsidRDefault="00A07D92">
      <w:pPr>
        <w:spacing w:before="0" w:after="0"/>
        <w:rPr>
          <w:rFonts w:eastAsia="Calibri"/>
          <w:bCs/>
          <w:color w:val="54883D"/>
          <w:sz w:val="20"/>
          <w:szCs w:val="18"/>
          <w:lang w:bidi="en-US"/>
        </w:rPr>
      </w:pP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37</w:t>
      </w:r>
      <w:r>
        <w:rPr>
          <w:rFonts w:eastAsia="Calibri"/>
          <w:bCs/>
          <w:sz w:val="20"/>
          <w:szCs w:val="18"/>
        </w:rPr>
        <w:fldChar w:fldCharType="end"/>
      </w:r>
      <w:r>
        <w:rPr>
          <w:rFonts w:eastAsia="Calibri"/>
          <w:bCs/>
          <w:color w:val="54883D"/>
          <w:sz w:val="20"/>
          <w:szCs w:val="18"/>
          <w:lang w:bidi="en-US"/>
        </w:rPr>
        <w:t>. Mjesečne i godišnje količine oborina, Mali Lošinj 2002. - 2021.</w:t>
      </w:r>
    </w:p>
    <w:tbl>
      <w:tblPr>
        <w:tblW w:w="9217" w:type="dxa"/>
        <w:jc w:val="center"/>
        <w:tblCellMar>
          <w:left w:w="5" w:type="dxa"/>
          <w:right w:w="5" w:type="dxa"/>
        </w:tblCellMar>
        <w:tblLook w:val="04A0" w:firstRow="1" w:lastRow="0" w:firstColumn="1" w:lastColumn="0" w:noHBand="0" w:noVBand="1"/>
      </w:tblPr>
      <w:tblGrid>
        <w:gridCol w:w="1117"/>
        <w:gridCol w:w="685"/>
        <w:gridCol w:w="590"/>
        <w:gridCol w:w="590"/>
        <w:gridCol w:w="590"/>
        <w:gridCol w:w="590"/>
        <w:gridCol w:w="590"/>
        <w:gridCol w:w="634"/>
        <w:gridCol w:w="747"/>
        <w:gridCol w:w="589"/>
        <w:gridCol w:w="590"/>
        <w:gridCol w:w="590"/>
        <w:gridCol w:w="634"/>
        <w:gridCol w:w="681"/>
      </w:tblGrid>
      <w:tr w:rsidR="00A07D92">
        <w:trPr>
          <w:trHeight w:hRule="exact" w:val="451"/>
          <w:tblHeader/>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MJESECI</w:t>
            </w:r>
          </w:p>
        </w:tc>
        <w:tc>
          <w:tcPr>
            <w:tcW w:w="6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II.</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III.</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IV.</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VI.</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VII.</w:t>
            </w:r>
          </w:p>
        </w:tc>
        <w:tc>
          <w:tcPr>
            <w:tcW w:w="74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VIII.</w:t>
            </w:r>
          </w:p>
        </w:tc>
        <w:tc>
          <w:tcPr>
            <w:tcW w:w="5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IX.</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X.</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XI.</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XII.</w:t>
            </w:r>
          </w:p>
        </w:tc>
        <w:tc>
          <w:tcPr>
            <w:tcW w:w="68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 xml:space="preserve">Zbroj </w:t>
            </w:r>
          </w:p>
        </w:tc>
      </w:tr>
      <w:tr w:rsidR="00A07D92">
        <w:trPr>
          <w:trHeight w:hRule="exact" w:val="522"/>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SRED</w:t>
            </w:r>
          </w:p>
        </w:tc>
        <w:tc>
          <w:tcPr>
            <w:tcW w:w="68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10.1</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8.8</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10.3</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10.6</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6.5</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5.9</w:t>
            </w:r>
          </w:p>
        </w:tc>
        <w:tc>
          <w:tcPr>
            <w:tcW w:w="74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6.4</w:t>
            </w:r>
          </w:p>
        </w:tc>
        <w:tc>
          <w:tcPr>
            <w:tcW w:w="5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7.9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9.9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12.4</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12.4</w:t>
            </w:r>
          </w:p>
        </w:tc>
        <w:tc>
          <w:tcPr>
            <w:tcW w:w="68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112.2</w:t>
            </w:r>
          </w:p>
        </w:tc>
      </w:tr>
      <w:tr w:rsidR="00A07D92">
        <w:trPr>
          <w:trHeight w:hRule="exact" w:val="522"/>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STD</w:t>
            </w:r>
          </w:p>
        </w:tc>
        <w:tc>
          <w:tcPr>
            <w:tcW w:w="68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4.7</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4.3</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4.1</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4.3</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2.8</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3.9</w:t>
            </w:r>
          </w:p>
        </w:tc>
        <w:tc>
          <w:tcPr>
            <w:tcW w:w="74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3.6</w:t>
            </w:r>
          </w:p>
        </w:tc>
        <w:tc>
          <w:tcPr>
            <w:tcW w:w="5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3.2</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3.7</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5.7</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5.2</w:t>
            </w:r>
          </w:p>
        </w:tc>
        <w:tc>
          <w:tcPr>
            <w:tcW w:w="68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19.1</w:t>
            </w:r>
          </w:p>
        </w:tc>
      </w:tr>
      <w:tr w:rsidR="00A07D92">
        <w:trPr>
          <w:trHeight w:hRule="exact" w:val="522"/>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MAX</w:t>
            </w:r>
          </w:p>
        </w:tc>
        <w:tc>
          <w:tcPr>
            <w:tcW w:w="6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19</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21</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18</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18</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18</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13</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17</w:t>
            </w:r>
          </w:p>
        </w:tc>
        <w:tc>
          <w:tcPr>
            <w:tcW w:w="74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14</w:t>
            </w:r>
          </w:p>
        </w:tc>
        <w:tc>
          <w:tcPr>
            <w:tcW w:w="5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14</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16</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25</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19</w:t>
            </w:r>
          </w:p>
        </w:tc>
        <w:tc>
          <w:tcPr>
            <w:tcW w:w="68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151</w:t>
            </w:r>
          </w:p>
        </w:tc>
      </w:tr>
      <w:tr w:rsidR="00A07D92">
        <w:trPr>
          <w:trHeight w:hRule="exact" w:val="475"/>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MIN</w:t>
            </w:r>
          </w:p>
        </w:tc>
        <w:tc>
          <w:tcPr>
            <w:tcW w:w="6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4</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3</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74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5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3</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3</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68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65</w:t>
            </w:r>
          </w:p>
        </w:tc>
      </w:tr>
    </w:tbl>
    <w:p w:rsidR="00A07D92" w:rsidRDefault="00495E63">
      <w:pPr>
        <w:spacing w:before="0" w:after="0"/>
        <w:jc w:val="center"/>
        <w:rPr>
          <w:rFonts w:eastAsia="Calibri"/>
          <w:bCs/>
          <w:color w:val="54883D"/>
          <w:sz w:val="20"/>
          <w:szCs w:val="18"/>
          <w:lang w:bidi="en-US"/>
        </w:rPr>
      </w:pPr>
      <w:r>
        <w:rPr>
          <w:rFonts w:eastAsia="Calibri"/>
          <w:bCs/>
          <w:i/>
          <w:color w:val="54883D"/>
          <w:sz w:val="20"/>
          <w:szCs w:val="18"/>
          <w:lang w:bidi="en-US"/>
        </w:rPr>
        <w:tab/>
        <w:t>Izvor: Državni hidrometeorološki zavod</w:t>
      </w:r>
    </w:p>
    <w:p w:rsidR="00A07D92" w:rsidRDefault="00495E63">
      <w:pPr>
        <w:keepNext/>
        <w:keepLines/>
        <w:tabs>
          <w:tab w:val="left" w:pos="0"/>
        </w:tabs>
        <w:spacing w:before="40"/>
        <w:outlineLvl w:val="2"/>
        <w:rPr>
          <w:rFonts w:cstheme="majorBidi"/>
          <w:color w:val="54883D"/>
          <w:sz w:val="28"/>
          <w:lang w:bidi="en-US"/>
        </w:rPr>
      </w:pPr>
      <w:bookmarkStart w:id="198" w:name="_Toc136522836"/>
      <w:bookmarkStart w:id="199" w:name="_Toc525721013"/>
      <w:bookmarkStart w:id="200" w:name="_Toc507493213"/>
      <w:bookmarkStart w:id="201" w:name="_Toc496179685"/>
      <w:r>
        <w:rPr>
          <w:rFonts w:cstheme="majorBidi"/>
          <w:color w:val="54883D"/>
          <w:sz w:val="28"/>
          <w:lang w:bidi="en-US"/>
        </w:rPr>
        <w:t>6.3.5 Uzrok</w:t>
      </w:r>
      <w:bookmarkEnd w:id="198"/>
      <w:bookmarkEnd w:id="199"/>
      <w:bookmarkEnd w:id="200"/>
      <w:bookmarkEnd w:id="201"/>
    </w:p>
    <w:p w:rsidR="00A07D92" w:rsidRDefault="00495E63">
      <w:pPr>
        <w:spacing w:before="0" w:after="120"/>
        <w:rPr>
          <w:rFonts w:eastAsiaTheme="minorEastAsia"/>
          <w:color w:val="auto"/>
          <w:szCs w:val="22"/>
          <w:lang w:eastAsia="hr-HR"/>
        </w:rPr>
      </w:pPr>
      <w:r>
        <w:rPr>
          <w:rFonts w:eastAsiaTheme="minorEastAsia"/>
          <w:color w:val="auto"/>
          <w:szCs w:val="22"/>
          <w:lang w:eastAsia="hr-HR"/>
        </w:rPr>
        <w:t xml:space="preserve">Prisilne oscilacije razine mora se odvijaju bez značajnijeg poremećaja </w:t>
      </w:r>
      <w:proofErr w:type="spellStart"/>
      <w:r>
        <w:rPr>
          <w:rFonts w:eastAsiaTheme="minorEastAsia"/>
          <w:color w:val="auto"/>
          <w:szCs w:val="22"/>
          <w:lang w:eastAsia="hr-HR"/>
        </w:rPr>
        <w:t>hidrostatske</w:t>
      </w:r>
      <w:proofErr w:type="spellEnd"/>
      <w:r>
        <w:rPr>
          <w:rFonts w:eastAsiaTheme="minorEastAsia"/>
          <w:color w:val="auto"/>
          <w:szCs w:val="22"/>
          <w:lang w:eastAsia="hr-HR"/>
        </w:rPr>
        <w:t xml:space="preserve"> ravnoteže u moru. Njihovo ponašanje je </w:t>
      </w:r>
      <w:proofErr w:type="spellStart"/>
      <w:r>
        <w:rPr>
          <w:rFonts w:eastAsiaTheme="minorEastAsia"/>
          <w:color w:val="auto"/>
          <w:szCs w:val="22"/>
          <w:lang w:eastAsia="hr-HR"/>
        </w:rPr>
        <w:t>neperiodičko</w:t>
      </w:r>
      <w:proofErr w:type="spellEnd"/>
      <w:r>
        <w:rPr>
          <w:rFonts w:eastAsiaTheme="minorEastAsia"/>
          <w:color w:val="auto"/>
          <w:szCs w:val="22"/>
          <w:lang w:eastAsia="hr-HR"/>
        </w:rPr>
        <w:t xml:space="preserve"> te je uzrokovano uglavnom jakim i dugotrajnim puhanjem vjetrova i neobično visokim ili niskim tlakom zraka. Ove promjene</w:t>
      </w:r>
      <w:r>
        <w:rPr>
          <w:rFonts w:eastAsiaTheme="minorEastAsia"/>
          <w:color w:val="auto"/>
          <w:szCs w:val="22"/>
          <w:lang w:eastAsia="hr-HR"/>
        </w:rPr>
        <w:t xml:space="preserve"> na otvorenom moru ne uzrokuju veća kolebanja razine mora, najviše do 1 metar, dok u obalnim područjima zbog topografskih efekata mogu dosegnuti i više metara te uzrokovati poplavljivanja, štetu i uništavanje obalne infrastrukture. Posljedica </w:t>
      </w:r>
      <w:proofErr w:type="spellStart"/>
      <w:r>
        <w:rPr>
          <w:rFonts w:eastAsiaTheme="minorEastAsia"/>
          <w:color w:val="auto"/>
          <w:szCs w:val="22"/>
          <w:lang w:eastAsia="hr-HR"/>
        </w:rPr>
        <w:t>uspora</w:t>
      </w:r>
      <w:proofErr w:type="spellEnd"/>
      <w:r>
        <w:rPr>
          <w:rFonts w:eastAsiaTheme="minorEastAsia"/>
          <w:color w:val="auto"/>
          <w:szCs w:val="22"/>
          <w:lang w:eastAsia="hr-HR"/>
        </w:rPr>
        <w:t xml:space="preserve"> je pop</w:t>
      </w:r>
      <w:r>
        <w:rPr>
          <w:rFonts w:eastAsiaTheme="minorEastAsia"/>
          <w:color w:val="auto"/>
          <w:szCs w:val="22"/>
          <w:lang w:eastAsia="hr-HR"/>
        </w:rPr>
        <w:t xml:space="preserve">lavljivanje obalnih područja. Plimni val može uzrokovati plavljenje obalne površine, a uslijed podizanja mora može doći do oštećenja brodica privezanih u lučicama, do oštećenja rive te prizemnih objekata na obali. </w:t>
      </w:r>
    </w:p>
    <w:p w:rsidR="00A07D92" w:rsidRDefault="00495E63">
      <w:pPr>
        <w:spacing w:before="0" w:after="120"/>
        <w:rPr>
          <w:rFonts w:eastAsiaTheme="minorEastAsia"/>
          <w:color w:val="FF0000"/>
          <w:szCs w:val="22"/>
          <w:lang w:eastAsia="hr-HR"/>
        </w:rPr>
      </w:pPr>
      <w:r>
        <w:rPr>
          <w:rFonts w:eastAsiaTheme="minorEastAsia"/>
          <w:color w:val="auto"/>
          <w:szCs w:val="22"/>
          <w:lang w:eastAsia="hr-HR"/>
        </w:rPr>
        <w:t xml:space="preserve">Osim pozitivnih </w:t>
      </w:r>
      <w:proofErr w:type="spellStart"/>
      <w:r>
        <w:rPr>
          <w:rFonts w:eastAsiaTheme="minorEastAsia"/>
          <w:color w:val="auto"/>
          <w:szCs w:val="22"/>
          <w:lang w:eastAsia="hr-HR"/>
        </w:rPr>
        <w:t>uspora</w:t>
      </w:r>
      <w:proofErr w:type="spellEnd"/>
      <w:r>
        <w:rPr>
          <w:rFonts w:eastAsiaTheme="minorEastAsia"/>
          <w:color w:val="auto"/>
          <w:szCs w:val="22"/>
          <w:lang w:eastAsia="hr-HR"/>
        </w:rPr>
        <w:t xml:space="preserve"> koji uzrokuju popl</w:t>
      </w:r>
      <w:r>
        <w:rPr>
          <w:rFonts w:eastAsiaTheme="minorEastAsia"/>
          <w:color w:val="auto"/>
          <w:szCs w:val="22"/>
          <w:lang w:eastAsia="hr-HR"/>
        </w:rPr>
        <w:t>avljivanje obalnih područja, u Jadranu se javljaju i negativni uspori kod puhanja dugotrajne olujne bure koja potiskuje vodene mase prema talijanskoj obali Jadrana. Pri tome, zbog njezine nehomogene prostorne razdiobe, sniženje razine mora uz istočnu obalu</w:t>
      </w:r>
      <w:r>
        <w:rPr>
          <w:rFonts w:eastAsiaTheme="minorEastAsia"/>
          <w:color w:val="auto"/>
          <w:szCs w:val="22"/>
          <w:lang w:eastAsia="hr-HR"/>
        </w:rPr>
        <w:t xml:space="preserve"> Jadrana nije uniformno. Utjecaj tlaka zraka u odnosu na vjetar je ovdje značajan, te u ekstremnim situacijama može sniziti razinu mora i preko 30 cm. Iako je ova pojava znatno manje opasna od visoke vode, ipak može izazvati štete na plovilima na </w:t>
      </w:r>
      <w:proofErr w:type="spellStart"/>
      <w:r>
        <w:rPr>
          <w:rFonts w:eastAsiaTheme="minorEastAsia"/>
          <w:color w:val="auto"/>
          <w:szCs w:val="22"/>
          <w:lang w:eastAsia="hr-HR"/>
        </w:rPr>
        <w:t>privezišt</w:t>
      </w:r>
      <w:r>
        <w:rPr>
          <w:rFonts w:eastAsiaTheme="minorEastAsia"/>
          <w:color w:val="auto"/>
          <w:szCs w:val="22"/>
          <w:lang w:eastAsia="hr-HR"/>
        </w:rPr>
        <w:t>ima</w:t>
      </w:r>
      <w:proofErr w:type="spellEnd"/>
      <w:r>
        <w:rPr>
          <w:rFonts w:eastAsiaTheme="minorEastAsia"/>
          <w:color w:val="auto"/>
          <w:szCs w:val="22"/>
          <w:lang w:eastAsia="hr-HR"/>
        </w:rPr>
        <w:t xml:space="preserve"> u lukama gdje su manje dubine.</w:t>
      </w:r>
    </w:p>
    <w:p w:rsidR="00A07D92" w:rsidRDefault="00A07D92">
      <w:pPr>
        <w:rPr>
          <w:u w:val="single"/>
        </w:rPr>
      </w:pPr>
    </w:p>
    <w:p w:rsidR="00A07D92" w:rsidRDefault="00495E63">
      <w:pPr>
        <w:rPr>
          <w:u w:val="single"/>
        </w:rPr>
      </w:pPr>
      <w:r>
        <w:rPr>
          <w:u w:val="single"/>
        </w:rPr>
        <w:t>RAZVOJ DOGAĐAJA KOJI JE PRETHODIO VELIKOJ NESREĆI</w:t>
      </w:r>
    </w:p>
    <w:p w:rsidR="00A07D92" w:rsidRDefault="00495E63">
      <w:r>
        <w:t xml:space="preserve">Događaji koji su prethodili velikoj nesreći su uglavnom jako i dugotrajno puhanje vjetrova ili neobično visoki ili niski tlakovi zraka. </w:t>
      </w:r>
    </w:p>
    <w:p w:rsidR="00A07D92" w:rsidRDefault="00A07D92">
      <w:pPr>
        <w:spacing w:before="0" w:after="0"/>
        <w:rPr>
          <w:u w:val="single"/>
        </w:rPr>
      </w:pPr>
    </w:p>
    <w:p w:rsidR="00A07D92" w:rsidRDefault="00A07D92">
      <w:pPr>
        <w:rPr>
          <w:u w:val="single"/>
        </w:rPr>
      </w:pPr>
    </w:p>
    <w:p w:rsidR="00A07D92" w:rsidRDefault="00A07D92">
      <w:pPr>
        <w:rPr>
          <w:u w:val="single"/>
        </w:rPr>
      </w:pPr>
    </w:p>
    <w:p w:rsidR="00A07D92" w:rsidRDefault="00A07D92">
      <w:pPr>
        <w:rPr>
          <w:u w:val="single"/>
        </w:rPr>
      </w:pPr>
    </w:p>
    <w:p w:rsidR="00A07D92" w:rsidRDefault="00495E63">
      <w:pPr>
        <w:rPr>
          <w:u w:val="single"/>
        </w:rPr>
      </w:pPr>
      <w:r>
        <w:rPr>
          <w:u w:val="single"/>
        </w:rPr>
        <w:t xml:space="preserve">OKIDAČ KOJI JE UZROKOVAO </w:t>
      </w:r>
      <w:r>
        <w:rPr>
          <w:u w:val="single"/>
        </w:rPr>
        <w:t>VELIKU NESREĆU</w:t>
      </w:r>
    </w:p>
    <w:p w:rsidR="00A07D92" w:rsidRDefault="00495E63">
      <w:pPr>
        <w:spacing w:before="0" w:after="0"/>
      </w:pPr>
      <w:r>
        <w:t>Okidači nastanka poplave mogu biti dugotrajne oborine manjeg intenziteta ili kratkotrajne oborine velikog intenziteta. Veća je vjerojatnost da će doći do kratkotrajne oborine većeg intenziteta.</w:t>
      </w:r>
    </w:p>
    <w:p w:rsidR="00A07D92" w:rsidRDefault="00A07D92">
      <w:pPr>
        <w:spacing w:before="0" w:after="0"/>
      </w:pPr>
    </w:p>
    <w:p w:rsidR="00A07D92" w:rsidRDefault="00495E63">
      <w:pPr>
        <w:keepNext/>
        <w:keepLines/>
        <w:tabs>
          <w:tab w:val="left" w:pos="0"/>
        </w:tabs>
        <w:spacing w:before="40"/>
        <w:outlineLvl w:val="2"/>
        <w:rPr>
          <w:rFonts w:cstheme="majorBidi"/>
          <w:color w:val="54883D"/>
          <w:sz w:val="28"/>
          <w:lang w:bidi="en-US"/>
        </w:rPr>
      </w:pPr>
      <w:bookmarkStart w:id="202" w:name="_Toc525721014"/>
      <w:bookmarkStart w:id="203" w:name="_Toc507493214"/>
      <w:bookmarkStart w:id="204" w:name="_Toc496179686"/>
      <w:bookmarkStart w:id="205" w:name="_Toc492284935"/>
      <w:bookmarkStart w:id="206" w:name="_Toc136522837"/>
      <w:r>
        <w:rPr>
          <w:rFonts w:cstheme="majorBidi"/>
          <w:color w:val="54883D"/>
          <w:sz w:val="28"/>
          <w:lang w:bidi="en-US"/>
        </w:rPr>
        <w:t xml:space="preserve">6.3.6 </w:t>
      </w:r>
      <w:bookmarkEnd w:id="202"/>
      <w:bookmarkEnd w:id="203"/>
      <w:bookmarkEnd w:id="204"/>
      <w:bookmarkEnd w:id="205"/>
      <w:r>
        <w:rPr>
          <w:rFonts w:cstheme="majorBidi"/>
          <w:color w:val="54883D"/>
          <w:sz w:val="28"/>
          <w:lang w:bidi="en-US"/>
        </w:rPr>
        <w:t>Događaj sa najgorim mogućim posljedicama</w:t>
      </w:r>
      <w:bookmarkEnd w:id="206"/>
    </w:p>
    <w:p w:rsidR="00A07D92" w:rsidRDefault="00495E63">
      <w:pPr>
        <w:rPr>
          <w:i/>
          <w:iCs/>
          <w:color w:val="54883D"/>
        </w:rPr>
      </w:pPr>
      <w:r>
        <w:rPr>
          <w:i/>
          <w:iCs/>
          <w:color w:val="54883D"/>
        </w:rPr>
        <w:t>Posljedice</w:t>
      </w:r>
    </w:p>
    <w:p w:rsidR="00A07D92" w:rsidRDefault="00495E63">
      <w:r>
        <w:t>Nastanak plimnog vala i plavljenje obalnog dijela područja Grada Malog Lošinja.</w:t>
      </w:r>
    </w:p>
    <w:p w:rsidR="00A07D92" w:rsidRDefault="00495E63">
      <w:pPr>
        <w:rPr>
          <w:u w:val="single"/>
        </w:rPr>
      </w:pPr>
      <w:r>
        <w:rPr>
          <w:u w:val="single"/>
        </w:rPr>
        <w:t>Život i zdravlje ljudi</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38</w:t>
      </w:r>
      <w:r>
        <w:rPr>
          <w:rFonts w:eastAsia="Calibri"/>
          <w:bCs/>
          <w:sz w:val="20"/>
          <w:szCs w:val="18"/>
        </w:rPr>
        <w:fldChar w:fldCharType="end"/>
      </w:r>
      <w:r>
        <w:rPr>
          <w:rFonts w:eastAsia="Calibri"/>
          <w:bCs/>
          <w:color w:val="54883D"/>
          <w:sz w:val="20"/>
          <w:szCs w:val="18"/>
          <w:lang w:bidi="en-US"/>
        </w:rPr>
        <w:t>. Vrijednost kriterija za posljedice na život i zdravlje ljudi po kategorijama – plimni val</w:t>
      </w:r>
    </w:p>
    <w:tbl>
      <w:tblPr>
        <w:tblStyle w:val="ivopisnatablicareetke6-isticanje31231"/>
        <w:tblW w:w="8332" w:type="dxa"/>
        <w:jc w:val="center"/>
        <w:tblLook w:val="04A0" w:firstRow="1" w:lastRow="0" w:firstColumn="1" w:lastColumn="0" w:noHBand="0" w:noVBand="1"/>
      </w:tblPr>
      <w:tblGrid>
        <w:gridCol w:w="1528"/>
        <w:gridCol w:w="2566"/>
        <w:gridCol w:w="2252"/>
        <w:gridCol w:w="1986"/>
      </w:tblGrid>
      <w:tr w:rsidR="00A07D92" w:rsidTr="00A07D92">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BROJ UGROŽENIH OSOBA %</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&lt; 0,001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x</w:t>
            </w:r>
          </w:p>
        </w:tc>
      </w:tr>
      <w:tr w:rsidR="00A07D92" w:rsidTr="00A07D92">
        <w:trPr>
          <w:trHeight w:val="243"/>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0,001 - 0,0046</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0,0047 - 0,011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07D92" w:rsidTr="00A07D92">
        <w:trPr>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0,012 - 0,035</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0,036 &gt;</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rsidR="00A07D92" w:rsidRDefault="00A07D92">
      <w:pPr>
        <w:rPr>
          <w:u w:val="single"/>
        </w:rPr>
      </w:pPr>
    </w:p>
    <w:p w:rsidR="00A07D92" w:rsidRDefault="00495E63">
      <w:pPr>
        <w:spacing w:before="0" w:after="200"/>
        <w:jc w:val="left"/>
        <w:rPr>
          <w:u w:val="single"/>
        </w:rPr>
      </w:pPr>
      <w:r>
        <w:rPr>
          <w:u w:val="single"/>
        </w:rPr>
        <w:t>Gospodarstvo</w:t>
      </w:r>
    </w:p>
    <w:p w:rsidR="00A07D92" w:rsidRDefault="00495E63">
      <w:r>
        <w:t xml:space="preserve">Ukoliko dođe do plimnog vala i poplavljivanja obalnog području Grada, može doći do velikih materijalnih šteta (plavljenje gospodarskih i stambenih objekata uz obalno područje, oštećenje vozila). </w:t>
      </w:r>
    </w:p>
    <w:p w:rsidR="00A07D92" w:rsidRDefault="00495E63">
      <w:pPr>
        <w:spacing w:before="0"/>
        <w:jc w:val="center"/>
        <w:rPr>
          <w:rFonts w:eastAsia="Calibri"/>
          <w:bCs/>
          <w:i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39</w:t>
      </w:r>
      <w:r>
        <w:rPr>
          <w:rFonts w:eastAsia="Calibri"/>
          <w:bCs/>
          <w:sz w:val="20"/>
          <w:szCs w:val="18"/>
        </w:rPr>
        <w:fldChar w:fldCharType="end"/>
      </w:r>
      <w:r>
        <w:rPr>
          <w:rFonts w:eastAsia="Calibri"/>
          <w:bCs/>
          <w:color w:val="54883D"/>
          <w:sz w:val="20"/>
          <w:szCs w:val="18"/>
          <w:lang w:bidi="en-US"/>
        </w:rPr>
        <w:t>.</w:t>
      </w:r>
      <w:r>
        <w:rPr>
          <w:rFonts w:eastAsia="Calibri"/>
          <w:bCs/>
          <w:iCs/>
          <w:color w:val="54883D"/>
          <w:sz w:val="20"/>
          <w:szCs w:val="18"/>
          <w:lang w:bidi="en-US"/>
        </w:rPr>
        <w:t xml:space="preserve">Vrijednost kriterija za </w:t>
      </w:r>
      <w:r>
        <w:rPr>
          <w:rFonts w:eastAsia="Calibri"/>
          <w:bCs/>
          <w:iCs/>
          <w:color w:val="54883D"/>
          <w:sz w:val="20"/>
          <w:szCs w:val="18"/>
          <w:lang w:bidi="en-US"/>
        </w:rPr>
        <w:t>posljedice na gospodarstvo po kategorijama – plimni val</w:t>
      </w:r>
    </w:p>
    <w:tbl>
      <w:tblPr>
        <w:tblStyle w:val="ivopisnatablicareetke6-isticanje323"/>
        <w:tblW w:w="8439" w:type="dxa"/>
        <w:jc w:val="center"/>
        <w:tblLook w:val="04A0" w:firstRow="1" w:lastRow="0" w:firstColumn="1" w:lastColumn="0" w:noHBand="0" w:noVBand="1"/>
      </w:tblPr>
      <w:tblGrid>
        <w:gridCol w:w="1528"/>
        <w:gridCol w:w="2295"/>
        <w:gridCol w:w="3117"/>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rsidR="00A07D92" w:rsidRDefault="00A07D92">
      <w:pPr>
        <w:rPr>
          <w:u w:val="single"/>
        </w:rPr>
      </w:pPr>
    </w:p>
    <w:p w:rsidR="00A07D92" w:rsidRDefault="00495E63">
      <w:pPr>
        <w:rPr>
          <w:u w:val="single"/>
        </w:rPr>
      </w:pPr>
      <w:r>
        <w:rPr>
          <w:u w:val="single"/>
        </w:rPr>
        <w:t>Društvena stabilnost i politika</w:t>
      </w:r>
    </w:p>
    <w:p w:rsidR="00A07D92" w:rsidRDefault="00495E63">
      <w:pPr>
        <w:rPr>
          <w:rFonts w:eastAsiaTheme="minorHAnsi"/>
          <w:b/>
          <w:u w:val="single"/>
        </w:rPr>
      </w:pPr>
      <w:r>
        <w:rPr>
          <w:rFonts w:eastAsiaTheme="minorHAnsi"/>
          <w:b/>
          <w:u w:val="single"/>
        </w:rPr>
        <w:t>Posljedice po kritičnu infrastrukturu:</w:t>
      </w:r>
    </w:p>
    <w:p w:rsidR="00A07D92" w:rsidRDefault="00495E63">
      <w:pPr>
        <w:spacing w:after="0"/>
        <w:rPr>
          <w:color w:val="54883D"/>
          <w:szCs w:val="20"/>
        </w:rPr>
      </w:pPr>
      <w:r>
        <w:rPr>
          <w:i/>
          <w:iCs/>
          <w:color w:val="54883D"/>
        </w:rPr>
        <w:t>Energetika</w:t>
      </w:r>
      <w:r>
        <w:rPr>
          <w:color w:val="54883D"/>
          <w:szCs w:val="20"/>
        </w:rPr>
        <w:t xml:space="preserve"> </w:t>
      </w:r>
    </w:p>
    <w:p w:rsidR="00A07D92" w:rsidRDefault="00495E63">
      <w:pPr>
        <w:spacing w:after="0"/>
        <w:rPr>
          <w:color w:val="auto"/>
        </w:rPr>
      </w:pPr>
      <w:r>
        <w:rPr>
          <w:szCs w:val="20"/>
        </w:rPr>
        <w:lastRenderedPageBreak/>
        <w:t xml:space="preserve">Može doći do </w:t>
      </w:r>
      <w:r>
        <w:rPr>
          <w:color w:val="auto"/>
        </w:rPr>
        <w:t>oštećenja dijelova sustava stupova električne mreže i do prekida napajanja električnom energijom što može dovesti do otežanog</w:t>
      </w:r>
      <w:r>
        <w:rPr>
          <w:color w:val="auto"/>
        </w:rPr>
        <w:t xml:space="preserve"> redovitog funkcioniranja tvrtki i domaćinstava.</w:t>
      </w:r>
    </w:p>
    <w:p w:rsidR="00A07D92" w:rsidRDefault="00A07D92">
      <w:pPr>
        <w:spacing w:after="0"/>
        <w:rPr>
          <w:i/>
          <w:iCs/>
          <w:color w:val="54883D"/>
        </w:rPr>
      </w:pPr>
    </w:p>
    <w:p w:rsidR="00A07D92" w:rsidRDefault="00A07D92">
      <w:pPr>
        <w:spacing w:after="0"/>
        <w:rPr>
          <w:i/>
          <w:iCs/>
          <w:color w:val="54883D"/>
        </w:rPr>
      </w:pPr>
    </w:p>
    <w:p w:rsidR="00A07D92" w:rsidRDefault="00495E63">
      <w:pPr>
        <w:spacing w:after="0"/>
        <w:rPr>
          <w:i/>
          <w:iCs/>
          <w:color w:val="54883D"/>
        </w:rPr>
      </w:pPr>
      <w:r>
        <w:rPr>
          <w:i/>
          <w:iCs/>
          <w:color w:val="54883D"/>
        </w:rPr>
        <w:t>Promet</w:t>
      </w:r>
    </w:p>
    <w:p w:rsidR="00A07D92" w:rsidRDefault="00495E63">
      <w:pPr>
        <w:spacing w:after="0"/>
        <w:rPr>
          <w:color w:val="auto"/>
        </w:rPr>
      </w:pPr>
      <w:r>
        <w:rPr>
          <w:color w:val="auto"/>
        </w:rPr>
        <w:t>Može doći do plavljenja prometnica. Plavljenje ovih prometnica može dovesti do otežanog odvijanja prometa ili do prekida prometa na tim cestama. Oštećenja prometnica mogu dovesti do dugotrajnog prek</w:t>
      </w:r>
      <w:r>
        <w:rPr>
          <w:color w:val="auto"/>
        </w:rPr>
        <w:t xml:space="preserve">ida prometovanjem tim cestama i otežanog odvijanja redovitog funkcioniranja prometa. </w:t>
      </w:r>
    </w:p>
    <w:p w:rsidR="00A07D92" w:rsidRDefault="00495E63">
      <w:pPr>
        <w:spacing w:after="0"/>
        <w:rPr>
          <w:color w:val="auto"/>
          <w:highlight w:val="yellow"/>
        </w:rPr>
      </w:pPr>
      <w:r>
        <w:rPr>
          <w:color w:val="auto"/>
          <w:highlight w:val="yellow"/>
        </w:rPr>
        <w:t xml:space="preserve"> </w:t>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40</w:t>
      </w:r>
      <w:r>
        <w:rPr>
          <w:rFonts w:eastAsia="Calibri"/>
          <w:bCs/>
          <w:sz w:val="20"/>
          <w:szCs w:val="18"/>
        </w:rPr>
        <w:fldChar w:fldCharType="end"/>
      </w:r>
      <w:r>
        <w:rPr>
          <w:rFonts w:eastAsia="Calibri"/>
          <w:bCs/>
          <w:color w:val="54883D"/>
          <w:sz w:val="20"/>
          <w:szCs w:val="18"/>
          <w:lang w:bidi="en-US"/>
        </w:rPr>
        <w:t>. Vrijednost kriterija za posljedice na društvenu stabilnost i politiku</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oštećena kritična infrastruktura – plimni val</w:t>
      </w:r>
    </w:p>
    <w:tbl>
      <w:tblPr>
        <w:tblStyle w:val="ivopisnatablicareetke6-isticanje323"/>
        <w:tblW w:w="8439" w:type="dxa"/>
        <w:jc w:val="center"/>
        <w:tblLook w:val="04A0" w:firstRow="1" w:lastRow="0" w:firstColumn="1" w:lastColumn="0" w:noHBand="0" w:noVBand="1"/>
      </w:tblPr>
      <w:tblGrid>
        <w:gridCol w:w="1528"/>
        <w:gridCol w:w="2295"/>
        <w:gridCol w:w="3117"/>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rsidR="00A07D92" w:rsidRDefault="00A07D92">
      <w:pPr>
        <w:rPr>
          <w:rFonts w:eastAsiaTheme="minorHAnsi"/>
          <w:b/>
          <w:u w:val="single"/>
        </w:rPr>
      </w:pPr>
    </w:p>
    <w:p w:rsidR="00A07D92" w:rsidRDefault="00495E63">
      <w:pPr>
        <w:rPr>
          <w:rFonts w:eastAsiaTheme="minorHAnsi"/>
          <w:b/>
          <w:u w:val="single"/>
        </w:rPr>
      </w:pPr>
      <w:r>
        <w:rPr>
          <w:rFonts w:eastAsiaTheme="minorHAnsi"/>
          <w:b/>
          <w:u w:val="single"/>
        </w:rPr>
        <w:t xml:space="preserve">Posljedice po građevine javnog </w:t>
      </w:r>
      <w:r>
        <w:rPr>
          <w:rFonts w:eastAsiaTheme="minorHAnsi"/>
          <w:b/>
          <w:u w:val="single"/>
        </w:rPr>
        <w:t>društvenog značaja:</w:t>
      </w:r>
    </w:p>
    <w:p w:rsidR="00A07D92" w:rsidRDefault="00495E63">
      <w:pPr>
        <w:spacing w:before="0" w:after="0"/>
        <w:rPr>
          <w:rFonts w:eastAsia="Calibri"/>
          <w:bCs/>
          <w:color w:val="54883D"/>
          <w:sz w:val="20"/>
          <w:szCs w:val="18"/>
          <w:lang w:bidi="en-US"/>
        </w:rPr>
      </w:pPr>
      <w:r>
        <w:rPr>
          <w:color w:val="auto"/>
        </w:rPr>
        <w:t>Smanjene mogućnosti intervencija zbog plavljenja prometnica. Oštećenje objekata dovelo bi do kraćeg ili duljeg prekida rada ovisno o nastaloj šteti koju će biti potrebno sanirati.</w:t>
      </w:r>
    </w:p>
    <w:p w:rsidR="00A07D92" w:rsidRDefault="00A07D92">
      <w:pPr>
        <w:spacing w:before="0" w:after="0"/>
        <w:jc w:val="center"/>
        <w:rPr>
          <w:rFonts w:eastAsia="Calibri"/>
          <w:bCs/>
          <w:color w:val="54883D"/>
          <w:sz w:val="20"/>
          <w:szCs w:val="18"/>
          <w:lang w:bidi="en-US"/>
        </w:rPr>
      </w:pP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41</w:t>
      </w:r>
      <w:r>
        <w:rPr>
          <w:rFonts w:eastAsia="Calibri"/>
          <w:bCs/>
          <w:sz w:val="20"/>
          <w:szCs w:val="18"/>
        </w:rPr>
        <w:fldChar w:fldCharType="end"/>
      </w:r>
      <w:r>
        <w:rPr>
          <w:rFonts w:eastAsia="Calibri"/>
          <w:bCs/>
          <w:color w:val="54883D"/>
          <w:sz w:val="20"/>
          <w:szCs w:val="18"/>
          <w:lang w:bidi="en-US"/>
        </w:rPr>
        <w:t xml:space="preserve">.Vrijednost kriterija za posljedice na društvenu stabilnost i politiku </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 - štete/gubitci na ustanovama/građevinama javnog društvenog značaja – plimni val</w:t>
      </w:r>
    </w:p>
    <w:tbl>
      <w:tblPr>
        <w:tblStyle w:val="ivopisnatablicareetke6-isticanje323"/>
        <w:tblW w:w="8439" w:type="dxa"/>
        <w:jc w:val="center"/>
        <w:tblLook w:val="04A0" w:firstRow="1" w:lastRow="0" w:firstColumn="1" w:lastColumn="0" w:noHBand="0" w:noVBand="1"/>
      </w:tblPr>
      <w:tblGrid>
        <w:gridCol w:w="1528"/>
        <w:gridCol w:w="2295"/>
        <w:gridCol w:w="3117"/>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w:t>
            </w:r>
            <w:r>
              <w:rPr>
                <w:color w:val="auto"/>
                <w:sz w:val="20"/>
                <w:szCs w:val="20"/>
              </w:rPr>
              <w:t xml:space="preserve">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rsidR="00A07D92" w:rsidRDefault="00A07D92">
      <w:pPr>
        <w:spacing w:before="0" w:after="0"/>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42</w:t>
      </w:r>
      <w:r>
        <w:rPr>
          <w:rFonts w:eastAsia="Calibri"/>
          <w:bCs/>
          <w:sz w:val="20"/>
          <w:szCs w:val="18"/>
        </w:rPr>
        <w:fldChar w:fldCharType="end"/>
      </w:r>
      <w:r>
        <w:rPr>
          <w:rFonts w:eastAsia="Calibri"/>
          <w:bCs/>
          <w:color w:val="54883D"/>
          <w:sz w:val="20"/>
          <w:szCs w:val="18"/>
          <w:lang w:bidi="en-US"/>
        </w:rPr>
        <w:t>.Vrijednost kriterija za društvenu stabilnost i politiku</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zbirno – plimni val</w:t>
      </w:r>
    </w:p>
    <w:tbl>
      <w:tblPr>
        <w:tblStyle w:val="ivopisnatablicareetke6-isticanje35"/>
        <w:tblW w:w="7923" w:type="dxa"/>
        <w:jc w:val="center"/>
        <w:tblLook w:val="04A0" w:firstRow="1" w:lastRow="0" w:firstColumn="1" w:lastColumn="0" w:noHBand="0" w:noVBand="1"/>
      </w:tblPr>
      <w:tblGrid>
        <w:gridCol w:w="1557"/>
        <w:gridCol w:w="2108"/>
        <w:gridCol w:w="2834"/>
        <w:gridCol w:w="1424"/>
      </w:tblGrid>
      <w:tr w:rsidR="00A07D92" w:rsidTr="00A07D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jc w:val="center"/>
              <w:rPr>
                <w:sz w:val="20"/>
              </w:rPr>
            </w:pPr>
            <w:r>
              <w:rPr>
                <w:color w:val="76923C" w:themeColor="accent3" w:themeShade="BF"/>
                <w:sz w:val="20"/>
              </w:rPr>
              <w:t>KATEGORIJA</w:t>
            </w:r>
          </w:p>
        </w:tc>
        <w:tc>
          <w:tcPr>
            <w:tcW w:w="21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KRITIČNA INFRASTRUKTURA</w:t>
            </w:r>
          </w:p>
        </w:tc>
        <w:tc>
          <w:tcPr>
            <w:tcW w:w="28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USTANOVE/GRAĐEVINE JAVNOG DRUŠTVENOG ZNAČAJA</w:t>
            </w:r>
          </w:p>
        </w:tc>
        <w:tc>
          <w:tcPr>
            <w:tcW w:w="14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rPr>
                <w:sz w:val="20"/>
              </w:rPr>
            </w:pPr>
            <w:r>
              <w:rPr>
                <w:color w:val="76923C" w:themeColor="accent3" w:themeShade="BF"/>
                <w:sz w:val="20"/>
              </w:rPr>
              <w:t>1.</w:t>
            </w:r>
          </w:p>
        </w:tc>
        <w:tc>
          <w:tcPr>
            <w:tcW w:w="21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rPr>
                <w:sz w:val="20"/>
              </w:rPr>
            </w:pPr>
            <w:r>
              <w:rPr>
                <w:color w:val="76923C" w:themeColor="accent3" w:themeShade="BF"/>
                <w:sz w:val="20"/>
              </w:rPr>
              <w:t>2.</w:t>
            </w:r>
          </w:p>
        </w:tc>
        <w:tc>
          <w:tcPr>
            <w:tcW w:w="21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themeColor="accent3" w:themeShade="BF"/>
                <w:sz w:val="20"/>
              </w:rPr>
              <w:t>x</w:t>
            </w:r>
          </w:p>
        </w:tc>
        <w:tc>
          <w:tcPr>
            <w:tcW w:w="28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themeColor="accent3" w:themeShade="BF"/>
                <w:sz w:val="20"/>
              </w:rPr>
              <w:t>x</w:t>
            </w:r>
          </w:p>
        </w:tc>
        <w:tc>
          <w:tcPr>
            <w:tcW w:w="14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themeColor="accent3" w:themeShade="BF"/>
                <w:sz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rPr>
                <w:sz w:val="20"/>
              </w:rPr>
            </w:pPr>
            <w:r>
              <w:rPr>
                <w:color w:val="76923C" w:themeColor="accent3" w:themeShade="BF"/>
                <w:sz w:val="20"/>
              </w:rPr>
              <w:t>3.</w:t>
            </w:r>
          </w:p>
        </w:tc>
        <w:tc>
          <w:tcPr>
            <w:tcW w:w="21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rPr>
                <w:sz w:val="20"/>
              </w:rPr>
            </w:pPr>
            <w:r>
              <w:rPr>
                <w:color w:val="76923C" w:themeColor="accent3" w:themeShade="BF"/>
                <w:sz w:val="20"/>
              </w:rPr>
              <w:lastRenderedPageBreak/>
              <w:t>4.</w:t>
            </w:r>
          </w:p>
        </w:tc>
        <w:tc>
          <w:tcPr>
            <w:tcW w:w="21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rPr>
                <w:sz w:val="20"/>
              </w:rPr>
            </w:pPr>
            <w:r>
              <w:rPr>
                <w:color w:val="76923C" w:themeColor="accent3" w:themeShade="BF"/>
                <w:sz w:val="20"/>
              </w:rPr>
              <w:t>5.</w:t>
            </w:r>
          </w:p>
        </w:tc>
        <w:tc>
          <w:tcPr>
            <w:tcW w:w="21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r>
    </w:tbl>
    <w:p w:rsidR="00A07D92" w:rsidRDefault="00495E63">
      <w:pPr>
        <w:rPr>
          <w:i/>
          <w:iCs/>
          <w:color w:val="54883D"/>
        </w:rPr>
      </w:pPr>
      <w:r>
        <w:rPr>
          <w:i/>
          <w:iCs/>
          <w:color w:val="54883D"/>
        </w:rPr>
        <w:t>Vjerojatnost događaja</w:t>
      </w:r>
    </w:p>
    <w:p w:rsidR="00A07D92" w:rsidRDefault="00495E63">
      <w:r>
        <w:t>Frekvencija događaja temelji se na vjerojatnosti događaja poplava na području grada Malog Lošinja.</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w:instrText>
      </w:r>
      <w:r>
        <w:rPr>
          <w:rFonts w:eastAsia="Calibri"/>
          <w:bCs/>
          <w:sz w:val="20"/>
          <w:szCs w:val="18"/>
        </w:rPr>
        <w:instrText xml:space="preserve"> \* ARABIC</w:instrText>
      </w:r>
      <w:r>
        <w:rPr>
          <w:rFonts w:eastAsia="Calibri"/>
          <w:bCs/>
          <w:sz w:val="20"/>
          <w:szCs w:val="18"/>
        </w:rPr>
        <w:fldChar w:fldCharType="separate"/>
      </w:r>
      <w:r>
        <w:rPr>
          <w:rFonts w:eastAsia="Calibri"/>
          <w:bCs/>
          <w:sz w:val="20"/>
          <w:szCs w:val="18"/>
        </w:rPr>
        <w:t>43</w:t>
      </w:r>
      <w:r>
        <w:rPr>
          <w:rFonts w:eastAsia="Calibri"/>
          <w:bCs/>
          <w:sz w:val="20"/>
          <w:szCs w:val="18"/>
        </w:rPr>
        <w:fldChar w:fldCharType="end"/>
      </w:r>
      <w:r>
        <w:rPr>
          <w:rFonts w:eastAsia="Calibri"/>
          <w:bCs/>
          <w:color w:val="54883D"/>
          <w:sz w:val="20"/>
          <w:szCs w:val="18"/>
          <w:lang w:bidi="en-US"/>
        </w:rPr>
        <w:t>.Vjerojatnost / frekvencija - poplava</w:t>
      </w:r>
    </w:p>
    <w:tbl>
      <w:tblPr>
        <w:tblStyle w:val="ivopisnatablicareetke6-isticanje35"/>
        <w:tblW w:w="9634" w:type="dxa"/>
        <w:tblLook w:val="04A0" w:firstRow="1" w:lastRow="0" w:firstColumn="1" w:lastColumn="0" w:noHBand="0" w:noVBand="1"/>
      </w:tblPr>
      <w:tblGrid>
        <w:gridCol w:w="1554"/>
        <w:gridCol w:w="1701"/>
        <w:gridCol w:w="1841"/>
        <w:gridCol w:w="2977"/>
        <w:gridCol w:w="1561"/>
      </w:tblGrid>
      <w:tr w:rsidR="00A07D92" w:rsidTr="00A07D92">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szCs w:val="20"/>
              </w:rPr>
            </w:pPr>
            <w:r>
              <w:rPr>
                <w:color w:val="76923C" w:themeColor="accent3" w:themeShade="BF"/>
                <w:sz w:val="20"/>
                <w:szCs w:val="20"/>
              </w:rPr>
              <w:t>KATEGORIJA</w:t>
            </w:r>
          </w:p>
        </w:tc>
        <w:tc>
          <w:tcPr>
            <w:tcW w:w="8080" w:type="dxa"/>
            <w:gridSpan w:val="4"/>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VJEROJATNOST / FREKVENCIJA</w:t>
            </w:r>
          </w:p>
        </w:tc>
      </w:tr>
      <w:tr w:rsidR="00A07D92" w:rsidTr="00A07D92">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4"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rPr>
                <w:b w:val="0"/>
                <w:color w:val="76923C" w:themeColor="accent3" w:themeShade="BF"/>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KVALITATIVNO</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VJEROJATNOST</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FREKVENCIJA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ODABRANO</w:t>
            </w: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1</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&lt;1 %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2</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szCs w:val="20"/>
              </w:rPr>
            </w:pP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3</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5 – </w:t>
            </w:r>
            <w:r>
              <w:rPr>
                <w:color w:val="76923C" w:themeColor="accent3" w:themeShade="BF"/>
                <w:sz w:val="20"/>
                <w:szCs w:val="20"/>
              </w:rPr>
              <w:t>50 %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Pr>
                <w:b/>
                <w:color w:val="76923C" w:themeColor="accent3" w:themeShade="BF"/>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4</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70"/>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5</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szCs w:val="20"/>
              </w:rPr>
            </w:pPr>
          </w:p>
        </w:tc>
      </w:tr>
    </w:tbl>
    <w:p w:rsidR="00A07D92" w:rsidRDefault="00A07D92"/>
    <w:p w:rsidR="00A07D92" w:rsidRDefault="00495E63">
      <w:pPr>
        <w:keepNext/>
        <w:keepLines/>
        <w:tabs>
          <w:tab w:val="left" w:pos="0"/>
        </w:tabs>
        <w:spacing w:before="40"/>
        <w:outlineLvl w:val="2"/>
        <w:rPr>
          <w:rFonts w:cstheme="majorBidi"/>
          <w:color w:val="54883D"/>
          <w:sz w:val="28"/>
          <w:lang w:bidi="en-US"/>
        </w:rPr>
      </w:pPr>
      <w:bookmarkStart w:id="207" w:name="_Toc136522838"/>
      <w:bookmarkStart w:id="208" w:name="_Toc525721015"/>
      <w:bookmarkStart w:id="209" w:name="_Toc507493215"/>
      <w:bookmarkStart w:id="210" w:name="_Toc496179687"/>
      <w:bookmarkStart w:id="211" w:name="_Toc492284936"/>
      <w:r>
        <w:rPr>
          <w:rFonts w:cstheme="majorBidi"/>
          <w:color w:val="54883D"/>
          <w:sz w:val="28"/>
          <w:lang w:bidi="en-US"/>
        </w:rPr>
        <w:t>6.3.7 Podaci, izvori i metode proračuna</w:t>
      </w:r>
      <w:bookmarkEnd w:id="207"/>
      <w:bookmarkEnd w:id="208"/>
      <w:bookmarkEnd w:id="209"/>
      <w:bookmarkEnd w:id="210"/>
      <w:bookmarkEnd w:id="211"/>
    </w:p>
    <w:p w:rsidR="00A07D92" w:rsidRDefault="00495E63">
      <w:r>
        <w:t>Prilikom izračuna zona ugroženosti i procjene rizika korišteni su podaci iz:</w:t>
      </w:r>
    </w:p>
    <w:p w:rsidR="00A07D92" w:rsidRDefault="00495E63">
      <w:pPr>
        <w:pStyle w:val="Odlomakpopisa"/>
        <w:numPr>
          <w:ilvl w:val="0"/>
          <w:numId w:val="20"/>
        </w:numPr>
        <w:spacing w:line="276" w:lineRule="auto"/>
        <w:rPr>
          <w:sz w:val="22"/>
        </w:rPr>
      </w:pPr>
      <w:r>
        <w:rPr>
          <w:sz w:val="22"/>
        </w:rPr>
        <w:t>Procjene rizike od katastrofa za RH,</w:t>
      </w:r>
    </w:p>
    <w:p w:rsidR="00A07D92" w:rsidRDefault="00495E63">
      <w:pPr>
        <w:pStyle w:val="Odlomakpopisa"/>
        <w:numPr>
          <w:ilvl w:val="0"/>
          <w:numId w:val="20"/>
        </w:numPr>
        <w:spacing w:line="276" w:lineRule="auto"/>
        <w:rPr>
          <w:sz w:val="22"/>
        </w:rPr>
      </w:pPr>
      <w:r>
        <w:rPr>
          <w:sz w:val="22"/>
        </w:rPr>
        <w:t>Hrvatskih voda,</w:t>
      </w:r>
    </w:p>
    <w:p w:rsidR="00A07D92" w:rsidRDefault="00495E63">
      <w:pPr>
        <w:pStyle w:val="Odlomakpopisa"/>
        <w:numPr>
          <w:ilvl w:val="0"/>
          <w:numId w:val="20"/>
        </w:numPr>
        <w:spacing w:line="276" w:lineRule="auto"/>
        <w:rPr>
          <w:sz w:val="22"/>
        </w:rPr>
      </w:pPr>
      <w:r>
        <w:rPr>
          <w:sz w:val="22"/>
        </w:rPr>
        <w:t xml:space="preserve">Provedbeni plan obrane od poplava branjenog područja - sektor E – sjeverni Jadran branjeno područje 23. - Područja malih slivova Kvarnersko primorje i otoci i podvelebitsko primorje i otoci, ožujak </w:t>
      </w:r>
      <w:r>
        <w:rPr>
          <w:sz w:val="22"/>
        </w:rPr>
        <w:t>2014.,</w:t>
      </w:r>
    </w:p>
    <w:p w:rsidR="00A07D92" w:rsidRDefault="00495E63">
      <w:pPr>
        <w:pStyle w:val="Odlomakpopisa"/>
        <w:numPr>
          <w:ilvl w:val="0"/>
          <w:numId w:val="20"/>
        </w:numPr>
        <w:spacing w:line="276" w:lineRule="auto"/>
        <w:rPr>
          <w:sz w:val="22"/>
        </w:rPr>
      </w:pPr>
      <w:r>
        <w:rPr>
          <w:sz w:val="22"/>
        </w:rPr>
        <w:t xml:space="preserve">Grada Malog </w:t>
      </w:r>
      <w:proofErr w:type="spellStart"/>
      <w:r>
        <w:rPr>
          <w:sz w:val="22"/>
        </w:rPr>
        <w:t>lošinja</w:t>
      </w:r>
      <w:proofErr w:type="spellEnd"/>
    </w:p>
    <w:p w:rsidR="00A07D92" w:rsidRDefault="00495E63">
      <w:pPr>
        <w:pStyle w:val="Odlomakpopisa"/>
        <w:numPr>
          <w:ilvl w:val="0"/>
          <w:numId w:val="20"/>
        </w:numPr>
        <w:spacing w:line="276" w:lineRule="auto"/>
        <w:rPr>
          <w:sz w:val="22"/>
        </w:rPr>
      </w:pPr>
      <w:r>
        <w:rPr>
          <w:sz w:val="22"/>
        </w:rPr>
        <w:t>Državni hidrometeorološki zavod</w:t>
      </w:r>
    </w:p>
    <w:p w:rsidR="00A07D92" w:rsidRDefault="00A07D92">
      <w:pPr>
        <w:jc w:val="center"/>
        <w:rPr>
          <w:b/>
          <w:i/>
          <w:iCs/>
          <w:color w:val="54883D"/>
          <w:sz w:val="20"/>
        </w:rPr>
      </w:pPr>
    </w:p>
    <w:p w:rsidR="00A07D92" w:rsidRDefault="00495E63">
      <w:pPr>
        <w:spacing w:before="0" w:after="200"/>
        <w:jc w:val="left"/>
      </w:pPr>
      <w:r>
        <w:br w:type="page"/>
      </w:r>
    </w:p>
    <w:p w:rsidR="00A07D92" w:rsidRDefault="00495E63">
      <w:pPr>
        <w:keepNext/>
        <w:keepLines/>
        <w:tabs>
          <w:tab w:val="left" w:pos="0"/>
        </w:tabs>
        <w:spacing w:before="40"/>
        <w:outlineLvl w:val="2"/>
        <w:rPr>
          <w:rFonts w:cstheme="majorBidi"/>
          <w:color w:val="54883D"/>
          <w:sz w:val="28"/>
          <w:lang w:bidi="en-US"/>
        </w:rPr>
      </w:pPr>
      <w:bookmarkStart w:id="212" w:name="_Toc496179688"/>
      <w:bookmarkStart w:id="213" w:name="_Toc492284937"/>
      <w:bookmarkStart w:id="214" w:name="_Toc525721016"/>
      <w:bookmarkStart w:id="215" w:name="_Toc507493217"/>
      <w:bookmarkStart w:id="216" w:name="_Toc136522839"/>
      <w:r>
        <w:rPr>
          <w:rFonts w:cstheme="majorBidi"/>
          <w:color w:val="54883D"/>
          <w:sz w:val="28"/>
          <w:lang w:bidi="en-US"/>
        </w:rPr>
        <w:lastRenderedPageBreak/>
        <w:t>6.3.8 Matrice rizika</w:t>
      </w:r>
      <w:bookmarkEnd w:id="212"/>
      <w:bookmarkEnd w:id="213"/>
      <w:bookmarkEnd w:id="214"/>
      <w:bookmarkEnd w:id="215"/>
      <w:bookmarkEnd w:id="216"/>
    </w:p>
    <w:p w:rsidR="00A07D92" w:rsidRDefault="00495E63">
      <w:r>
        <w:t>Rizik: Poplava – plimni val</w:t>
      </w:r>
    </w:p>
    <w:p w:rsidR="00A07D92" w:rsidRDefault="00495E63">
      <w:pPr>
        <w:rPr>
          <w:rFonts w:eastAsia="Courier New"/>
        </w:rPr>
      </w:pPr>
      <w:r>
        <w:t>Naziv scenarija: Pojava plimnog vala na području Grada Malog Lošinja</w:t>
      </w:r>
    </w:p>
    <w:p w:rsidR="00A07D92" w:rsidRDefault="00495E63">
      <w:r>
        <w:rPr>
          <w:noProof/>
          <w:lang w:eastAsia="hr-HR"/>
        </w:rPr>
        <w:drawing>
          <wp:inline distT="0" distB="0" distL="0" distR="0">
            <wp:extent cx="5210175" cy="4443730"/>
            <wp:effectExtent l="0" t="0" r="0" b="0"/>
            <wp:docPr id="8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41"/>
                    <pic:cNvPicPr>
                      <a:picLocks noChangeAspect="1" noChangeArrowheads="1"/>
                    </pic:cNvPicPr>
                  </pic:nvPicPr>
                  <pic:blipFill>
                    <a:blip r:embed="rId98"/>
                    <a:stretch>
                      <a:fillRect/>
                    </a:stretch>
                  </pic:blipFill>
                  <pic:spPr bwMode="auto">
                    <a:xfrm>
                      <a:off x="0" y="0"/>
                      <a:ext cx="5210175" cy="4443730"/>
                    </a:xfrm>
                    <a:prstGeom prst="rect">
                      <a:avLst/>
                    </a:prstGeom>
                  </pic:spPr>
                </pic:pic>
              </a:graphicData>
            </a:graphic>
          </wp:inline>
        </w:drawing>
      </w:r>
      <w:r>
        <w:rPr>
          <w:noProof/>
          <w:lang w:eastAsia="hr-HR"/>
        </w:rPr>
        <mc:AlternateContent>
          <mc:Choice Requires="wps">
            <w:drawing>
              <wp:anchor distT="0" distB="0" distL="0" distR="0" simplePos="0" relativeHeight="39" behindDoc="0" locked="0" layoutInCell="1" allowOverlap="1" wp14:anchorId="7A99AB84">
                <wp:simplePos x="0" y="0"/>
                <wp:positionH relativeFrom="column">
                  <wp:posOffset>1941195</wp:posOffset>
                </wp:positionH>
                <wp:positionV relativeFrom="paragraph">
                  <wp:posOffset>2385695</wp:posOffset>
                </wp:positionV>
                <wp:extent cx="314960" cy="253365"/>
                <wp:effectExtent l="19050" t="0" r="28575" b="13970"/>
                <wp:wrapNone/>
                <wp:docPr id="84" name="Hexagon 45"/>
                <wp:cNvGraphicFramePr/>
                <a:graphic xmlns:a="http://schemas.openxmlformats.org/drawingml/2006/main">
                  <a:graphicData uri="http://schemas.microsoft.com/office/word/2010/wordprocessingShape">
                    <wps:wsp>
                      <wps:cNvSpPr/>
                      <wps:spPr>
                        <a:xfrm>
                          <a:off x="0" y="0"/>
                          <a:ext cx="314280" cy="252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45" fillcolor="#4f81bd" stroked="t" style="position:absolute;margin-left:152.85pt;margin-top:187.85pt;width:24.7pt;height:19.85pt" wp14:anchorId="7A99AB84" type="shapetype_9">
                <w10:wrap type="none"/>
                <v:fill o:detectmouseclick="t" type="solid" color2="#b07e42"/>
                <v:stroke color="#4f81bd" weight="9360" joinstyle="miter" endcap="flat"/>
              </v:shape>
            </w:pict>
          </mc:Fallback>
        </mc:AlternateContent>
      </w:r>
    </w:p>
    <w:p w:rsidR="00A07D92" w:rsidRDefault="00A07D92">
      <w:pPr>
        <w:spacing w:before="0" w:after="200"/>
        <w:jc w:val="left"/>
      </w:pPr>
    </w:p>
    <w:p w:rsidR="00A07D92" w:rsidRDefault="00A07D92">
      <w:pPr>
        <w:jc w:val="center"/>
      </w:pPr>
    </w:p>
    <w:p w:rsidR="00A07D92" w:rsidRDefault="00495E63">
      <w:pPr>
        <w:jc w:val="center"/>
        <w:rPr>
          <w:b/>
          <w:sz w:val="20"/>
        </w:rPr>
      </w:pPr>
      <w:r>
        <w:rPr>
          <w:b/>
          <w:sz w:val="20"/>
        </w:rPr>
        <w:t>Život i zdravlje ljudi</w:t>
      </w:r>
      <w:r>
        <w:rPr>
          <w:b/>
          <w:sz w:val="20"/>
        </w:rPr>
        <w:tab/>
      </w:r>
      <w:r>
        <w:rPr>
          <w:b/>
          <w:sz w:val="20"/>
        </w:rPr>
        <w:tab/>
        <w:t xml:space="preserve">       Gospodarstvo</w:t>
      </w:r>
      <w:r>
        <w:rPr>
          <w:b/>
          <w:sz w:val="20"/>
        </w:rPr>
        <w:tab/>
        <w:t xml:space="preserve">          Društvena stabiln</w:t>
      </w:r>
      <w:r>
        <w:rPr>
          <w:b/>
          <w:sz w:val="20"/>
        </w:rPr>
        <w:t>ost i politika</w:t>
      </w:r>
    </w:p>
    <w:p w:rsidR="00A07D92" w:rsidRDefault="00495E63">
      <w:pPr>
        <w:jc w:val="center"/>
      </w:pPr>
      <w:r>
        <w:rPr>
          <w:noProof/>
          <w:lang w:eastAsia="hr-HR"/>
        </w:rPr>
        <mc:AlternateContent>
          <mc:Choice Requires="wps">
            <w:drawing>
              <wp:anchor distT="0" distB="0" distL="0" distR="0" simplePos="0" relativeHeight="38" behindDoc="0" locked="0" layoutInCell="1" allowOverlap="1" wp14:anchorId="08C6C109">
                <wp:simplePos x="0" y="0"/>
                <wp:positionH relativeFrom="column">
                  <wp:posOffset>687070</wp:posOffset>
                </wp:positionH>
                <wp:positionV relativeFrom="paragraph">
                  <wp:posOffset>1068070</wp:posOffset>
                </wp:positionV>
                <wp:extent cx="111760" cy="91440"/>
                <wp:effectExtent l="19050" t="0" r="41275" b="23495"/>
                <wp:wrapNone/>
                <wp:docPr id="86" name="Hexagon 39"/>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39" fillcolor="#4f81bd" stroked="t" style="position:absolute;margin-left:54.1pt;margin-top:84.1pt;width:8.7pt;height:7.1pt" wp14:anchorId="08C6C109"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40" behindDoc="0" locked="0" layoutInCell="1" allowOverlap="1" wp14:anchorId="6C5979D2">
                <wp:simplePos x="0" y="0"/>
                <wp:positionH relativeFrom="margin">
                  <wp:posOffset>2576830</wp:posOffset>
                </wp:positionH>
                <wp:positionV relativeFrom="paragraph">
                  <wp:posOffset>654685</wp:posOffset>
                </wp:positionV>
                <wp:extent cx="111760" cy="91440"/>
                <wp:effectExtent l="19050" t="0" r="41275" b="23495"/>
                <wp:wrapNone/>
                <wp:docPr id="87" name="Hexagon 46"/>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46" fillcolor="#4f81bd" stroked="t" style="position:absolute;margin-left:202.9pt;margin-top:51.55pt;width:8.7pt;height:7.1pt;mso-position-horizontal-relative:margin" wp14:anchorId="6C5979D2"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41" behindDoc="0" locked="0" layoutInCell="1" allowOverlap="1" wp14:anchorId="25C7085A">
                <wp:simplePos x="0" y="0"/>
                <wp:positionH relativeFrom="column">
                  <wp:posOffset>4478655</wp:posOffset>
                </wp:positionH>
                <wp:positionV relativeFrom="paragraph">
                  <wp:posOffset>887095</wp:posOffset>
                </wp:positionV>
                <wp:extent cx="111760" cy="91440"/>
                <wp:effectExtent l="19050" t="0" r="41275" b="23495"/>
                <wp:wrapNone/>
                <wp:docPr id="88" name="Hexagon 47"/>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47" fillcolor="#4f81bd" stroked="t" style="position:absolute;margin-left:352.65pt;margin-top:69.85pt;width:8.7pt;height:7.1pt" wp14:anchorId="25C7085A" type="shapetype_9">
                <w10:wrap type="none"/>
                <v:fill o:detectmouseclick="t" type="solid" color2="#b07e42"/>
                <v:stroke color="#4f81bd" weight="9360" joinstyle="miter" endcap="flat"/>
              </v:shape>
            </w:pict>
          </mc:Fallback>
        </mc:AlternateContent>
      </w:r>
      <w:r>
        <w:rPr>
          <w:noProof/>
          <w:lang w:eastAsia="hr-HR"/>
        </w:rPr>
        <w:drawing>
          <wp:inline distT="0" distB="0" distL="0" distR="0">
            <wp:extent cx="1828800" cy="1554480"/>
            <wp:effectExtent l="0" t="0" r="0" b="0"/>
            <wp:docPr id="8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48"/>
                    <pic:cNvPicPr>
                      <a:picLocks noChangeAspect="1" noChangeArrowheads="1"/>
                    </pic:cNvPicPr>
                  </pic:nvPicPr>
                  <pic:blipFill>
                    <a:blip r:embed="rId99"/>
                    <a:stretch>
                      <a:fillRect/>
                    </a:stretch>
                  </pic:blipFill>
                  <pic:spPr bwMode="auto">
                    <a:xfrm>
                      <a:off x="0" y="0"/>
                      <a:ext cx="1828800" cy="1554480"/>
                    </a:xfrm>
                    <a:prstGeom prst="rect">
                      <a:avLst/>
                    </a:prstGeom>
                  </pic:spPr>
                </pic:pic>
              </a:graphicData>
            </a:graphic>
          </wp:inline>
        </w:drawing>
      </w:r>
      <w:r>
        <w:rPr>
          <w:noProof/>
          <w:lang w:eastAsia="hr-HR"/>
        </w:rPr>
        <w:drawing>
          <wp:inline distT="0" distB="0" distL="0" distR="0">
            <wp:extent cx="1905000" cy="1619250"/>
            <wp:effectExtent l="0" t="0" r="0" b="0"/>
            <wp:docPr id="90" name="Slik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lika7"/>
                    <pic:cNvPicPr>
                      <a:picLocks noChangeAspect="1" noChangeArrowheads="1"/>
                    </pic:cNvPicPr>
                  </pic:nvPicPr>
                  <pic:blipFill>
                    <a:blip r:embed="rId100"/>
                    <a:stretch>
                      <a:fillRect/>
                    </a:stretch>
                  </pic:blipFill>
                  <pic:spPr bwMode="auto">
                    <a:xfrm>
                      <a:off x="0" y="0"/>
                      <a:ext cx="1905000" cy="1619250"/>
                    </a:xfrm>
                    <a:prstGeom prst="rect">
                      <a:avLst/>
                    </a:prstGeom>
                  </pic:spPr>
                </pic:pic>
              </a:graphicData>
            </a:graphic>
          </wp:inline>
        </w:drawing>
      </w:r>
      <w:r>
        <w:rPr>
          <w:noProof/>
          <w:lang w:eastAsia="hr-HR"/>
        </w:rPr>
        <w:drawing>
          <wp:inline distT="0" distB="0" distL="0" distR="0">
            <wp:extent cx="1906270" cy="1620520"/>
            <wp:effectExtent l="0" t="0" r="0" b="0"/>
            <wp:docPr id="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17"/>
                    <pic:cNvPicPr>
                      <a:picLocks noChangeAspect="1" noChangeArrowheads="1"/>
                    </pic:cNvPicPr>
                  </pic:nvPicPr>
                  <pic:blipFill>
                    <a:blip r:embed="rId101"/>
                    <a:stretch>
                      <a:fillRect/>
                    </a:stretch>
                  </pic:blipFill>
                  <pic:spPr bwMode="auto">
                    <a:xfrm>
                      <a:off x="0" y="0"/>
                      <a:ext cx="1906270" cy="1620520"/>
                    </a:xfrm>
                    <a:prstGeom prst="rect">
                      <a:avLst/>
                    </a:prstGeom>
                  </pic:spPr>
                </pic:pic>
              </a:graphicData>
            </a:graphic>
          </wp:inline>
        </w:drawing>
      </w:r>
    </w:p>
    <w:p w:rsidR="00A07D92" w:rsidRDefault="00A07D92">
      <w:pPr>
        <w:jc w:val="center"/>
      </w:pPr>
    </w:p>
    <w:p w:rsidR="00A07D92" w:rsidRDefault="00A07D92">
      <w:pPr>
        <w:jc w:val="center"/>
      </w:pPr>
    </w:p>
    <w:p w:rsidR="00A07D92" w:rsidRDefault="00A07D92">
      <w:pPr>
        <w:jc w:val="center"/>
      </w:pPr>
    </w:p>
    <w:p w:rsidR="00A07D92" w:rsidRDefault="00495E63">
      <w:pPr>
        <w:rPr>
          <w:u w:val="single"/>
        </w:rPr>
      </w:pPr>
      <w:r>
        <w:rPr>
          <w:u w:val="single"/>
        </w:rPr>
        <w:lastRenderedPageBreak/>
        <w:t>METODOLOGIJA I NEPOUZDANOST</w:t>
      </w:r>
    </w:p>
    <w:tbl>
      <w:tblPr>
        <w:tblStyle w:val="Reetkatablice"/>
        <w:tblW w:w="9634" w:type="dxa"/>
        <w:tblLook w:val="04A0" w:firstRow="1" w:lastRow="0" w:firstColumn="1" w:lastColumn="0" w:noHBand="0" w:noVBand="1"/>
      </w:tblPr>
      <w:tblGrid>
        <w:gridCol w:w="2241"/>
        <w:gridCol w:w="984"/>
        <w:gridCol w:w="6409"/>
      </w:tblGrid>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highlight w:val="yellow"/>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highlight w:val="yellow"/>
              </w:rPr>
            </w:pPr>
            <w:r>
              <w:rPr>
                <w:rFonts w:ascii="Times New Roman" w:hAnsi="Times New Roman" w:cs="Times New Roman"/>
                <w:sz w:val="20"/>
                <w:lang w:eastAsia="hr-HR"/>
              </w:rPr>
              <w:t>Ne postoji dovoljna količina statističkih, iskustva stručnjaka i ostalih podataka te pouzdana metodologija procjene posljedica zbog čega se očekuju značajnije greške</w:t>
            </w: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Vrlo visoka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4</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468"/>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Visoka</w:t>
            </w:r>
            <w:r>
              <w:rPr>
                <w:rFonts w:ascii="Times New Roman" w:hAnsi="Times New Roman" w:cs="Times New Roman"/>
                <w:b/>
                <w:sz w:val="20"/>
                <w:lang w:eastAsia="hr-HR"/>
              </w:rPr>
              <w:t xml:space="preserve">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3</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x</w:t>
            </w:r>
          </w:p>
        </w:tc>
      </w:tr>
      <w:tr w:rsidR="00A07D92">
        <w:trPr>
          <w:trHeight w:val="306"/>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2</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Vrlo 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line="240" w:lineRule="auto"/>
              <w:jc w:val="center"/>
              <w:rPr>
                <w:sz w:val="20"/>
              </w:rPr>
            </w:pPr>
            <w:r>
              <w:rPr>
                <w:rFonts w:ascii="Times New Roman" w:hAnsi="Times New Roman" w:cs="Times New Roman"/>
                <w:sz w:val="20"/>
                <w:lang w:eastAsia="hr-HR"/>
              </w:rPr>
              <w:t>1</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highlight w:val="yellow"/>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highlight w:val="yellow"/>
              </w:rPr>
            </w:pPr>
            <w:r>
              <w:rPr>
                <w:rFonts w:ascii="Times New Roman" w:hAnsi="Times New Roman" w:cs="Times New Roman"/>
                <w:sz w:val="20"/>
                <w:lang w:eastAsia="hr-HR"/>
              </w:rPr>
              <w:t>Postoji dovoljna količina statističkih podataka, iskustva stručnjaka i pouzdana metodologija procjene zbog čega je pojavljivanje grešaka vrlo malo vjerojatno</w:t>
            </w:r>
          </w:p>
        </w:tc>
      </w:tr>
    </w:tbl>
    <w:p w:rsidR="00A07D92" w:rsidRDefault="00A07D92">
      <w:pPr>
        <w:rPr>
          <w:i/>
          <w:iCs/>
          <w:color w:val="54883D"/>
        </w:rPr>
      </w:pPr>
    </w:p>
    <w:p w:rsidR="00A07D92" w:rsidRDefault="00495E63">
      <w:pPr>
        <w:keepNext/>
        <w:keepLines/>
        <w:tabs>
          <w:tab w:val="left" w:pos="0"/>
        </w:tabs>
        <w:spacing w:before="40"/>
        <w:outlineLvl w:val="2"/>
        <w:rPr>
          <w:rFonts w:cstheme="majorBidi"/>
          <w:color w:val="54883D"/>
          <w:sz w:val="28"/>
          <w:lang w:bidi="en-US"/>
        </w:rPr>
      </w:pPr>
      <w:bookmarkStart w:id="217" w:name="_Toc507493218"/>
      <w:bookmarkStart w:id="218" w:name="_Toc136522840"/>
      <w:bookmarkStart w:id="219" w:name="_Toc525721017"/>
      <w:r>
        <w:rPr>
          <w:rFonts w:cstheme="majorBidi"/>
          <w:color w:val="54883D"/>
          <w:sz w:val="28"/>
          <w:lang w:bidi="en-US"/>
        </w:rPr>
        <w:t>6.3.9 Kar</w:t>
      </w:r>
      <w:bookmarkEnd w:id="217"/>
      <w:r>
        <w:rPr>
          <w:rFonts w:cstheme="majorBidi"/>
          <w:color w:val="54883D"/>
          <w:sz w:val="28"/>
          <w:lang w:bidi="en-US"/>
        </w:rPr>
        <w:t>te</w:t>
      </w:r>
      <w:bookmarkEnd w:id="218"/>
      <w:bookmarkEnd w:id="219"/>
    </w:p>
    <w:p w:rsidR="00A07D92" w:rsidRDefault="00495E63">
      <w:pPr>
        <w:keepNext/>
        <w:keepLines/>
        <w:spacing w:before="40"/>
        <w:ind w:left="864" w:hanging="864"/>
        <w:outlineLvl w:val="3"/>
        <w:rPr>
          <w:rFonts w:eastAsiaTheme="majorEastAsia" w:cstheme="majorBidi"/>
          <w:iCs/>
          <w:color w:val="54883D"/>
          <w:lang w:bidi="en-US"/>
        </w:rPr>
      </w:pPr>
      <w:r>
        <w:rPr>
          <w:rFonts w:eastAsiaTheme="majorEastAsia" w:cstheme="majorBidi"/>
          <w:iCs/>
          <w:color w:val="54883D"/>
          <w:lang w:bidi="en-US"/>
        </w:rPr>
        <w:t>6.3.9.1 Karte</w:t>
      </w:r>
      <w:r>
        <w:rPr>
          <w:rFonts w:eastAsiaTheme="majorEastAsia" w:cstheme="majorBidi"/>
          <w:iCs/>
          <w:color w:val="54883D"/>
          <w:lang w:bidi="en-US"/>
        </w:rPr>
        <w:t xml:space="preserve"> prijetnji</w:t>
      </w:r>
    </w:p>
    <w:p w:rsidR="00A07D92" w:rsidRDefault="00495E63">
      <w:pPr>
        <w:rPr>
          <w:iCs/>
          <w:color w:val="54883D"/>
        </w:rPr>
      </w:pPr>
      <w:r>
        <w:rPr>
          <w:iCs/>
          <w:color w:val="54883D"/>
        </w:rPr>
        <w:t>Karta prijetnji - pregledna karta opasnosti od poplava po vjerojatnosti pojavljivanja (Plan upravljanja vodnim područjima 2022.-2027., Hrvatske vode, prosinac, 2019.), Prilog 3.</w:t>
      </w:r>
    </w:p>
    <w:p w:rsidR="00A07D92" w:rsidRDefault="00495E63">
      <w:pPr>
        <w:rPr>
          <w:iCs/>
          <w:color w:val="54883D"/>
        </w:rPr>
      </w:pPr>
      <w:r>
        <w:rPr>
          <w:iCs/>
          <w:color w:val="54883D"/>
        </w:rPr>
        <w:t>Karta prijetnji - pregledna karta rizika od poplava za malu vjeroja</w:t>
      </w:r>
      <w:r>
        <w:rPr>
          <w:iCs/>
          <w:color w:val="54883D"/>
        </w:rPr>
        <w:t>tnosti pojavljivanja (Plan upravljanja vodnim područjima 2022.-2027., Hrvatske vode, prosinac, 2019..), Prilog 4.</w:t>
      </w:r>
    </w:p>
    <w:p w:rsidR="00A07D92" w:rsidRDefault="00495E63">
      <w:pPr>
        <w:spacing w:before="0" w:after="200"/>
        <w:jc w:val="left"/>
        <w:rPr>
          <w:rFonts w:eastAsiaTheme="majorEastAsia" w:cstheme="majorBidi"/>
          <w:iCs/>
          <w:color w:val="54883D"/>
          <w:lang w:bidi="en-US"/>
        </w:rPr>
      </w:pPr>
      <w:r>
        <w:rPr>
          <w:rFonts w:eastAsiaTheme="majorEastAsia" w:cstheme="majorBidi"/>
          <w:iCs/>
          <w:color w:val="54883D"/>
          <w:lang w:bidi="en-US"/>
        </w:rPr>
        <w:t>6.3.9.2 Karta rizika</w:t>
      </w:r>
    </w:p>
    <w:tbl>
      <w:tblPr>
        <w:tblStyle w:val="Reetkatablice"/>
        <w:tblpPr w:leftFromText="180" w:rightFromText="180" w:vertAnchor="text" w:horzAnchor="page" w:tblpX="9360" w:tblpY="1365"/>
        <w:tblW w:w="1980" w:type="dxa"/>
        <w:tblLook w:val="04A0" w:firstRow="1" w:lastRow="0" w:firstColumn="1" w:lastColumn="0" w:noHBand="0" w:noVBand="1"/>
      </w:tblPr>
      <w:tblGrid>
        <w:gridCol w:w="845"/>
        <w:gridCol w:w="1135"/>
      </w:tblGrid>
      <w:tr w:rsidR="00A07D92">
        <w:trPr>
          <w:trHeight w:val="310"/>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RIZIK</w:t>
            </w:r>
          </w:p>
        </w:tc>
      </w:tr>
      <w:tr w:rsidR="00A07D92">
        <w:trPr>
          <w:trHeight w:val="354"/>
        </w:trPr>
        <w:tc>
          <w:tcPr>
            <w:tcW w:w="845"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Vrlo visok</w:t>
            </w:r>
          </w:p>
        </w:tc>
      </w:tr>
      <w:tr w:rsidR="00A07D92">
        <w:trPr>
          <w:trHeight w:val="286"/>
        </w:trPr>
        <w:tc>
          <w:tcPr>
            <w:tcW w:w="845"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Visok </w:t>
            </w:r>
          </w:p>
        </w:tc>
      </w:tr>
      <w:tr w:rsidR="00A07D92">
        <w:trPr>
          <w:trHeight w:val="262"/>
        </w:trPr>
        <w:tc>
          <w:tcPr>
            <w:tcW w:w="845"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 </w:t>
            </w:r>
          </w:p>
        </w:tc>
      </w:tr>
      <w:tr w:rsidR="00A07D92">
        <w:trPr>
          <w:trHeight w:val="280"/>
        </w:trPr>
        <w:tc>
          <w:tcPr>
            <w:tcW w:w="845" w:type="dxa"/>
            <w:shd w:val="clear" w:color="auto" w:fill="92D05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Nizak </w:t>
            </w:r>
          </w:p>
        </w:tc>
      </w:tr>
    </w:tbl>
    <w:p w:rsidR="00A07D92" w:rsidRDefault="00495E63">
      <w:pPr>
        <w:jc w:val="center"/>
        <w:rPr>
          <w:highlight w:val="yellow"/>
          <w:lang w:bidi="en-US"/>
        </w:rPr>
      </w:pPr>
      <w:r>
        <w:rPr>
          <w:noProof/>
          <w:lang w:eastAsia="hr-HR"/>
        </w:rPr>
        <w:drawing>
          <wp:inline distT="0" distB="0" distL="0" distR="0">
            <wp:extent cx="3326130" cy="4100195"/>
            <wp:effectExtent l="0" t="0" r="0" b="0"/>
            <wp:docPr id="92" name="Slik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lika8"/>
                    <pic:cNvPicPr>
                      <a:picLocks noChangeAspect="1" noChangeArrowheads="1"/>
                    </pic:cNvPicPr>
                  </pic:nvPicPr>
                  <pic:blipFill>
                    <a:blip r:embed="rId113"/>
                    <a:stretch>
                      <a:fillRect/>
                    </a:stretch>
                  </pic:blipFill>
                  <pic:spPr bwMode="auto">
                    <a:xfrm>
                      <a:off x="0" y="0"/>
                      <a:ext cx="3326130" cy="4100195"/>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15</w:t>
      </w:r>
      <w:r>
        <w:rPr>
          <w:rFonts w:eastAsia="Calibri"/>
          <w:bCs/>
          <w:sz w:val="20"/>
          <w:szCs w:val="18"/>
        </w:rPr>
        <w:fldChar w:fldCharType="end"/>
      </w:r>
      <w:r>
        <w:rPr>
          <w:rFonts w:eastAsia="Calibri"/>
          <w:bCs/>
          <w:color w:val="54883D"/>
          <w:sz w:val="20"/>
          <w:szCs w:val="18"/>
          <w:lang w:bidi="en-US"/>
        </w:rPr>
        <w:t xml:space="preserve">. Karta rizika – poplave-plimni </w:t>
      </w:r>
      <w:r>
        <w:rPr>
          <w:rFonts w:eastAsia="Calibri"/>
          <w:bCs/>
          <w:color w:val="54883D"/>
          <w:sz w:val="20"/>
          <w:szCs w:val="18"/>
          <w:lang w:bidi="en-US"/>
        </w:rPr>
        <w:t>val</w:t>
      </w:r>
    </w:p>
    <w:p w:rsidR="00A07D92" w:rsidRDefault="00495E63">
      <w:pPr>
        <w:keepNext/>
        <w:keepLines/>
        <w:spacing w:before="40"/>
        <w:ind w:left="864" w:hanging="864"/>
        <w:outlineLvl w:val="3"/>
        <w:rPr>
          <w:rFonts w:eastAsiaTheme="majorEastAsia" w:cstheme="majorBidi"/>
          <w:iCs/>
          <w:color w:val="54883D"/>
          <w:lang w:bidi="en-US"/>
        </w:rPr>
      </w:pPr>
      <w:r>
        <w:rPr>
          <w:rFonts w:eastAsiaTheme="majorEastAsia" w:cstheme="majorBidi"/>
          <w:iCs/>
          <w:color w:val="54883D"/>
          <w:lang w:bidi="en-US"/>
        </w:rPr>
        <w:lastRenderedPageBreak/>
        <w:t>6.4.9.3 Karta posljedica</w:t>
      </w:r>
    </w:p>
    <w:tbl>
      <w:tblPr>
        <w:tblStyle w:val="Reetkatablice"/>
        <w:tblpPr w:leftFromText="180" w:rightFromText="180" w:vertAnchor="text" w:horzAnchor="page" w:tblpX="9320" w:tblpY="1612"/>
        <w:tblW w:w="2123" w:type="dxa"/>
        <w:tblLook w:val="04A0" w:firstRow="1" w:lastRow="0" w:firstColumn="1" w:lastColumn="0" w:noHBand="0" w:noVBand="1"/>
      </w:tblPr>
      <w:tblGrid>
        <w:gridCol w:w="846"/>
        <w:gridCol w:w="1277"/>
      </w:tblGrid>
      <w:tr w:rsidR="00A07D92">
        <w:trPr>
          <w:trHeight w:val="310"/>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POSLJEDICE</w:t>
            </w:r>
          </w:p>
        </w:tc>
      </w:tr>
      <w:tr w:rsidR="00A07D92">
        <w:trPr>
          <w:trHeight w:val="211"/>
        </w:trPr>
        <w:tc>
          <w:tcPr>
            <w:tcW w:w="846"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Katastrofalne </w:t>
            </w:r>
          </w:p>
        </w:tc>
      </w:tr>
      <w:tr w:rsidR="00A07D92">
        <w:trPr>
          <w:trHeight w:val="273"/>
        </w:trPr>
        <w:tc>
          <w:tcPr>
            <w:tcW w:w="846"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Značajne </w:t>
            </w:r>
          </w:p>
        </w:tc>
      </w:tr>
      <w:tr w:rsidR="00A07D92">
        <w:trPr>
          <w:trHeight w:val="278"/>
        </w:trPr>
        <w:tc>
          <w:tcPr>
            <w:tcW w:w="846"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Umjerene </w:t>
            </w:r>
          </w:p>
        </w:tc>
      </w:tr>
      <w:tr w:rsidR="00A07D92">
        <w:trPr>
          <w:trHeight w:val="267"/>
        </w:trPr>
        <w:tc>
          <w:tcPr>
            <w:tcW w:w="846" w:type="dxa"/>
            <w:shd w:val="clear" w:color="auto" w:fill="CCFF99"/>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Malene </w:t>
            </w:r>
          </w:p>
        </w:tc>
      </w:tr>
      <w:tr w:rsidR="00A07D92">
        <w:trPr>
          <w:trHeight w:val="286"/>
        </w:trPr>
        <w:tc>
          <w:tcPr>
            <w:tcW w:w="846" w:type="dxa"/>
            <w:shd w:val="clear" w:color="auto" w:fill="C6D9F1" w:themeFill="text2" w:themeFillTint="33"/>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Neznatne </w:t>
            </w:r>
          </w:p>
        </w:tc>
      </w:tr>
    </w:tbl>
    <w:p w:rsidR="00A07D92" w:rsidRDefault="00495E63">
      <w:pPr>
        <w:jc w:val="center"/>
        <w:rPr>
          <w:i/>
          <w:iCs/>
          <w:color w:val="54883D"/>
        </w:rPr>
      </w:pPr>
      <w:r>
        <w:rPr>
          <w:noProof/>
          <w:lang w:eastAsia="hr-HR"/>
        </w:rPr>
        <w:drawing>
          <wp:inline distT="0" distB="0" distL="0" distR="0">
            <wp:extent cx="3507740" cy="4335780"/>
            <wp:effectExtent l="0" t="0" r="0" b="0"/>
            <wp:docPr id="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4"/>
                    <pic:cNvPicPr>
                      <a:picLocks noChangeAspect="1" noChangeArrowheads="1"/>
                    </pic:cNvPicPr>
                  </pic:nvPicPr>
                  <pic:blipFill>
                    <a:blip r:embed="rId114"/>
                    <a:stretch>
                      <a:fillRect/>
                    </a:stretch>
                  </pic:blipFill>
                  <pic:spPr bwMode="auto">
                    <a:xfrm>
                      <a:off x="0" y="0"/>
                      <a:ext cx="3507740" cy="433578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16</w:t>
      </w:r>
      <w:r>
        <w:rPr>
          <w:rFonts w:eastAsia="Calibri"/>
          <w:bCs/>
          <w:sz w:val="20"/>
          <w:szCs w:val="18"/>
        </w:rPr>
        <w:fldChar w:fldCharType="end"/>
      </w:r>
      <w:r>
        <w:rPr>
          <w:rFonts w:eastAsia="Calibri"/>
          <w:bCs/>
          <w:color w:val="54883D"/>
          <w:sz w:val="20"/>
          <w:szCs w:val="18"/>
          <w:lang w:bidi="en-US"/>
        </w:rPr>
        <w:t>. Karta posljedica – poplave-plimni val</w:t>
      </w: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rPr>
          <w:rFonts w:eastAsia="Calibri"/>
          <w:bCs/>
          <w:color w:val="54883D"/>
          <w:sz w:val="20"/>
          <w:szCs w:val="18"/>
          <w:lang w:bidi="en-US"/>
        </w:rPr>
      </w:pPr>
    </w:p>
    <w:p w:rsidR="00A07D92" w:rsidRDefault="00495E63">
      <w:pPr>
        <w:keepNext/>
        <w:outlineLvl w:val="1"/>
        <w:rPr>
          <w:bCs/>
          <w:color w:val="54883D"/>
          <w:sz w:val="32"/>
        </w:rPr>
      </w:pPr>
      <w:bookmarkStart w:id="220" w:name="_Toc136522841"/>
      <w:bookmarkStart w:id="221" w:name="_Toc34209564"/>
      <w:bookmarkStart w:id="222" w:name="_Toc9596613"/>
      <w:bookmarkStart w:id="223" w:name="_Toc503777221"/>
      <w:bookmarkStart w:id="224" w:name="_Toc498599773"/>
      <w:bookmarkStart w:id="225" w:name="_Toc493508427"/>
      <w:bookmarkStart w:id="226" w:name="_Toc486103573"/>
      <w:r>
        <w:rPr>
          <w:bCs/>
          <w:color w:val="54883D"/>
          <w:sz w:val="32"/>
        </w:rPr>
        <w:lastRenderedPageBreak/>
        <w:t>6.4 Požari otvorenog tipa</w:t>
      </w:r>
      <w:bookmarkEnd w:id="220"/>
      <w:bookmarkEnd w:id="221"/>
      <w:bookmarkEnd w:id="222"/>
      <w:bookmarkEnd w:id="223"/>
      <w:bookmarkEnd w:id="224"/>
      <w:bookmarkEnd w:id="225"/>
      <w:bookmarkEnd w:id="226"/>
    </w:p>
    <w:p w:rsidR="00A07D92" w:rsidRDefault="00495E63">
      <w:pPr>
        <w:keepNext/>
        <w:keepLines/>
        <w:spacing w:before="40"/>
        <w:outlineLvl w:val="2"/>
        <w:rPr>
          <w:rFonts w:cstheme="majorBidi"/>
          <w:color w:val="54883D"/>
          <w:sz w:val="28"/>
          <w:lang w:bidi="en-US"/>
        </w:rPr>
      </w:pPr>
      <w:bookmarkStart w:id="227" w:name="_Toc136522842"/>
      <w:bookmarkStart w:id="228" w:name="_Toc34209565"/>
      <w:bookmarkStart w:id="229" w:name="_Toc9596614"/>
      <w:bookmarkStart w:id="230" w:name="_Toc503777222"/>
      <w:bookmarkStart w:id="231" w:name="_Toc498599774"/>
      <w:r>
        <w:rPr>
          <w:rFonts w:cstheme="majorBidi"/>
          <w:color w:val="54883D"/>
          <w:sz w:val="28"/>
          <w:lang w:bidi="en-US"/>
        </w:rPr>
        <w:t>6.4.1 Naziv scenarija</w:t>
      </w:r>
      <w:bookmarkEnd w:id="227"/>
      <w:bookmarkEnd w:id="228"/>
      <w:bookmarkEnd w:id="229"/>
      <w:bookmarkEnd w:id="230"/>
      <w:bookmarkEnd w:id="231"/>
    </w:p>
    <w:tbl>
      <w:tblPr>
        <w:tblStyle w:val="ivopisnatablicareetke6-isticanje33"/>
        <w:tblW w:w="9060" w:type="dxa"/>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szCs w:val="20"/>
              </w:rPr>
            </w:pPr>
            <w:r>
              <w:rPr>
                <w:color w:val="76923C" w:themeColor="accent3" w:themeShade="BF"/>
                <w:szCs w:val="20"/>
              </w:rPr>
              <w:t>Naziv scenarija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b w:val="0"/>
                <w:szCs w:val="20"/>
              </w:rPr>
            </w:pPr>
            <w:r>
              <w:rPr>
                <w:b w:val="0"/>
                <w:color w:val="76923C" w:themeColor="accent3" w:themeShade="BF"/>
                <w:szCs w:val="20"/>
              </w:rPr>
              <w:t>Požari raslinja na otvorenom prostoru</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szCs w:val="20"/>
              </w:rPr>
            </w:pPr>
            <w:r>
              <w:rPr>
                <w:color w:val="76923C" w:themeColor="accent3" w:themeShade="BF"/>
                <w:szCs w:val="20"/>
              </w:rPr>
              <w:t>Grupa rizika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b w:val="0"/>
                <w:szCs w:val="20"/>
              </w:rPr>
            </w:pPr>
            <w:r>
              <w:rPr>
                <w:b w:val="0"/>
                <w:color w:val="76923C" w:themeColor="accent3" w:themeShade="BF"/>
                <w:szCs w:val="20"/>
              </w:rPr>
              <w:t>Požari otvorenog tipa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szCs w:val="20"/>
              </w:rPr>
            </w:pPr>
            <w:r>
              <w:rPr>
                <w:color w:val="76923C" w:themeColor="accent3" w:themeShade="BF"/>
                <w:szCs w:val="20"/>
              </w:rPr>
              <w:t>Rizik</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b w:val="0"/>
                <w:szCs w:val="20"/>
              </w:rPr>
            </w:pPr>
            <w:r>
              <w:rPr>
                <w:b w:val="0"/>
                <w:color w:val="76923C" w:themeColor="accent3" w:themeShade="BF"/>
                <w:szCs w:val="20"/>
              </w:rPr>
              <w:t>Požari otvorenog tipa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szCs w:val="20"/>
              </w:rPr>
            </w:pPr>
            <w:r>
              <w:rPr>
                <w:color w:val="76923C" w:themeColor="accent3" w:themeShade="BF"/>
                <w:szCs w:val="20"/>
              </w:rPr>
              <w:t>Radna skupina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i/>
                <w:color w:val="FF0000"/>
                <w:szCs w:val="20"/>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w:t>
            </w:r>
            <w:r>
              <w:rPr>
                <w:b w:val="0"/>
                <w:color w:val="76923C" w:themeColor="accent3" w:themeShade="BF"/>
              </w:rPr>
              <w:t>Grada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color w:val="auto"/>
                <w:szCs w:val="2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i/>
                <w:color w:val="auto"/>
                <w:szCs w:val="2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495E63">
      <w:pPr>
        <w:keepNext/>
        <w:keepLines/>
        <w:spacing w:before="40"/>
        <w:outlineLvl w:val="2"/>
        <w:rPr>
          <w:rFonts w:cstheme="majorBidi"/>
          <w:color w:val="54883D"/>
          <w:sz w:val="28"/>
          <w:lang w:bidi="en-US"/>
        </w:rPr>
      </w:pPr>
      <w:bookmarkStart w:id="232" w:name="_Toc136522843"/>
      <w:bookmarkStart w:id="233" w:name="_Toc34209566"/>
      <w:bookmarkStart w:id="234" w:name="_Toc9596615"/>
      <w:bookmarkStart w:id="235" w:name="_Toc503777223"/>
      <w:bookmarkStart w:id="236" w:name="_Toc498599775"/>
      <w:r>
        <w:rPr>
          <w:rFonts w:cstheme="majorBidi"/>
          <w:color w:val="54883D"/>
          <w:sz w:val="28"/>
          <w:lang w:bidi="en-US"/>
        </w:rPr>
        <w:t>6.4.2 Uvod</w:t>
      </w:r>
      <w:bookmarkEnd w:id="232"/>
      <w:bookmarkEnd w:id="233"/>
      <w:bookmarkEnd w:id="234"/>
      <w:bookmarkEnd w:id="235"/>
      <w:bookmarkEnd w:id="236"/>
    </w:p>
    <w:p w:rsidR="00A07D92" w:rsidRDefault="00495E63">
      <w:pPr>
        <w:spacing w:before="0" w:after="0"/>
        <w:rPr>
          <w:color w:val="auto"/>
          <w:szCs w:val="22"/>
          <w:lang w:eastAsia="hr-HR"/>
        </w:rPr>
      </w:pPr>
      <w:r>
        <w:rPr>
          <w:color w:val="auto"/>
          <w:szCs w:val="22"/>
          <w:lang w:eastAsia="hr-HR"/>
        </w:rPr>
        <w:t>Požar otvorenog prostora, pri čemu se prije svega misli na požare raslinja i šuma,</w:t>
      </w:r>
      <w:r>
        <w:rPr>
          <w:color w:val="auto"/>
          <w:szCs w:val="22"/>
          <w:lang w:eastAsia="hr-HR"/>
        </w:rPr>
        <w:t xml:space="preserve"> složena su pojava u kojoj se isprepliću različita termodinamička i aerodinamična događanja. Na njih značajno utječe konfiguracija terena kojim se požar kreće, karakteristike vegetacije koja gori te lokalni meteorološki uvjeti na mjestu požarišta.</w:t>
      </w:r>
    </w:p>
    <w:p w:rsidR="00A07D92" w:rsidRDefault="00495E63">
      <w:pPr>
        <w:spacing w:before="0" w:after="0"/>
        <w:rPr>
          <w:color w:val="auto"/>
          <w:szCs w:val="22"/>
          <w:lang w:eastAsia="hr-HR"/>
        </w:rPr>
      </w:pPr>
      <w:r>
        <w:rPr>
          <w:color w:val="auto"/>
          <w:szCs w:val="22"/>
          <w:lang w:eastAsia="hr-HR"/>
        </w:rPr>
        <w:t>Opasnost</w:t>
      </w:r>
      <w:r>
        <w:rPr>
          <w:color w:val="auto"/>
          <w:szCs w:val="22"/>
          <w:lang w:eastAsia="hr-HR"/>
        </w:rPr>
        <w:t xml:space="preserve"> od požara pridonosi karakterističan loš raspored godišnjih oborina i učestale pojave ljetnih suša. Od požara mogu biti ugrožene šumske površine, nacionalni parkovi, parkovi prirode i poljoprivredne površine. Također značajnije mogu biti ugroženi turističk</w:t>
      </w:r>
      <w:r>
        <w:rPr>
          <w:color w:val="auto"/>
          <w:szCs w:val="22"/>
          <w:lang w:eastAsia="hr-HR"/>
        </w:rPr>
        <w:t>i objekti (autokampovi, park šume, izletišta i sl.)</w:t>
      </w:r>
    </w:p>
    <w:p w:rsidR="00A07D92" w:rsidRDefault="00495E63">
      <w:pPr>
        <w:spacing w:before="0" w:after="0"/>
        <w:rPr>
          <w:color w:val="auto"/>
          <w:szCs w:val="22"/>
          <w:lang w:eastAsia="hr-HR"/>
        </w:rPr>
      </w:pPr>
      <w:r>
        <w:rPr>
          <w:color w:val="auto"/>
          <w:szCs w:val="22"/>
          <w:lang w:eastAsia="hr-HR"/>
        </w:rPr>
        <w:t>Na području Malog Lošinja naglašena je ugroženost od požara raslinja u ljetnim mjesecima i u sušnim vremenskim periodima. Požari raslinja stvaraju znatne izravne i neizravne štete, a njihovo gašenje ponek</w:t>
      </w:r>
      <w:r>
        <w:rPr>
          <w:color w:val="auto"/>
          <w:szCs w:val="22"/>
          <w:lang w:eastAsia="hr-HR"/>
        </w:rPr>
        <w:t>ad iziskuje potrebu za većim brojem materijalnog, tehničkog potencijala sustava civilne zaštite.</w:t>
      </w:r>
    </w:p>
    <w:p w:rsidR="00A07D92" w:rsidRDefault="00A07D92">
      <w:pPr>
        <w:spacing w:before="0" w:after="0"/>
        <w:rPr>
          <w:color w:val="auto"/>
          <w:szCs w:val="22"/>
          <w:lang w:eastAsia="hr-HR"/>
        </w:rPr>
      </w:pPr>
    </w:p>
    <w:p w:rsidR="00A07D92" w:rsidRDefault="00495E63">
      <w:pPr>
        <w:keepNext/>
        <w:keepLines/>
        <w:spacing w:before="40"/>
        <w:outlineLvl w:val="2"/>
        <w:rPr>
          <w:rFonts w:cstheme="majorBidi"/>
          <w:color w:val="54883D"/>
          <w:sz w:val="28"/>
          <w:lang w:bidi="en-US"/>
        </w:rPr>
      </w:pPr>
      <w:bookmarkStart w:id="237" w:name="_Toc136522844"/>
      <w:bookmarkStart w:id="238" w:name="_Toc34209567"/>
      <w:bookmarkStart w:id="239" w:name="_Toc9596616"/>
      <w:bookmarkStart w:id="240" w:name="_Toc503777224"/>
      <w:bookmarkStart w:id="241" w:name="_Toc498599776"/>
      <w:r>
        <w:rPr>
          <w:rFonts w:cstheme="majorBidi"/>
          <w:color w:val="54883D"/>
          <w:sz w:val="28"/>
          <w:lang w:bidi="en-US"/>
        </w:rPr>
        <w:t>6.4.3 Prikaz utjecaja na kritičnu infrastrukturu</w:t>
      </w:r>
      <w:bookmarkEnd w:id="237"/>
      <w:bookmarkEnd w:id="238"/>
      <w:bookmarkEnd w:id="239"/>
      <w:bookmarkEnd w:id="240"/>
      <w:bookmarkEnd w:id="241"/>
    </w:p>
    <w:tbl>
      <w:tblPr>
        <w:tblStyle w:val="ivopisnatablicareetke6-isticanje33"/>
        <w:tblW w:w="9423" w:type="dxa"/>
        <w:tblLook w:val="04A0" w:firstRow="1" w:lastRow="0" w:firstColumn="1" w:lastColumn="0" w:noHBand="0" w:noVBand="1"/>
      </w:tblPr>
      <w:tblGrid>
        <w:gridCol w:w="1128"/>
        <w:gridCol w:w="8295"/>
      </w:tblGrid>
      <w:tr w:rsidR="00A07D92" w:rsidTr="00A07D92">
        <w:trPr>
          <w:cnfStyle w:val="100000000000" w:firstRow="1" w:lastRow="0" w:firstColumn="0" w:lastColumn="0" w:oddVBand="0" w:evenVBand="0" w:oddHBand="0" w:evenHBand="0" w:firstRowFirstColumn="0" w:firstRowLastColumn="0" w:lastRowFirstColumn="0" w:lastRowLastColumn="0"/>
          <w:trHeight w:val="517"/>
          <w:tblHeader/>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szCs w:val="20"/>
              </w:rPr>
            </w:pPr>
            <w:r>
              <w:rPr>
                <w:color w:val="76923C" w:themeColor="accent3" w:themeShade="BF"/>
                <w:sz w:val="20"/>
                <w:szCs w:val="20"/>
              </w:rPr>
              <w:t>UTJECAJ</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SEKTOR</w:t>
            </w:r>
          </w:p>
        </w:tc>
      </w:tr>
      <w:tr w:rsidR="00A07D92" w:rsidTr="00A07D92">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auto"/>
                <w:sz w:val="20"/>
                <w:szCs w:val="20"/>
              </w:rPr>
            </w:pPr>
            <w:r>
              <w:rPr>
                <w:color w:val="76923C" w:themeColor="accent3" w:themeShade="BF"/>
                <w:sz w:val="20"/>
                <w:szCs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 xml:space="preserve">Energetika (proizvodnja, uključivo akumulacije i brane, prijenos, skladištenje, transport </w:t>
            </w:r>
            <w:r>
              <w:rPr>
                <w:color w:val="76923C" w:themeColor="accent3" w:themeShade="BF"/>
                <w:sz w:val="20"/>
                <w:szCs w:val="20"/>
              </w:rPr>
              <w:t>energenata i energije, sustavi za distribuciju)</w:t>
            </w:r>
          </w:p>
        </w:tc>
      </w:tr>
      <w:tr w:rsidR="00A07D92" w:rsidTr="00A07D92">
        <w:trPr>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auto"/>
                <w:sz w:val="20"/>
                <w:szCs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Komunikacijska i informacijska tehnologija (elektroničke komunikacije, prijenos podataka, informacijski sustavi, pružanje audio i audiovizualnih medijskih usluga)</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auto"/>
                <w:sz w:val="20"/>
                <w:szCs w:val="20"/>
              </w:rPr>
            </w:pPr>
            <w:r>
              <w:rPr>
                <w:color w:val="76923C" w:themeColor="accent3" w:themeShade="BF"/>
                <w:sz w:val="20"/>
                <w:szCs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 željeznički, zračni, p</w:t>
            </w:r>
            <w:r>
              <w:rPr>
                <w:color w:val="76923C" w:themeColor="accent3" w:themeShade="BF"/>
                <w:sz w:val="20"/>
                <w:szCs w:val="20"/>
              </w:rPr>
              <w:t xml:space="preserve">omorski i promet unutarnjim plovnim </w:t>
            </w:r>
            <w:proofErr w:type="spellStart"/>
            <w:r>
              <w:rPr>
                <w:color w:val="76923C" w:themeColor="accent3" w:themeShade="BF"/>
                <w:sz w:val="20"/>
                <w:szCs w:val="20"/>
              </w:rPr>
              <w:t>putevima</w:t>
            </w:r>
            <w:proofErr w:type="spellEnd"/>
            <w:r>
              <w:rPr>
                <w:color w:val="76923C" w:themeColor="accent3" w:themeShade="BF"/>
                <w:sz w:val="20"/>
                <w:szCs w:val="20"/>
              </w:rPr>
              <w:t>)</w:t>
            </w:r>
          </w:p>
        </w:tc>
      </w:tr>
      <w:tr w:rsidR="00A07D92" w:rsidTr="00A07D92">
        <w:trPr>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auto"/>
                <w:sz w:val="20"/>
                <w:szCs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 proizvodnja, promet i nadzor nad lijekovima)</w:t>
            </w:r>
          </w:p>
        </w:tc>
      </w:tr>
      <w:tr w:rsidR="00A07D92" w:rsidTr="00A07D92">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auto"/>
                <w:sz w:val="20"/>
                <w:szCs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auto"/>
                <w:sz w:val="20"/>
                <w:szCs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i sustav sigurnosti hrane, robne zalihe) </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auto"/>
                <w:sz w:val="20"/>
                <w:szCs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burze, investicije, sustavi osiguranja i plaćanja)</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color w:val="auto"/>
                <w:sz w:val="20"/>
                <w:szCs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Proizvodnja, skladištenje i prijevoz opasnih tvari (kemijski, biološki, radiološki i nuklearni </w:t>
            </w:r>
            <w:r>
              <w:rPr>
                <w:color w:val="76923C" w:themeColor="accent3" w:themeShade="BF"/>
                <w:sz w:val="20"/>
                <w:szCs w:val="20"/>
              </w:rPr>
              <w:lastRenderedPageBreak/>
              <w:t>materijali)</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auto"/>
                <w:sz w:val="20"/>
                <w:szCs w:val="20"/>
              </w:rPr>
            </w:pPr>
            <w:r>
              <w:rPr>
                <w:color w:val="76923C" w:themeColor="accent3" w:themeShade="BF"/>
                <w:sz w:val="20"/>
                <w:szCs w:val="20"/>
              </w:rPr>
              <w:lastRenderedPageBreak/>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(osiguranje javnog reda i mira, civilna zaštita, hitna medicinska pomoć)</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color w:val="auto"/>
                <w:sz w:val="20"/>
                <w:szCs w:val="20"/>
              </w:rPr>
            </w:pPr>
            <w:r>
              <w:rPr>
                <w:color w:val="76923C" w:themeColor="accent3" w:themeShade="BF"/>
                <w:sz w:val="20"/>
                <w:szCs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rsidR="00A07D92" w:rsidRDefault="00A07D92">
      <w:pPr>
        <w:rPr>
          <w:color w:val="auto"/>
          <w:highlight w:val="yellow"/>
          <w:lang w:bidi="en-US"/>
        </w:rPr>
      </w:pPr>
    </w:p>
    <w:p w:rsidR="00A07D92" w:rsidRDefault="00495E63">
      <w:pPr>
        <w:keepNext/>
        <w:keepLines/>
        <w:spacing w:before="40"/>
        <w:outlineLvl w:val="2"/>
        <w:rPr>
          <w:rFonts w:cstheme="majorBidi"/>
          <w:color w:val="54883D"/>
          <w:sz w:val="28"/>
          <w:lang w:bidi="en-US"/>
        </w:rPr>
      </w:pPr>
      <w:bookmarkStart w:id="242" w:name="_Toc136522845"/>
      <w:bookmarkStart w:id="243" w:name="_Toc34209568"/>
      <w:bookmarkStart w:id="244" w:name="_Toc9596617"/>
      <w:bookmarkStart w:id="245" w:name="_Toc503777225"/>
      <w:bookmarkStart w:id="246" w:name="_Toc498599777"/>
      <w:r>
        <w:rPr>
          <w:rFonts w:cstheme="majorBidi"/>
          <w:color w:val="54883D"/>
          <w:sz w:val="28"/>
          <w:lang w:bidi="en-US"/>
        </w:rPr>
        <w:t>6.4.4 Kontekst</w:t>
      </w:r>
      <w:bookmarkEnd w:id="242"/>
      <w:bookmarkEnd w:id="243"/>
      <w:bookmarkEnd w:id="244"/>
      <w:bookmarkEnd w:id="245"/>
      <w:bookmarkEnd w:id="246"/>
    </w:p>
    <w:p w:rsidR="00A07D92" w:rsidRDefault="00495E63">
      <w:pPr>
        <w:rPr>
          <w:color w:val="auto"/>
          <w:lang w:bidi="en-US"/>
        </w:rPr>
      </w:pPr>
      <w:r>
        <w:rPr>
          <w:color w:val="auto"/>
          <w:lang w:bidi="en-US"/>
        </w:rPr>
        <w:t>Požari raslinja i šuma nastaju kao uzročno posljedična veza klimatskih čimbenika, stanja gorivog materijala (vlažnost, vrste biljnog pokrova i količina drvne i druge biomase) i ljudske aktivnosti. Požari živog i mrtvog goriva na otvorenom prostoru na površ</w:t>
      </w:r>
      <w:r>
        <w:rPr>
          <w:color w:val="auto"/>
          <w:lang w:bidi="en-US"/>
        </w:rPr>
        <w:t>inama šumskog, poljoprivrednog i ostalog neobrađenog i zapuštenog zemljišta, generiraju velike poremećaje cijelog ekosustava i narušavaju općekorisne funkcije šuma. To rezultira teško nadoknadivim gospodarskim štetama, velikim troškovima obnove te drugim p</w:t>
      </w:r>
      <w:r>
        <w:rPr>
          <w:color w:val="auto"/>
          <w:lang w:bidi="en-US"/>
        </w:rPr>
        <w:t xml:space="preserve">osrednim i neposrednim gubicima. Takvi požari su </w:t>
      </w:r>
      <w:proofErr w:type="spellStart"/>
      <w:r>
        <w:rPr>
          <w:color w:val="auto"/>
          <w:lang w:bidi="en-US"/>
        </w:rPr>
        <w:t>destabilizator</w:t>
      </w:r>
      <w:proofErr w:type="spellEnd"/>
      <w:r>
        <w:rPr>
          <w:color w:val="auto"/>
          <w:lang w:bidi="en-US"/>
        </w:rPr>
        <w:t xml:space="preserve"> biološke i krajobrazne raznolikosti i kontaminiraju zrak na užem prostoru, ali i uzrokuju dugoročne štete emisijom ugljičnog dioksida.   </w:t>
      </w:r>
    </w:p>
    <w:p w:rsidR="00A07D92" w:rsidRDefault="00A07D92">
      <w:pPr>
        <w:spacing w:before="0" w:after="0"/>
        <w:rPr>
          <w:color w:val="auto"/>
          <w:lang w:bidi="en-US"/>
        </w:rPr>
      </w:pPr>
    </w:p>
    <w:p w:rsidR="00A07D92" w:rsidRDefault="00495E63">
      <w:pPr>
        <w:rPr>
          <w:color w:val="auto"/>
          <w:u w:val="single"/>
          <w:lang w:bidi="en-US"/>
        </w:rPr>
      </w:pPr>
      <w:r>
        <w:rPr>
          <w:color w:val="auto"/>
          <w:u w:val="single"/>
          <w:lang w:bidi="en-US"/>
        </w:rPr>
        <w:t>Poljoprivredne i šumske površine</w:t>
      </w:r>
    </w:p>
    <w:p w:rsidR="00A07D92" w:rsidRDefault="00495E63">
      <w:pPr>
        <w:rPr>
          <w:color w:val="auto"/>
          <w:lang w:bidi="en-US"/>
        </w:rPr>
      </w:pPr>
      <w:r>
        <w:rPr>
          <w:color w:val="auto"/>
          <w:lang w:bidi="en-US"/>
        </w:rPr>
        <w:t xml:space="preserve">Požar otvorenog </w:t>
      </w:r>
      <w:r>
        <w:rPr>
          <w:color w:val="auto"/>
          <w:lang w:bidi="en-US"/>
        </w:rPr>
        <w:t>prostora, pri čemu se prije svega misli na požare raslinja i šuma, složena su pojava u kojoj se isprepliću različita termodinamička i aerodinamična događanja. Na njih značajno utječe konfiguracija terena kojim se požar kreće, karakteristike vegetacije koja</w:t>
      </w:r>
      <w:r>
        <w:rPr>
          <w:color w:val="auto"/>
          <w:lang w:bidi="en-US"/>
        </w:rPr>
        <w:t xml:space="preserve"> gori te lokalni meteorološki uvjeti na mjestu požarišta.</w:t>
      </w:r>
    </w:p>
    <w:p w:rsidR="00A07D92" w:rsidRDefault="00495E63">
      <w:pPr>
        <w:rPr>
          <w:color w:val="auto"/>
          <w:lang w:bidi="en-US"/>
        </w:rPr>
      </w:pPr>
      <w:r>
        <w:rPr>
          <w:color w:val="auto"/>
          <w:lang w:bidi="en-US"/>
        </w:rPr>
        <w:t>Opasnost od požara pridonosi karakterističan loš raspored godišnjih oborina i učestale pojave ljetnih suša. Od požara mogu biti ugrožene šumske površine, nacionalni parkovi, parkovi prirode i poljop</w:t>
      </w:r>
      <w:r>
        <w:rPr>
          <w:color w:val="auto"/>
          <w:lang w:bidi="en-US"/>
        </w:rPr>
        <w:t>rivredne površine.</w:t>
      </w:r>
    </w:p>
    <w:p w:rsidR="00A07D92" w:rsidRDefault="00495E63">
      <w:pPr>
        <w:rPr>
          <w:b/>
          <w:color w:val="auto"/>
          <w:u w:val="single"/>
          <w:lang w:bidi="en-US"/>
        </w:rPr>
      </w:pPr>
      <w:r>
        <w:rPr>
          <w:b/>
          <w:color w:val="auto"/>
          <w:u w:val="single"/>
          <w:lang w:bidi="en-US"/>
        </w:rPr>
        <w:t>Poljoprivredne i šumske površine</w:t>
      </w:r>
    </w:p>
    <w:p w:rsidR="00A07D92" w:rsidRDefault="00495E63">
      <w:proofErr w:type="spellStart"/>
      <w:r>
        <w:rPr>
          <w:rFonts w:eastAsia="Calibri"/>
        </w:rPr>
        <w:t>Cijelokupni</w:t>
      </w:r>
      <w:proofErr w:type="spellEnd"/>
      <w:r>
        <w:rPr>
          <w:rFonts w:eastAsia="Calibri"/>
        </w:rPr>
        <w:t xml:space="preserve"> </w:t>
      </w:r>
      <w:r>
        <w:t xml:space="preserve">teritorij Grad Mali Lošinj podijeljen je obzirom na korištenje ili namjenu na tri grupe i to: </w:t>
      </w:r>
    </w:p>
    <w:p w:rsidR="00A07D92" w:rsidRDefault="00495E63">
      <w:r>
        <w:t xml:space="preserve">- otvoren prostor (poljoprivredno zemljište, šume, druga područja) </w:t>
      </w:r>
    </w:p>
    <w:p w:rsidR="00A07D92" w:rsidRDefault="00495E63">
      <w:r>
        <w:t>- urbanizirana građevinska po</w:t>
      </w:r>
      <w:r>
        <w:t xml:space="preserve">dručja: </w:t>
      </w:r>
    </w:p>
    <w:p w:rsidR="00A07D92" w:rsidRDefault="00495E63">
      <w:r>
        <w:t>- površine u funkciji mreže prometnica i infrastrukture</w:t>
      </w:r>
    </w:p>
    <w:p w:rsidR="00A07D92" w:rsidRDefault="00A07D92"/>
    <w:p w:rsidR="00A07D92" w:rsidRDefault="00495E63">
      <w:r>
        <w:t xml:space="preserve">Šumsko područje prekriva </w:t>
      </w:r>
      <w:proofErr w:type="spellStart"/>
      <w:r>
        <w:t>cca</w:t>
      </w:r>
      <w:proofErr w:type="spellEnd"/>
      <w:r>
        <w:t xml:space="preserve"> 60 % površine otoka (ostatak od 30% čini poljoprivredno zemljište i </w:t>
      </w:r>
      <w:proofErr w:type="spellStart"/>
      <w:r>
        <w:t>cca</w:t>
      </w:r>
      <w:proofErr w:type="spellEnd"/>
      <w:r>
        <w:t xml:space="preserve"> 10% površine na stambena naselja i ostale površine na kojima su podignuti objekti razne n</w:t>
      </w:r>
      <w:r>
        <w:t xml:space="preserve">amjene). </w:t>
      </w:r>
    </w:p>
    <w:p w:rsidR="00A07D92" w:rsidRDefault="00495E63">
      <w:r>
        <w:t xml:space="preserve">Područje Grada prekriveno je listopadnim </w:t>
      </w:r>
      <w:proofErr w:type="spellStart"/>
      <w:r>
        <w:t>submediteranskim</w:t>
      </w:r>
      <w:proofErr w:type="spellEnd"/>
      <w:r>
        <w:t xml:space="preserve"> i mediteranskim šumama (značajne su površine šume obrasle crnikom te grabom i hrastom) i kulturama i sastojinama četinjača. Sa stanovišta razmatranja zaštite od požara od posebnog interesa</w:t>
      </w:r>
      <w:r>
        <w:t xml:space="preserve"> su sastojine i kulture četinjača (poglavito crnog bora), područja obrasla crnikom te površine pod šikarom i makijom.</w:t>
      </w:r>
    </w:p>
    <w:p w:rsidR="00A07D92" w:rsidRDefault="00A07D92">
      <w:pPr>
        <w:rPr>
          <w:rFonts w:eastAsia="Calibri"/>
        </w:rPr>
      </w:pPr>
    </w:p>
    <w:p w:rsidR="00A07D92" w:rsidRDefault="00495E63">
      <w:pPr>
        <w:spacing w:before="0"/>
        <w:jc w:val="center"/>
        <w:rPr>
          <w:rFonts w:eastAsia="Calibri"/>
          <w:bCs/>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44</w:t>
      </w:r>
      <w:r>
        <w:rPr>
          <w:rFonts w:eastAsia="Calibri"/>
          <w:bCs/>
          <w:sz w:val="20"/>
          <w:szCs w:val="20"/>
        </w:rPr>
        <w:fldChar w:fldCharType="end"/>
      </w:r>
      <w:r>
        <w:rPr>
          <w:rFonts w:eastAsia="Calibri"/>
          <w:bCs/>
          <w:color w:val="54883D"/>
          <w:sz w:val="20"/>
          <w:szCs w:val="20"/>
        </w:rPr>
        <w:t>. Državne šume na području Grada Malog Lošinja</w:t>
      </w:r>
    </w:p>
    <w:tbl>
      <w:tblPr>
        <w:tblW w:w="4815" w:type="dxa"/>
        <w:jc w:val="center"/>
        <w:tblCellMar>
          <w:left w:w="5" w:type="dxa"/>
          <w:right w:w="5" w:type="dxa"/>
        </w:tblCellMar>
        <w:tblLook w:val="0000" w:firstRow="0" w:lastRow="0" w:firstColumn="0" w:lastColumn="0" w:noHBand="0" w:noVBand="0"/>
      </w:tblPr>
      <w:tblGrid>
        <w:gridCol w:w="2689"/>
        <w:gridCol w:w="2126"/>
      </w:tblGrid>
      <w:tr w:rsidR="00A07D92">
        <w:trPr>
          <w:tblHeade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jc w:val="center"/>
              <w:rPr>
                <w:b/>
                <w:bCs/>
                <w:color w:val="000000"/>
                <w:sz w:val="20"/>
                <w:szCs w:val="20"/>
              </w:rPr>
            </w:pPr>
            <w:r>
              <w:rPr>
                <w:b/>
                <w:bCs/>
                <w:color w:val="000000"/>
                <w:sz w:val="20"/>
                <w:szCs w:val="20"/>
              </w:rPr>
              <w:t>GOSPODARSKA JEDINICA</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b/>
                <w:color w:val="000000"/>
                <w:sz w:val="20"/>
                <w:szCs w:val="20"/>
              </w:rPr>
            </w:pPr>
            <w:r>
              <w:rPr>
                <w:b/>
                <w:color w:val="000000"/>
                <w:sz w:val="20"/>
                <w:szCs w:val="20"/>
              </w:rPr>
              <w:t>POVRŠINA (ha)</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left="137" w:right="142"/>
              <w:jc w:val="center"/>
              <w:rPr>
                <w:color w:val="000000"/>
                <w:sz w:val="20"/>
                <w:szCs w:val="20"/>
              </w:rPr>
            </w:pPr>
            <w:r>
              <w:rPr>
                <w:color w:val="000000"/>
                <w:sz w:val="20"/>
                <w:szCs w:val="20"/>
              </w:rPr>
              <w:t>PUNTA KRIŽA</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1423</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left="137" w:right="142"/>
              <w:jc w:val="left"/>
              <w:rPr>
                <w:color w:val="000000"/>
                <w:sz w:val="20"/>
                <w:szCs w:val="20"/>
              </w:rPr>
            </w:pPr>
            <w:r>
              <w:rPr>
                <w:color w:val="000000"/>
                <w:sz w:val="20"/>
                <w:szCs w:val="20"/>
              </w:rPr>
              <w:t>Neobraslo</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42</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left="137" w:right="142"/>
              <w:jc w:val="left"/>
              <w:rPr>
                <w:color w:val="000000"/>
                <w:sz w:val="20"/>
                <w:szCs w:val="20"/>
              </w:rPr>
            </w:pPr>
            <w:r>
              <w:rPr>
                <w:color w:val="000000"/>
                <w:sz w:val="20"/>
                <w:szCs w:val="20"/>
              </w:rPr>
              <w:t>Obraslo</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1381</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left="137" w:right="142"/>
              <w:jc w:val="left"/>
              <w:rPr>
                <w:color w:val="000000"/>
                <w:sz w:val="20"/>
                <w:szCs w:val="20"/>
              </w:rPr>
            </w:pPr>
            <w:r>
              <w:rPr>
                <w:color w:val="000000"/>
                <w:sz w:val="20"/>
                <w:szCs w:val="20"/>
              </w:rPr>
              <w:t>Kultura četinjača</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80</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jc w:val="left"/>
              <w:rPr>
                <w:color w:val="000000"/>
                <w:sz w:val="20"/>
                <w:szCs w:val="20"/>
              </w:rPr>
            </w:pPr>
            <w:r>
              <w:rPr>
                <w:color w:val="000000"/>
                <w:sz w:val="20"/>
                <w:szCs w:val="20"/>
              </w:rPr>
              <w:t>Parnjača crnike</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905</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jc w:val="left"/>
              <w:rPr>
                <w:color w:val="000000"/>
                <w:sz w:val="20"/>
                <w:szCs w:val="20"/>
              </w:rPr>
            </w:pPr>
            <w:r>
              <w:rPr>
                <w:color w:val="000000"/>
                <w:sz w:val="20"/>
                <w:szCs w:val="20"/>
              </w:rPr>
              <w:t>Makija</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194</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jc w:val="left"/>
              <w:rPr>
                <w:color w:val="000000"/>
                <w:sz w:val="20"/>
                <w:szCs w:val="20"/>
              </w:rPr>
            </w:pPr>
            <w:proofErr w:type="spellStart"/>
            <w:r>
              <w:rPr>
                <w:color w:val="000000"/>
                <w:sz w:val="20"/>
                <w:szCs w:val="20"/>
              </w:rPr>
              <w:t>Garig</w:t>
            </w:r>
            <w:proofErr w:type="spellEnd"/>
            <w:r>
              <w:rPr>
                <w:color w:val="000000"/>
                <w:sz w:val="20"/>
                <w:szCs w:val="20"/>
              </w:rPr>
              <w:t xml:space="preserve"> </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202</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jc w:val="center"/>
              <w:rPr>
                <w:color w:val="000000"/>
                <w:sz w:val="20"/>
                <w:szCs w:val="20"/>
              </w:rPr>
            </w:pPr>
            <w:r>
              <w:rPr>
                <w:color w:val="000000"/>
                <w:sz w:val="20"/>
                <w:szCs w:val="20"/>
              </w:rPr>
              <w:t>LOŠINJ</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2030</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rPr>
                <w:color w:val="000000"/>
                <w:sz w:val="20"/>
                <w:szCs w:val="20"/>
              </w:rPr>
            </w:pPr>
            <w:r>
              <w:rPr>
                <w:color w:val="000000"/>
                <w:sz w:val="20"/>
                <w:szCs w:val="20"/>
              </w:rPr>
              <w:t xml:space="preserve">Neobraslo </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15</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rPr>
                <w:color w:val="000000"/>
                <w:sz w:val="20"/>
                <w:szCs w:val="20"/>
              </w:rPr>
            </w:pPr>
            <w:r>
              <w:rPr>
                <w:color w:val="000000"/>
                <w:sz w:val="20"/>
                <w:szCs w:val="20"/>
              </w:rPr>
              <w:t xml:space="preserve">Obraslo </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2015</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rPr>
                <w:color w:val="000000"/>
                <w:sz w:val="20"/>
                <w:szCs w:val="20"/>
              </w:rPr>
            </w:pPr>
            <w:r>
              <w:rPr>
                <w:color w:val="000000"/>
                <w:sz w:val="20"/>
                <w:szCs w:val="20"/>
              </w:rPr>
              <w:t>Kultura četinjača</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341</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rPr>
                <w:color w:val="000000"/>
                <w:sz w:val="20"/>
                <w:szCs w:val="20"/>
              </w:rPr>
            </w:pPr>
            <w:r>
              <w:rPr>
                <w:color w:val="000000"/>
                <w:sz w:val="20"/>
                <w:szCs w:val="20"/>
              </w:rPr>
              <w:t>Parnjača crnike</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321</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rPr>
                <w:color w:val="000000"/>
                <w:sz w:val="20"/>
                <w:szCs w:val="20"/>
              </w:rPr>
            </w:pPr>
            <w:r>
              <w:rPr>
                <w:color w:val="000000"/>
                <w:sz w:val="20"/>
                <w:szCs w:val="20"/>
              </w:rPr>
              <w:t>Makija</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736</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rPr>
                <w:color w:val="000000"/>
                <w:sz w:val="20"/>
                <w:szCs w:val="20"/>
              </w:rPr>
            </w:pPr>
            <w:proofErr w:type="spellStart"/>
            <w:r>
              <w:rPr>
                <w:color w:val="000000"/>
                <w:sz w:val="20"/>
                <w:szCs w:val="20"/>
              </w:rPr>
              <w:t>Garig</w:t>
            </w:r>
            <w:proofErr w:type="spellEnd"/>
            <w:r>
              <w:rPr>
                <w:color w:val="000000"/>
                <w:sz w:val="20"/>
                <w:szCs w:val="20"/>
              </w:rPr>
              <w:t xml:space="preserve"> </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617</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jc w:val="center"/>
              <w:rPr>
                <w:color w:val="000000"/>
                <w:sz w:val="20"/>
                <w:szCs w:val="20"/>
              </w:rPr>
            </w:pPr>
            <w:r>
              <w:rPr>
                <w:color w:val="000000"/>
                <w:sz w:val="20"/>
                <w:szCs w:val="20"/>
              </w:rPr>
              <w:t>PARK ŠUME LOŠINJA</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147</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rPr>
                <w:color w:val="000000"/>
                <w:sz w:val="20"/>
                <w:szCs w:val="20"/>
              </w:rPr>
            </w:pPr>
            <w:r>
              <w:rPr>
                <w:color w:val="000000"/>
                <w:sz w:val="20"/>
                <w:szCs w:val="20"/>
              </w:rPr>
              <w:t xml:space="preserve">Neobraslo </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6</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rPr>
                <w:color w:val="000000"/>
                <w:sz w:val="20"/>
                <w:szCs w:val="20"/>
              </w:rPr>
            </w:pPr>
            <w:r>
              <w:rPr>
                <w:color w:val="000000"/>
                <w:sz w:val="20"/>
                <w:szCs w:val="20"/>
              </w:rPr>
              <w:t xml:space="preserve">Obraslo </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141</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rPr>
                <w:color w:val="000000"/>
                <w:sz w:val="20"/>
                <w:szCs w:val="20"/>
              </w:rPr>
            </w:pPr>
            <w:r>
              <w:rPr>
                <w:color w:val="000000"/>
                <w:sz w:val="20"/>
                <w:szCs w:val="20"/>
              </w:rPr>
              <w:t>Kultura četinjača</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139</w:t>
            </w:r>
          </w:p>
        </w:tc>
      </w:tr>
      <w:tr w:rsidR="00A07D92">
        <w:trPr>
          <w:jc w:val="center"/>
        </w:trPr>
        <w:tc>
          <w:tcPr>
            <w:tcW w:w="268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rPr>
                <w:color w:val="000000"/>
                <w:sz w:val="20"/>
                <w:szCs w:val="20"/>
              </w:rPr>
            </w:pPr>
            <w:r>
              <w:rPr>
                <w:color w:val="000000"/>
                <w:sz w:val="20"/>
                <w:szCs w:val="20"/>
              </w:rPr>
              <w:t>Parnjača crnike</w:t>
            </w:r>
          </w:p>
        </w:tc>
        <w:tc>
          <w:tcPr>
            <w:tcW w:w="21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color w:val="000000"/>
                <w:sz w:val="20"/>
                <w:szCs w:val="20"/>
              </w:rPr>
            </w:pPr>
            <w:r>
              <w:rPr>
                <w:color w:val="000000"/>
                <w:sz w:val="20"/>
                <w:szCs w:val="20"/>
              </w:rPr>
              <w:t>2</w:t>
            </w:r>
          </w:p>
        </w:tc>
      </w:tr>
    </w:tbl>
    <w:p w:rsidR="00A07D92" w:rsidRDefault="00495E63">
      <w:pPr>
        <w:jc w:val="center"/>
        <w:rPr>
          <w:color w:val="54883D"/>
          <w:sz w:val="20"/>
          <w:lang w:bidi="en-US"/>
        </w:rPr>
      </w:pPr>
      <w:r>
        <w:rPr>
          <w:color w:val="54883D"/>
          <w:sz w:val="20"/>
          <w:lang w:bidi="en-US"/>
        </w:rPr>
        <w:t>Izvor: Procjena ugroženosti od požara i tehnoloških eksplozija Grada Malog Lošinja, 2020. godina</w:t>
      </w:r>
    </w:p>
    <w:p w:rsidR="00A07D92" w:rsidRDefault="00495E63">
      <w:pPr>
        <w:spacing w:before="0"/>
      </w:pPr>
      <w:r>
        <w:t xml:space="preserve">Kultura četinjača–pretežno alepski bor, crni bor se javlja na višim dijelovima </w:t>
      </w:r>
      <w:proofErr w:type="spellStart"/>
      <w:r>
        <w:t>Osorščice</w:t>
      </w:r>
      <w:proofErr w:type="spellEnd"/>
      <w:r>
        <w:t xml:space="preserve"> i sjevernije od grada </w:t>
      </w:r>
      <w:proofErr w:type="spellStart"/>
      <w:r>
        <w:t>Osora</w:t>
      </w:r>
      <w:proofErr w:type="spellEnd"/>
      <w:r>
        <w:t>.</w:t>
      </w:r>
    </w:p>
    <w:p w:rsidR="00A07D92" w:rsidRDefault="00495E63">
      <w:pPr>
        <w:spacing w:before="0"/>
      </w:pPr>
      <w:proofErr w:type="spellStart"/>
      <w:r>
        <w:t>Panjača</w:t>
      </w:r>
      <w:proofErr w:type="spellEnd"/>
      <w:r>
        <w:t xml:space="preserve"> crnike–nalazimo je većinom na otoku Lošinju te prema Punta </w:t>
      </w:r>
      <w:proofErr w:type="spellStart"/>
      <w:r>
        <w:t>Križi</w:t>
      </w:r>
      <w:proofErr w:type="spellEnd"/>
      <w:r>
        <w:t xml:space="preserve"> do </w:t>
      </w:r>
      <w:proofErr w:type="spellStart"/>
      <w:r>
        <w:t>Mtalde</w:t>
      </w:r>
      <w:proofErr w:type="spellEnd"/>
      <w:r>
        <w:t xml:space="preserve"> (lošije kvalitete) i bolje do vrlo dobre kvalitete prema južnim dijelovima poluotoka. Lošija kvaliteta je uvjetovana kvalitetom tla i dolazi primiješana sa drugim aut</w:t>
      </w:r>
      <w:r>
        <w:t xml:space="preserve">ohtonim drvećem i grmljem. (zelenika, planika, vrijes, </w:t>
      </w:r>
      <w:proofErr w:type="spellStart"/>
      <w:r>
        <w:t>šmrika</w:t>
      </w:r>
      <w:proofErr w:type="spellEnd"/>
      <w:r>
        <w:t xml:space="preserve">, </w:t>
      </w:r>
      <w:proofErr w:type="spellStart"/>
      <w:r>
        <w:t>tršlja</w:t>
      </w:r>
      <w:proofErr w:type="spellEnd"/>
      <w:r>
        <w:t xml:space="preserve">, mirta, itd.) S povećanjem kvalitete učešće drugih vrsta se smanjuje. </w:t>
      </w:r>
    </w:p>
    <w:p w:rsidR="00A07D92" w:rsidRDefault="00495E63">
      <w:pPr>
        <w:spacing w:before="0"/>
        <w:rPr>
          <w:color w:val="auto"/>
          <w:lang w:bidi="en-US"/>
        </w:rPr>
      </w:pPr>
      <w:r>
        <w:t xml:space="preserve">Makija i </w:t>
      </w:r>
      <w:proofErr w:type="spellStart"/>
      <w:r>
        <w:t>garig</w:t>
      </w:r>
      <w:proofErr w:type="spellEnd"/>
      <w:r>
        <w:t>–Degradacijski oblici šume nastali prvenstveno lošim, skeletnim tlima. Iako tu nalazimo sve autohtone</w:t>
      </w:r>
      <w:r>
        <w:t xml:space="preserve"> vrste drveća, loše do vrlo loše kvalitete, prevladava </w:t>
      </w:r>
      <w:proofErr w:type="spellStart"/>
      <w:r>
        <w:t>šmrika</w:t>
      </w:r>
      <w:proofErr w:type="spellEnd"/>
      <w:r>
        <w:t xml:space="preserve"> i somina</w:t>
      </w:r>
    </w:p>
    <w:p w:rsidR="00A07D92" w:rsidRDefault="00495E63">
      <w:pPr>
        <w:spacing w:before="0"/>
        <w:jc w:val="center"/>
        <w:rPr>
          <w:rFonts w:eastAsia="Calibri"/>
          <w:bCs/>
          <w:color w:val="54883D"/>
          <w:sz w:val="20"/>
          <w:szCs w:val="20"/>
        </w:rPr>
      </w:pPr>
      <w:r>
        <w:rPr>
          <w:rFonts w:eastAsia="Calibri"/>
          <w:bCs/>
          <w:color w:val="54883D"/>
          <w:sz w:val="20"/>
          <w:szCs w:val="20"/>
        </w:rPr>
        <w:t xml:space="preserve">Tablica </w:t>
      </w:r>
      <w:r>
        <w:rPr>
          <w:rFonts w:eastAsia="Calibri"/>
          <w:bCs/>
          <w:color w:val="54883D"/>
          <w:sz w:val="20"/>
          <w:szCs w:val="20"/>
        </w:rPr>
        <w:fldChar w:fldCharType="begin"/>
      </w:r>
      <w:r>
        <w:rPr>
          <w:rFonts w:eastAsia="Calibri"/>
          <w:bCs/>
          <w:sz w:val="20"/>
          <w:szCs w:val="20"/>
        </w:rPr>
        <w:instrText>SEQ Tabela \* ARABIC</w:instrText>
      </w:r>
      <w:r>
        <w:rPr>
          <w:rFonts w:eastAsia="Calibri"/>
          <w:bCs/>
          <w:sz w:val="20"/>
          <w:szCs w:val="20"/>
        </w:rPr>
        <w:fldChar w:fldCharType="separate"/>
      </w:r>
      <w:r>
        <w:rPr>
          <w:rFonts w:eastAsia="Calibri"/>
          <w:bCs/>
          <w:sz w:val="20"/>
          <w:szCs w:val="20"/>
        </w:rPr>
        <w:t>45</w:t>
      </w:r>
      <w:r>
        <w:rPr>
          <w:rFonts w:eastAsia="Calibri"/>
          <w:bCs/>
          <w:sz w:val="20"/>
          <w:szCs w:val="20"/>
        </w:rPr>
        <w:fldChar w:fldCharType="end"/>
      </w:r>
      <w:r>
        <w:rPr>
          <w:rFonts w:eastAsia="Calibri"/>
          <w:bCs/>
          <w:color w:val="54883D"/>
          <w:sz w:val="20"/>
          <w:szCs w:val="20"/>
        </w:rPr>
        <w:t>. Procjena opasnosti šuma i šumskog zemljišta od požara</w:t>
      </w:r>
    </w:p>
    <w:tbl>
      <w:tblPr>
        <w:tblW w:w="8776" w:type="dxa"/>
        <w:jc w:val="center"/>
        <w:tblCellMar>
          <w:left w:w="5" w:type="dxa"/>
          <w:right w:w="5" w:type="dxa"/>
        </w:tblCellMar>
        <w:tblLook w:val="0000" w:firstRow="0" w:lastRow="0" w:firstColumn="0" w:lastColumn="0" w:noHBand="0" w:noVBand="0"/>
      </w:tblPr>
      <w:tblGrid>
        <w:gridCol w:w="3019"/>
        <w:gridCol w:w="2220"/>
        <w:gridCol w:w="3537"/>
      </w:tblGrid>
      <w:tr w:rsidR="00A07D92">
        <w:trPr>
          <w:tblHeader/>
          <w:jc w:val="center"/>
        </w:trPr>
        <w:tc>
          <w:tcPr>
            <w:tcW w:w="30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ind w:right="142"/>
              <w:jc w:val="center"/>
              <w:rPr>
                <w:b/>
                <w:bCs/>
                <w:color w:val="000000"/>
                <w:sz w:val="20"/>
                <w:szCs w:val="20"/>
              </w:rPr>
            </w:pPr>
            <w:r>
              <w:rPr>
                <w:b/>
                <w:bCs/>
                <w:color w:val="000000"/>
                <w:sz w:val="20"/>
                <w:szCs w:val="20"/>
              </w:rPr>
              <w:t>STUPANJ</w:t>
            </w:r>
          </w:p>
        </w:tc>
        <w:tc>
          <w:tcPr>
            <w:tcW w:w="22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b/>
                <w:color w:val="000000"/>
                <w:sz w:val="20"/>
                <w:szCs w:val="20"/>
              </w:rPr>
            </w:pPr>
            <w:r>
              <w:rPr>
                <w:b/>
                <w:color w:val="000000"/>
                <w:sz w:val="20"/>
                <w:szCs w:val="20"/>
              </w:rPr>
              <w:t>OPASNOST</w:t>
            </w:r>
          </w:p>
        </w:tc>
        <w:tc>
          <w:tcPr>
            <w:tcW w:w="353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360" w:lineRule="auto"/>
              <w:jc w:val="center"/>
              <w:rPr>
                <w:rFonts w:eastAsia="Calibri"/>
                <w:b/>
                <w:color w:val="000000"/>
                <w:sz w:val="20"/>
                <w:szCs w:val="20"/>
              </w:rPr>
            </w:pPr>
            <w:r>
              <w:rPr>
                <w:rFonts w:eastAsia="Calibri"/>
                <w:b/>
                <w:color w:val="000000"/>
                <w:sz w:val="20"/>
                <w:szCs w:val="20"/>
              </w:rPr>
              <w:t>BROJ BODOVA</w:t>
            </w:r>
          </w:p>
        </w:tc>
      </w:tr>
      <w:tr w:rsidR="00A07D92">
        <w:trPr>
          <w:jc w:val="center"/>
        </w:trPr>
        <w:tc>
          <w:tcPr>
            <w:tcW w:w="301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ind w:left="137" w:right="142"/>
              <w:jc w:val="center"/>
              <w:rPr>
                <w:color w:val="000000"/>
                <w:sz w:val="20"/>
                <w:szCs w:val="20"/>
              </w:rPr>
            </w:pPr>
            <w:r>
              <w:rPr>
                <w:color w:val="000000"/>
                <w:sz w:val="20"/>
                <w:szCs w:val="20"/>
              </w:rPr>
              <w:t>I</w:t>
            </w:r>
          </w:p>
        </w:tc>
        <w:tc>
          <w:tcPr>
            <w:tcW w:w="22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jc w:val="center"/>
              <w:rPr>
                <w:color w:val="000000"/>
                <w:sz w:val="20"/>
                <w:szCs w:val="20"/>
              </w:rPr>
            </w:pPr>
            <w:r>
              <w:rPr>
                <w:color w:val="000000"/>
                <w:sz w:val="20"/>
                <w:szCs w:val="20"/>
              </w:rPr>
              <w:t>Vrlo visoka</w:t>
            </w:r>
          </w:p>
        </w:tc>
        <w:tc>
          <w:tcPr>
            <w:tcW w:w="353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jc w:val="center"/>
              <w:rPr>
                <w:color w:val="000000"/>
                <w:sz w:val="20"/>
                <w:szCs w:val="20"/>
              </w:rPr>
            </w:pPr>
            <w:r>
              <w:rPr>
                <w:color w:val="000000"/>
                <w:sz w:val="20"/>
                <w:szCs w:val="20"/>
              </w:rPr>
              <w:t>&gt;480</w:t>
            </w:r>
          </w:p>
        </w:tc>
      </w:tr>
      <w:tr w:rsidR="00A07D92">
        <w:trPr>
          <w:jc w:val="center"/>
        </w:trPr>
        <w:tc>
          <w:tcPr>
            <w:tcW w:w="301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ind w:left="137" w:right="142"/>
              <w:jc w:val="center"/>
              <w:rPr>
                <w:color w:val="000000"/>
                <w:sz w:val="20"/>
                <w:szCs w:val="20"/>
              </w:rPr>
            </w:pPr>
            <w:r>
              <w:rPr>
                <w:color w:val="000000"/>
                <w:sz w:val="20"/>
                <w:szCs w:val="20"/>
              </w:rPr>
              <w:t>II</w:t>
            </w:r>
          </w:p>
        </w:tc>
        <w:tc>
          <w:tcPr>
            <w:tcW w:w="22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jc w:val="center"/>
              <w:rPr>
                <w:color w:val="000000"/>
                <w:sz w:val="20"/>
                <w:szCs w:val="20"/>
              </w:rPr>
            </w:pPr>
            <w:r>
              <w:rPr>
                <w:color w:val="000000"/>
                <w:sz w:val="20"/>
                <w:szCs w:val="20"/>
              </w:rPr>
              <w:t xml:space="preserve">Velika </w:t>
            </w:r>
          </w:p>
        </w:tc>
        <w:tc>
          <w:tcPr>
            <w:tcW w:w="353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jc w:val="center"/>
              <w:rPr>
                <w:color w:val="000000"/>
                <w:sz w:val="20"/>
                <w:szCs w:val="20"/>
              </w:rPr>
            </w:pPr>
            <w:r>
              <w:rPr>
                <w:color w:val="000000"/>
                <w:sz w:val="20"/>
                <w:szCs w:val="20"/>
              </w:rPr>
              <w:t>381-480</w:t>
            </w:r>
          </w:p>
        </w:tc>
      </w:tr>
      <w:tr w:rsidR="00A07D92">
        <w:trPr>
          <w:jc w:val="center"/>
        </w:trPr>
        <w:tc>
          <w:tcPr>
            <w:tcW w:w="301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ind w:left="137" w:right="142"/>
              <w:jc w:val="center"/>
              <w:rPr>
                <w:b/>
                <w:color w:val="000000"/>
                <w:sz w:val="20"/>
                <w:szCs w:val="20"/>
              </w:rPr>
            </w:pPr>
            <w:r>
              <w:rPr>
                <w:b/>
                <w:color w:val="000000"/>
                <w:sz w:val="20"/>
                <w:szCs w:val="20"/>
              </w:rPr>
              <w:t>III</w:t>
            </w:r>
          </w:p>
        </w:tc>
        <w:tc>
          <w:tcPr>
            <w:tcW w:w="22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jc w:val="center"/>
              <w:rPr>
                <w:bCs/>
                <w:color w:val="000000"/>
                <w:sz w:val="20"/>
                <w:szCs w:val="20"/>
              </w:rPr>
            </w:pPr>
            <w:r>
              <w:rPr>
                <w:bCs/>
                <w:color w:val="000000"/>
                <w:sz w:val="20"/>
                <w:szCs w:val="20"/>
              </w:rPr>
              <w:t xml:space="preserve">Umjerena </w:t>
            </w:r>
          </w:p>
        </w:tc>
        <w:tc>
          <w:tcPr>
            <w:tcW w:w="353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jc w:val="center"/>
              <w:rPr>
                <w:bCs/>
                <w:color w:val="000000"/>
                <w:sz w:val="20"/>
                <w:szCs w:val="20"/>
              </w:rPr>
            </w:pPr>
            <w:r>
              <w:rPr>
                <w:bCs/>
                <w:color w:val="000000"/>
                <w:sz w:val="20"/>
                <w:szCs w:val="20"/>
              </w:rPr>
              <w:t>281-380</w:t>
            </w:r>
          </w:p>
        </w:tc>
      </w:tr>
      <w:tr w:rsidR="00A07D92">
        <w:trPr>
          <w:jc w:val="center"/>
        </w:trPr>
        <w:tc>
          <w:tcPr>
            <w:tcW w:w="301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ind w:left="137" w:right="142"/>
              <w:jc w:val="center"/>
              <w:rPr>
                <w:b/>
                <w:sz w:val="20"/>
                <w:szCs w:val="20"/>
              </w:rPr>
            </w:pPr>
            <w:r>
              <w:rPr>
                <w:b/>
                <w:sz w:val="20"/>
                <w:szCs w:val="20"/>
              </w:rPr>
              <w:lastRenderedPageBreak/>
              <w:t>IV</w:t>
            </w:r>
          </w:p>
        </w:tc>
        <w:tc>
          <w:tcPr>
            <w:tcW w:w="22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jc w:val="center"/>
              <w:rPr>
                <w:bCs/>
                <w:sz w:val="20"/>
                <w:szCs w:val="20"/>
              </w:rPr>
            </w:pPr>
            <w:r>
              <w:rPr>
                <w:bCs/>
                <w:sz w:val="20"/>
                <w:szCs w:val="20"/>
              </w:rPr>
              <w:t xml:space="preserve">Mala </w:t>
            </w:r>
          </w:p>
        </w:tc>
        <w:tc>
          <w:tcPr>
            <w:tcW w:w="353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line="360" w:lineRule="auto"/>
              <w:jc w:val="center"/>
              <w:rPr>
                <w:bCs/>
                <w:sz w:val="20"/>
                <w:szCs w:val="20"/>
              </w:rPr>
            </w:pPr>
            <w:r>
              <w:rPr>
                <w:bCs/>
                <w:sz w:val="20"/>
                <w:szCs w:val="20"/>
              </w:rPr>
              <w:t>&lt;280</w:t>
            </w:r>
          </w:p>
        </w:tc>
      </w:tr>
    </w:tbl>
    <w:p w:rsidR="00A07D92" w:rsidRDefault="00495E63">
      <w:pPr>
        <w:jc w:val="center"/>
        <w:rPr>
          <w:color w:val="54883D"/>
          <w:sz w:val="20"/>
          <w:lang w:bidi="en-US"/>
        </w:rPr>
      </w:pPr>
      <w:r>
        <w:rPr>
          <w:color w:val="54883D"/>
          <w:sz w:val="20"/>
          <w:lang w:bidi="en-US"/>
        </w:rPr>
        <w:t>Izvor: Procjena ugroženosti od požara i tehnoloških eksplozija Grada Malog Lošinja, 2020. godina</w:t>
      </w:r>
    </w:p>
    <w:p w:rsidR="00A07D92" w:rsidRDefault="00495E63">
      <w:r>
        <w:t xml:space="preserve">Područje Grada prekriveno je listopadnim </w:t>
      </w:r>
      <w:proofErr w:type="spellStart"/>
      <w:r>
        <w:t>submediteranskim</w:t>
      </w:r>
      <w:proofErr w:type="spellEnd"/>
      <w:r>
        <w:t xml:space="preserve"> i mediteranskim šumama (značajne su površine šume obrasle grabom, hrastom i crnikom) te k</w:t>
      </w:r>
      <w:r>
        <w:t>ulturama i sastojinama četinjača.</w:t>
      </w:r>
    </w:p>
    <w:p w:rsidR="00A07D92" w:rsidRDefault="00495E63">
      <w:r>
        <w:t xml:space="preserve">Sa stanovišta razmatranja zaštite od požara, od posebnog interesa su sastojine i kulture četinjača (poglavito crnog bora), područja obrasla crnikom te površine pod šikarom, </w:t>
      </w:r>
      <w:proofErr w:type="spellStart"/>
      <w:r>
        <w:t>garingom</w:t>
      </w:r>
      <w:proofErr w:type="spellEnd"/>
      <w:r>
        <w:t xml:space="preserve"> i makijom a koje su razvrstane u II stup</w:t>
      </w:r>
      <w:r>
        <w:t xml:space="preserve">anj ugroženosti. </w:t>
      </w:r>
    </w:p>
    <w:p w:rsidR="00A07D92" w:rsidRDefault="00495E63">
      <w:r>
        <w:t xml:space="preserve">Šumom odnosno šumskom površinom razvrstanom u II stupanj ugroženosti uglavnom gospodari Hrvatske šume d.o.o.-Uprava šuma Podružnica Buzet, putem Šumarije Cres-Lošinj, koja svake godine donosi poseban Operativni plan zaštite šuma od požara za područje šuma </w:t>
      </w:r>
      <w:r>
        <w:t xml:space="preserve">kojima gospodari. </w:t>
      </w:r>
    </w:p>
    <w:p w:rsidR="00A07D92" w:rsidRDefault="00495E63">
      <w:pPr>
        <w:rPr>
          <w:color w:val="auto"/>
          <w:lang w:bidi="en-US"/>
        </w:rPr>
      </w:pPr>
      <w:r>
        <w:t>Kako područna Šumarija ne gospodari s cjelokupnim šumskim fondom, proizlazi da je značajan dio šuma i šumskog područja u vlasništvu fizičkih osoba ili drugih korisnika.</w:t>
      </w:r>
    </w:p>
    <w:p w:rsidR="00A07D92" w:rsidRDefault="00495E63">
      <w:pPr>
        <w:rPr>
          <w:color w:val="auto"/>
          <w:lang w:bidi="en-US"/>
        </w:rPr>
      </w:pPr>
      <w:r>
        <w:rPr>
          <w:color w:val="auto"/>
          <w:lang w:bidi="en-US"/>
        </w:rPr>
        <w:t>Postoje dva kritična razdoblja povećane pojave požara na otvorenom p</w:t>
      </w:r>
      <w:r>
        <w:rPr>
          <w:color w:val="auto"/>
          <w:lang w:bidi="en-US"/>
        </w:rPr>
        <w:t>rostoru:</w:t>
      </w:r>
    </w:p>
    <w:p w:rsidR="00A07D92" w:rsidRDefault="00495E63">
      <w:pPr>
        <w:rPr>
          <w:color w:val="auto"/>
          <w:lang w:bidi="en-US"/>
        </w:rPr>
      </w:pPr>
      <w:r>
        <w:rPr>
          <w:color w:val="auto"/>
          <w:lang w:bidi="en-US"/>
        </w:rPr>
        <w:t>1. proljetno – mjeseci veljača, ožujak i travanj (osobito praćeno sušom i vjetrom, dok nije počeo proces ozelenjivanja vegetacije) kada nastaje povećan broj požara, najviše u kontinentalnom području, ali nije isključeno i u priobalnom području. Po</w:t>
      </w:r>
      <w:r>
        <w:rPr>
          <w:color w:val="auto"/>
          <w:lang w:bidi="en-US"/>
        </w:rPr>
        <w:t xml:space="preserve">većani broj požara osobito je izražen poradi spaljivanja korova i ostalog </w:t>
      </w:r>
      <w:proofErr w:type="spellStart"/>
      <w:r>
        <w:rPr>
          <w:color w:val="auto"/>
          <w:lang w:bidi="en-US"/>
        </w:rPr>
        <w:t>biootpada</w:t>
      </w:r>
      <w:proofErr w:type="spellEnd"/>
      <w:r>
        <w:rPr>
          <w:color w:val="auto"/>
          <w:lang w:bidi="en-US"/>
        </w:rPr>
        <w:t xml:space="preserve"> zaostalog nakon čišćenja poljoprivrednih i šumskih površina.</w:t>
      </w:r>
    </w:p>
    <w:p w:rsidR="00A07D92" w:rsidRDefault="00495E63">
      <w:pPr>
        <w:rPr>
          <w:color w:val="auto"/>
          <w:lang w:bidi="en-US"/>
        </w:rPr>
      </w:pPr>
      <w:r>
        <w:rPr>
          <w:color w:val="auto"/>
          <w:lang w:bidi="en-US"/>
        </w:rPr>
        <w:t xml:space="preserve">2. ljetno - mjesec srpanj, kolovoz, rujan, također nastaje povećan broj požara, najvećim dijelom na priobalnom </w:t>
      </w:r>
      <w:r>
        <w:rPr>
          <w:color w:val="auto"/>
          <w:lang w:bidi="en-US"/>
        </w:rPr>
        <w:t>području s otocima. Žestina takvih požara osobito je pojačana ukoliko se poklopi i sušno razdoblje i ostalih ekstremni meteorološki uvjeti (jak vjetar, visoka temperatura i suhoća zraka, udari groma).</w:t>
      </w:r>
    </w:p>
    <w:p w:rsidR="00A07D92" w:rsidRDefault="00495E63">
      <w:pPr>
        <w:rPr>
          <w:color w:val="auto"/>
          <w:u w:val="single"/>
          <w:lang w:bidi="en-US"/>
        </w:rPr>
      </w:pPr>
      <w:r>
        <w:rPr>
          <w:color w:val="auto"/>
          <w:u w:val="single"/>
          <w:lang w:bidi="en-US"/>
        </w:rPr>
        <w:t xml:space="preserve">Stupanj opasnosti od požara državnih šuma i šumskih </w:t>
      </w:r>
      <w:r>
        <w:rPr>
          <w:color w:val="auto"/>
          <w:u w:val="single"/>
          <w:lang w:bidi="en-US"/>
        </w:rPr>
        <w:t>zemljišta na kršu u jadranskom/primorskom pojasu procjenjuje se kao:</w:t>
      </w:r>
    </w:p>
    <w:p w:rsidR="00A07D92" w:rsidRDefault="00495E63">
      <w:pPr>
        <w:rPr>
          <w:color w:val="auto"/>
          <w:lang w:bidi="en-US"/>
        </w:rPr>
      </w:pPr>
      <w:r>
        <w:rPr>
          <w:color w:val="auto"/>
          <w:lang w:bidi="en-US"/>
        </w:rPr>
        <w:t>- I stupanj/vrlo velika opasnost - 23% površina,</w:t>
      </w:r>
    </w:p>
    <w:p w:rsidR="00A07D92" w:rsidRDefault="00495E63">
      <w:pPr>
        <w:rPr>
          <w:color w:val="auto"/>
          <w:lang w:bidi="en-US"/>
        </w:rPr>
      </w:pPr>
      <w:r>
        <w:rPr>
          <w:color w:val="auto"/>
          <w:lang w:bidi="en-US"/>
        </w:rPr>
        <w:t>- II stupanj/velika – 45%,</w:t>
      </w:r>
    </w:p>
    <w:p w:rsidR="00A07D92" w:rsidRDefault="00495E63">
      <w:pPr>
        <w:rPr>
          <w:color w:val="auto"/>
          <w:lang w:bidi="en-US"/>
        </w:rPr>
      </w:pPr>
      <w:r>
        <w:rPr>
          <w:color w:val="auto"/>
          <w:lang w:bidi="en-US"/>
        </w:rPr>
        <w:t>- III stupanj/umjerena – 30% i</w:t>
      </w:r>
    </w:p>
    <w:p w:rsidR="00A07D92" w:rsidRDefault="00495E63">
      <w:pPr>
        <w:rPr>
          <w:color w:val="auto"/>
          <w:lang w:bidi="en-US"/>
        </w:rPr>
      </w:pPr>
      <w:r>
        <w:rPr>
          <w:color w:val="auto"/>
          <w:lang w:bidi="en-US"/>
        </w:rPr>
        <w:t>- IV stupanj/mala opasnost – 2% površina.</w:t>
      </w:r>
    </w:p>
    <w:p w:rsidR="00A07D92" w:rsidRDefault="00A07D92">
      <w:pPr>
        <w:spacing w:after="0"/>
        <w:rPr>
          <w:i/>
          <w:color w:val="auto"/>
          <w:lang w:bidi="en-US"/>
        </w:rPr>
      </w:pPr>
    </w:p>
    <w:p w:rsidR="00A07D92" w:rsidRDefault="00495E63">
      <w:pPr>
        <w:rPr>
          <w:color w:val="auto"/>
          <w:lang w:bidi="en-US"/>
        </w:rPr>
      </w:pPr>
      <w:r>
        <w:rPr>
          <w:color w:val="auto"/>
          <w:lang w:bidi="en-US"/>
        </w:rPr>
        <w:t>Gašenje požara raslinja uvjetuje znač</w:t>
      </w:r>
      <w:r>
        <w:rPr>
          <w:color w:val="auto"/>
          <w:lang w:bidi="en-US"/>
        </w:rPr>
        <w:t>ajan angažman resursa što iziskuje dodatna financijska sredstva svake godine. Prije svake požarne sezone planski se obavlja sljedeće:</w:t>
      </w:r>
    </w:p>
    <w:p w:rsidR="00A07D92" w:rsidRDefault="00495E63">
      <w:pPr>
        <w:numPr>
          <w:ilvl w:val="0"/>
          <w:numId w:val="9"/>
        </w:numPr>
        <w:ind w:left="426" w:hanging="284"/>
        <w:rPr>
          <w:b/>
          <w:color w:val="auto"/>
          <w:lang w:bidi="en-US"/>
        </w:rPr>
      </w:pPr>
      <w:r>
        <w:rPr>
          <w:color w:val="auto"/>
          <w:lang w:bidi="en-US"/>
        </w:rPr>
        <w:t>priprema zemaljskih snaga, edukacija i opremanje vatrogasaca,</w:t>
      </w:r>
    </w:p>
    <w:p w:rsidR="00A07D92" w:rsidRDefault="00495E63">
      <w:pPr>
        <w:numPr>
          <w:ilvl w:val="0"/>
          <w:numId w:val="9"/>
        </w:numPr>
        <w:ind w:left="426" w:hanging="284"/>
        <w:rPr>
          <w:b/>
          <w:color w:val="auto"/>
          <w:lang w:bidi="en-US"/>
        </w:rPr>
      </w:pPr>
      <w:r>
        <w:rPr>
          <w:color w:val="auto"/>
          <w:lang w:bidi="en-US"/>
        </w:rPr>
        <w:t>servisiranje tehnike i opreme i obnavljanje pričuvne opreme,</w:t>
      </w:r>
    </w:p>
    <w:p w:rsidR="00A07D92" w:rsidRDefault="00495E63">
      <w:pPr>
        <w:numPr>
          <w:ilvl w:val="0"/>
          <w:numId w:val="9"/>
        </w:numPr>
        <w:ind w:left="426" w:hanging="284"/>
        <w:rPr>
          <w:b/>
          <w:color w:val="auto"/>
          <w:lang w:bidi="en-US"/>
        </w:rPr>
      </w:pPr>
      <w:r>
        <w:rPr>
          <w:color w:val="auto"/>
          <w:lang w:bidi="en-US"/>
        </w:rPr>
        <w:t xml:space="preserve">priprema zrakoplova i posada, servisiranje zrakoplova, edukacija zrakoplovno-tehničkog osoblja, nabava goriva, maziva, pjenila i </w:t>
      </w:r>
      <w:proofErr w:type="spellStart"/>
      <w:r>
        <w:rPr>
          <w:color w:val="auto"/>
          <w:lang w:bidi="en-US"/>
        </w:rPr>
        <w:t>retardanata</w:t>
      </w:r>
      <w:proofErr w:type="spellEnd"/>
      <w:r>
        <w:rPr>
          <w:color w:val="auto"/>
          <w:lang w:bidi="en-US"/>
        </w:rPr>
        <w:t>,</w:t>
      </w:r>
    </w:p>
    <w:p w:rsidR="00A07D92" w:rsidRDefault="00495E63">
      <w:pPr>
        <w:numPr>
          <w:ilvl w:val="0"/>
          <w:numId w:val="9"/>
        </w:numPr>
        <w:ind w:left="426" w:hanging="284"/>
        <w:rPr>
          <w:b/>
          <w:color w:val="auto"/>
          <w:lang w:bidi="en-US"/>
        </w:rPr>
      </w:pPr>
      <w:r>
        <w:rPr>
          <w:color w:val="auto"/>
          <w:lang w:bidi="en-US"/>
        </w:rPr>
        <w:lastRenderedPageBreak/>
        <w:t>redovna dislokacija vatrogasaca i tehnike iz kontinentalnog na priobalni dio zemlje te logistička potpora,</w:t>
      </w:r>
    </w:p>
    <w:p w:rsidR="00A07D92" w:rsidRDefault="00495E63">
      <w:pPr>
        <w:numPr>
          <w:ilvl w:val="0"/>
          <w:numId w:val="9"/>
        </w:numPr>
        <w:ind w:left="426" w:hanging="284"/>
        <w:rPr>
          <w:b/>
          <w:color w:val="auto"/>
          <w:lang w:bidi="en-US"/>
        </w:rPr>
      </w:pPr>
      <w:r>
        <w:rPr>
          <w:color w:val="auto"/>
          <w:lang w:bidi="en-US"/>
        </w:rPr>
        <w:t>pripre</w:t>
      </w:r>
      <w:r>
        <w:rPr>
          <w:color w:val="auto"/>
          <w:lang w:bidi="en-US"/>
        </w:rPr>
        <w:t>ma izvanrednih dislokacija i sustav brzog prebacivanja dodatnih brojnijih snaga na ugrožena područja što podrazumijeva planiranje pomoći između susjednih županija, ali i angažiranje vatrogasaca i tehnike iz cijele zemlje.</w:t>
      </w:r>
    </w:p>
    <w:p w:rsidR="00A07D92" w:rsidRDefault="00A07D92">
      <w:pPr>
        <w:rPr>
          <w:u w:val="single"/>
          <w:lang w:bidi="en-US"/>
        </w:rPr>
      </w:pPr>
    </w:p>
    <w:p w:rsidR="00A07D92" w:rsidRDefault="00495E63">
      <w:pPr>
        <w:rPr>
          <w:u w:val="single"/>
          <w:lang w:bidi="en-US"/>
        </w:rPr>
      </w:pPr>
      <w:r>
        <w:rPr>
          <w:u w:val="single"/>
          <w:lang w:bidi="en-US"/>
        </w:rPr>
        <w:t>Ocjena žestine požara</w:t>
      </w:r>
    </w:p>
    <w:p w:rsidR="00A07D92" w:rsidRDefault="00495E63">
      <w:pPr>
        <w:rPr>
          <w:lang w:bidi="en-US"/>
        </w:rPr>
      </w:pPr>
      <w:r>
        <w:rPr>
          <w:lang w:bidi="en-US"/>
        </w:rPr>
        <w:t>Svako mjest</w:t>
      </w:r>
      <w:r>
        <w:rPr>
          <w:lang w:bidi="en-US"/>
        </w:rPr>
        <w:t xml:space="preserve">o ima svoj požarni režim koji se može opisati izvedenim veličinama koje su rezultat međudjelovanja vlažnosti/suhoće prirodnog gorivog materijala i klimatskih prilika određenog kraja. Jedna od takvih </w:t>
      </w:r>
      <w:proofErr w:type="spellStart"/>
      <w:r>
        <w:rPr>
          <w:lang w:bidi="en-US"/>
        </w:rPr>
        <w:t>bezdimenzionalnih</w:t>
      </w:r>
      <w:proofErr w:type="spellEnd"/>
      <w:r>
        <w:rPr>
          <w:lang w:bidi="en-US"/>
        </w:rPr>
        <w:t xml:space="preserve"> veličina je ocjena žestine. Ona može bi</w:t>
      </w:r>
      <w:r>
        <w:rPr>
          <w:lang w:bidi="en-US"/>
        </w:rPr>
        <w:t>ti mjesečna (MSR) i sezonska (SSR) a određuje se kanadskom metodom za procjenu opasnosti od požara raslinja. Ocjena žestine u sebi sadrži meteorološke uvjete i stanje vlažnosti mrtvog šumskog gorivog materijala i služi za klimatsko-požarni prikaz prosječno</w:t>
      </w:r>
      <w:r>
        <w:rPr>
          <w:lang w:bidi="en-US"/>
        </w:rPr>
        <w:t>g stanja na nekom području. Općenito se smatra da je potencijalna opasnost od požara raslinja vrlo velika ako je srednja sezonska žestina SSR &gt; 7.</w:t>
      </w:r>
    </w:p>
    <w:p w:rsidR="00A07D92" w:rsidRDefault="00495E63">
      <w:pPr>
        <w:rPr>
          <w:lang w:bidi="en-US"/>
        </w:rPr>
      </w:pPr>
      <w:r>
        <w:rPr>
          <w:lang w:bidi="en-US"/>
        </w:rPr>
        <w:t>Prema analizi razdoblja 1991.–2020. godine srednje vrijednosti SSR na području grada Malog Lošinja žestina po</w:t>
      </w:r>
      <w:r>
        <w:rPr>
          <w:lang w:bidi="en-US"/>
        </w:rPr>
        <w:t>žara nalazi se u visokoj opasnosti.</w:t>
      </w:r>
    </w:p>
    <w:p w:rsidR="00A07D92" w:rsidRDefault="00495E63">
      <w:pPr>
        <w:keepNext/>
        <w:spacing w:before="120" w:after="120"/>
        <w:jc w:val="center"/>
        <w:rPr>
          <w:bCs/>
          <w:color w:val="54883D"/>
          <w:sz w:val="20"/>
          <w:szCs w:val="18"/>
        </w:rPr>
      </w:pPr>
      <w:r>
        <w:rPr>
          <w:bCs/>
          <w:color w:val="54883D"/>
          <w:sz w:val="20"/>
          <w:szCs w:val="18"/>
        </w:rPr>
        <w:t xml:space="preserve">Slika </w:t>
      </w:r>
      <w:r>
        <w:rPr>
          <w:bCs/>
          <w:color w:val="54883D"/>
          <w:sz w:val="20"/>
          <w:szCs w:val="18"/>
        </w:rPr>
        <w:fldChar w:fldCharType="begin"/>
      </w:r>
      <w:r>
        <w:rPr>
          <w:bCs/>
          <w:sz w:val="20"/>
          <w:szCs w:val="18"/>
        </w:rPr>
        <w:instrText>SEQ Slika \* ARABIC</w:instrText>
      </w:r>
      <w:r>
        <w:rPr>
          <w:bCs/>
          <w:sz w:val="20"/>
          <w:szCs w:val="18"/>
        </w:rPr>
        <w:fldChar w:fldCharType="separate"/>
      </w:r>
      <w:r>
        <w:rPr>
          <w:bCs/>
          <w:sz w:val="20"/>
          <w:szCs w:val="18"/>
        </w:rPr>
        <w:t>17</w:t>
      </w:r>
      <w:r>
        <w:rPr>
          <w:bCs/>
          <w:sz w:val="20"/>
          <w:szCs w:val="18"/>
        </w:rPr>
        <w:fldChar w:fldCharType="end"/>
      </w:r>
      <w:r>
        <w:rPr>
          <w:bCs/>
          <w:color w:val="54883D"/>
          <w:sz w:val="20"/>
          <w:szCs w:val="18"/>
        </w:rPr>
        <w:t xml:space="preserve">.Srednji mjesečni indeks početnog širenja vatre za lipanj u </w:t>
      </w:r>
      <w:proofErr w:type="spellStart"/>
      <w:r>
        <w:rPr>
          <w:bCs/>
          <w:color w:val="54883D"/>
          <w:sz w:val="20"/>
          <w:szCs w:val="18"/>
        </w:rPr>
        <w:t>razoblju</w:t>
      </w:r>
      <w:proofErr w:type="spellEnd"/>
      <w:r>
        <w:rPr>
          <w:bCs/>
          <w:color w:val="54883D"/>
          <w:sz w:val="20"/>
          <w:szCs w:val="18"/>
        </w:rPr>
        <w:t xml:space="preserve"> od 1991.-2020.</w:t>
      </w:r>
    </w:p>
    <w:p w:rsidR="00A07D92" w:rsidRDefault="00495E63">
      <w:pPr>
        <w:jc w:val="center"/>
        <w:rPr>
          <w:lang w:bidi="en-US"/>
        </w:rPr>
      </w:pPr>
      <w:r>
        <w:rPr>
          <w:noProof/>
          <w:lang w:eastAsia="hr-HR"/>
        </w:rPr>
        <w:drawing>
          <wp:inline distT="0" distB="0" distL="0" distR="0">
            <wp:extent cx="3498215" cy="3474720"/>
            <wp:effectExtent l="0" t="0" r="0" b="0"/>
            <wp:docPr id="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5"/>
                    <pic:cNvPicPr>
                      <a:picLocks noChangeAspect="1" noChangeArrowheads="1"/>
                    </pic:cNvPicPr>
                  </pic:nvPicPr>
                  <pic:blipFill>
                    <a:blip r:embed="rId115"/>
                    <a:stretch>
                      <a:fillRect/>
                    </a:stretch>
                  </pic:blipFill>
                  <pic:spPr bwMode="auto">
                    <a:xfrm>
                      <a:off x="0" y="0"/>
                      <a:ext cx="3498215" cy="3474720"/>
                    </a:xfrm>
                    <a:prstGeom prst="rect">
                      <a:avLst/>
                    </a:prstGeom>
                  </pic:spPr>
                </pic:pic>
              </a:graphicData>
            </a:graphic>
          </wp:inline>
        </w:drawing>
      </w:r>
    </w:p>
    <w:p w:rsidR="00A07D92" w:rsidRDefault="00495E63">
      <w:pPr>
        <w:jc w:val="center"/>
        <w:rPr>
          <w:color w:val="54883D"/>
          <w:sz w:val="20"/>
          <w:lang w:bidi="en-US"/>
        </w:rPr>
      </w:pPr>
      <w:r>
        <w:rPr>
          <w:color w:val="54883D"/>
          <w:sz w:val="20"/>
        </w:rPr>
        <w:t>Izvor:</w:t>
      </w:r>
      <w:r>
        <w:t xml:space="preserve"> </w:t>
      </w:r>
      <w:r>
        <w:rPr>
          <w:color w:val="54883D"/>
          <w:sz w:val="20"/>
        </w:rPr>
        <w:t xml:space="preserve">DHMZ </w:t>
      </w:r>
    </w:p>
    <w:p w:rsidR="00A07D92" w:rsidRDefault="00A07D92">
      <w:pPr>
        <w:rPr>
          <w:color w:val="auto"/>
          <w:lang w:bidi="en-US"/>
        </w:rPr>
      </w:pPr>
    </w:p>
    <w:p w:rsidR="00A07D92" w:rsidRDefault="00495E63">
      <w:pPr>
        <w:keepNext/>
        <w:spacing w:before="120" w:after="120"/>
        <w:jc w:val="center"/>
        <w:rPr>
          <w:bCs/>
          <w:color w:val="54883D"/>
          <w:sz w:val="20"/>
          <w:szCs w:val="18"/>
        </w:rPr>
      </w:pPr>
      <w:r>
        <w:rPr>
          <w:bCs/>
          <w:color w:val="54883D"/>
          <w:sz w:val="20"/>
          <w:szCs w:val="18"/>
        </w:rPr>
        <w:lastRenderedPageBreak/>
        <w:t xml:space="preserve">Slika </w:t>
      </w:r>
      <w:r>
        <w:rPr>
          <w:bCs/>
          <w:color w:val="54883D"/>
          <w:sz w:val="20"/>
          <w:szCs w:val="18"/>
        </w:rPr>
        <w:fldChar w:fldCharType="begin"/>
      </w:r>
      <w:r>
        <w:rPr>
          <w:bCs/>
          <w:sz w:val="20"/>
          <w:szCs w:val="18"/>
        </w:rPr>
        <w:instrText>SEQ Slika \* ARABIC</w:instrText>
      </w:r>
      <w:r>
        <w:rPr>
          <w:bCs/>
          <w:sz w:val="20"/>
          <w:szCs w:val="18"/>
        </w:rPr>
        <w:fldChar w:fldCharType="separate"/>
      </w:r>
      <w:r>
        <w:rPr>
          <w:bCs/>
          <w:sz w:val="20"/>
          <w:szCs w:val="18"/>
        </w:rPr>
        <w:t>18</w:t>
      </w:r>
      <w:r>
        <w:rPr>
          <w:bCs/>
          <w:sz w:val="20"/>
          <w:szCs w:val="18"/>
        </w:rPr>
        <w:fldChar w:fldCharType="end"/>
      </w:r>
      <w:r>
        <w:rPr>
          <w:bCs/>
          <w:color w:val="54883D"/>
          <w:sz w:val="20"/>
          <w:szCs w:val="18"/>
        </w:rPr>
        <w:t xml:space="preserve">.Srednji mjesečni indeks početnog širenja vatre za srpanj i </w:t>
      </w:r>
      <w:r>
        <w:rPr>
          <w:bCs/>
          <w:color w:val="54883D"/>
          <w:sz w:val="20"/>
          <w:szCs w:val="18"/>
        </w:rPr>
        <w:t xml:space="preserve">kolovoz u </w:t>
      </w:r>
      <w:proofErr w:type="spellStart"/>
      <w:r>
        <w:rPr>
          <w:bCs/>
          <w:color w:val="54883D"/>
          <w:sz w:val="20"/>
          <w:szCs w:val="18"/>
        </w:rPr>
        <w:t>razoblju</w:t>
      </w:r>
      <w:proofErr w:type="spellEnd"/>
      <w:r>
        <w:rPr>
          <w:bCs/>
          <w:color w:val="54883D"/>
          <w:sz w:val="20"/>
          <w:szCs w:val="18"/>
        </w:rPr>
        <w:t xml:space="preserve"> od 1991.-2020.</w:t>
      </w:r>
    </w:p>
    <w:p w:rsidR="00A07D92" w:rsidRDefault="00495E63">
      <w:pPr>
        <w:rPr>
          <w:color w:val="auto"/>
          <w:lang w:bidi="en-US"/>
        </w:rPr>
      </w:pPr>
      <w:r>
        <w:rPr>
          <w:noProof/>
          <w:lang w:eastAsia="hr-HR"/>
        </w:rPr>
        <w:drawing>
          <wp:inline distT="0" distB="0" distL="0" distR="0">
            <wp:extent cx="5759450" cy="2489835"/>
            <wp:effectExtent l="0" t="0" r="0" b="0"/>
            <wp:docPr id="95" name="Slik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lika9"/>
                    <pic:cNvPicPr>
                      <a:picLocks noChangeAspect="1" noChangeArrowheads="1"/>
                    </pic:cNvPicPr>
                  </pic:nvPicPr>
                  <pic:blipFill>
                    <a:blip r:embed="rId116"/>
                    <a:stretch>
                      <a:fillRect/>
                    </a:stretch>
                  </pic:blipFill>
                  <pic:spPr bwMode="auto">
                    <a:xfrm>
                      <a:off x="0" y="0"/>
                      <a:ext cx="5759450" cy="2489835"/>
                    </a:xfrm>
                    <a:prstGeom prst="rect">
                      <a:avLst/>
                    </a:prstGeom>
                  </pic:spPr>
                </pic:pic>
              </a:graphicData>
            </a:graphic>
          </wp:inline>
        </w:drawing>
      </w:r>
    </w:p>
    <w:p w:rsidR="00A07D92" w:rsidRDefault="00495E63">
      <w:pPr>
        <w:jc w:val="center"/>
        <w:rPr>
          <w:color w:val="54883D"/>
          <w:sz w:val="20"/>
          <w:lang w:bidi="en-US"/>
        </w:rPr>
      </w:pPr>
      <w:r>
        <w:rPr>
          <w:color w:val="54883D"/>
          <w:sz w:val="20"/>
        </w:rPr>
        <w:t>Izvor:</w:t>
      </w:r>
      <w:r>
        <w:t xml:space="preserve"> </w:t>
      </w:r>
      <w:r>
        <w:rPr>
          <w:color w:val="54883D"/>
          <w:sz w:val="20"/>
        </w:rPr>
        <w:t xml:space="preserve">DHMZ </w:t>
      </w:r>
    </w:p>
    <w:p w:rsidR="00A07D92" w:rsidRDefault="00A07D92">
      <w:pPr>
        <w:rPr>
          <w:color w:val="auto"/>
          <w:lang w:bidi="en-US"/>
        </w:rPr>
      </w:pPr>
    </w:p>
    <w:p w:rsidR="00A07D92" w:rsidRDefault="00495E63">
      <w:pPr>
        <w:keepNext/>
        <w:spacing w:before="120" w:after="120"/>
        <w:jc w:val="center"/>
        <w:rPr>
          <w:bCs/>
          <w:color w:val="54883D"/>
          <w:sz w:val="20"/>
          <w:szCs w:val="18"/>
        </w:rPr>
      </w:pPr>
      <w:r>
        <w:rPr>
          <w:bCs/>
          <w:color w:val="54883D"/>
          <w:sz w:val="20"/>
          <w:szCs w:val="18"/>
        </w:rPr>
        <w:t xml:space="preserve">Slika </w:t>
      </w:r>
      <w:r>
        <w:rPr>
          <w:bCs/>
          <w:color w:val="54883D"/>
          <w:sz w:val="20"/>
          <w:szCs w:val="18"/>
        </w:rPr>
        <w:fldChar w:fldCharType="begin"/>
      </w:r>
      <w:r>
        <w:rPr>
          <w:bCs/>
          <w:sz w:val="20"/>
          <w:szCs w:val="18"/>
        </w:rPr>
        <w:instrText>SEQ Slika \* ARABIC</w:instrText>
      </w:r>
      <w:r>
        <w:rPr>
          <w:bCs/>
          <w:sz w:val="20"/>
          <w:szCs w:val="18"/>
        </w:rPr>
        <w:fldChar w:fldCharType="separate"/>
      </w:r>
      <w:r>
        <w:rPr>
          <w:bCs/>
          <w:sz w:val="20"/>
          <w:szCs w:val="18"/>
        </w:rPr>
        <w:t>19</w:t>
      </w:r>
      <w:r>
        <w:rPr>
          <w:bCs/>
          <w:sz w:val="20"/>
          <w:szCs w:val="18"/>
        </w:rPr>
        <w:fldChar w:fldCharType="end"/>
      </w:r>
      <w:r>
        <w:rPr>
          <w:bCs/>
          <w:color w:val="54883D"/>
          <w:sz w:val="20"/>
          <w:szCs w:val="18"/>
        </w:rPr>
        <w:t xml:space="preserve">.Srednji mjesečni indeks početnog širenja vatre za rujan u </w:t>
      </w:r>
      <w:proofErr w:type="spellStart"/>
      <w:r>
        <w:rPr>
          <w:bCs/>
          <w:color w:val="54883D"/>
          <w:sz w:val="20"/>
          <w:szCs w:val="18"/>
        </w:rPr>
        <w:t>razoblju</w:t>
      </w:r>
      <w:proofErr w:type="spellEnd"/>
      <w:r>
        <w:rPr>
          <w:bCs/>
          <w:color w:val="54883D"/>
          <w:sz w:val="20"/>
          <w:szCs w:val="18"/>
        </w:rPr>
        <w:t xml:space="preserve"> od 1991.-2020.</w:t>
      </w:r>
    </w:p>
    <w:p w:rsidR="00A07D92" w:rsidRDefault="00495E63">
      <w:pPr>
        <w:jc w:val="center"/>
        <w:rPr>
          <w:color w:val="auto"/>
          <w:lang w:bidi="en-US"/>
        </w:rPr>
      </w:pPr>
      <w:r>
        <w:rPr>
          <w:noProof/>
          <w:lang w:eastAsia="hr-HR"/>
        </w:rPr>
        <w:drawing>
          <wp:inline distT="0" distB="0" distL="0" distR="0">
            <wp:extent cx="4275455" cy="4134485"/>
            <wp:effectExtent l="0" t="0" r="0" b="0"/>
            <wp:docPr id="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6"/>
                    <pic:cNvPicPr>
                      <a:picLocks noChangeAspect="1" noChangeArrowheads="1"/>
                    </pic:cNvPicPr>
                  </pic:nvPicPr>
                  <pic:blipFill>
                    <a:blip r:embed="rId117"/>
                    <a:stretch>
                      <a:fillRect/>
                    </a:stretch>
                  </pic:blipFill>
                  <pic:spPr bwMode="auto">
                    <a:xfrm>
                      <a:off x="0" y="0"/>
                      <a:ext cx="4275455" cy="4134485"/>
                    </a:xfrm>
                    <a:prstGeom prst="rect">
                      <a:avLst/>
                    </a:prstGeom>
                  </pic:spPr>
                </pic:pic>
              </a:graphicData>
            </a:graphic>
          </wp:inline>
        </w:drawing>
      </w:r>
    </w:p>
    <w:p w:rsidR="00A07D92" w:rsidRDefault="00495E63">
      <w:pPr>
        <w:jc w:val="center"/>
        <w:rPr>
          <w:color w:val="54883D"/>
          <w:sz w:val="20"/>
          <w:lang w:bidi="en-US"/>
        </w:rPr>
      </w:pPr>
      <w:r>
        <w:rPr>
          <w:color w:val="54883D"/>
          <w:sz w:val="20"/>
        </w:rPr>
        <w:t>Izvor:</w:t>
      </w:r>
      <w:r>
        <w:t xml:space="preserve"> </w:t>
      </w:r>
      <w:r>
        <w:rPr>
          <w:color w:val="54883D"/>
          <w:sz w:val="20"/>
        </w:rPr>
        <w:t xml:space="preserve">DHMZ </w:t>
      </w:r>
    </w:p>
    <w:p w:rsidR="00A07D92" w:rsidRDefault="00A07D92">
      <w:pPr>
        <w:jc w:val="center"/>
        <w:rPr>
          <w:color w:val="auto"/>
          <w:lang w:bidi="en-US"/>
        </w:rPr>
      </w:pPr>
    </w:p>
    <w:p w:rsidR="00A07D92" w:rsidRDefault="00495E63">
      <w:pPr>
        <w:rPr>
          <w:color w:val="auto"/>
          <w:lang w:bidi="en-US"/>
        </w:rPr>
      </w:pPr>
      <w:r>
        <w:rPr>
          <w:color w:val="auto"/>
          <w:lang w:bidi="en-US"/>
        </w:rPr>
        <w:t xml:space="preserve">Hrvatska vatrogasna zajednica početkom svake godine Vladi Republike Hrvatske </w:t>
      </w:r>
      <w:r>
        <w:rPr>
          <w:color w:val="auto"/>
          <w:lang w:bidi="en-US"/>
        </w:rPr>
        <w:t xml:space="preserve">predlaže donošenje Programa aktivnosti u provedbi posebnih mjera zaštite od požara od interesa za </w:t>
      </w:r>
      <w:r>
        <w:rPr>
          <w:color w:val="auto"/>
          <w:lang w:bidi="en-US"/>
        </w:rPr>
        <w:lastRenderedPageBreak/>
        <w:t>Republiku Hrvatsku.</w:t>
      </w:r>
      <w:r>
        <w:t xml:space="preserve"> P</w:t>
      </w:r>
      <w:r>
        <w:rPr>
          <w:color w:val="auto"/>
          <w:lang w:bidi="en-US"/>
        </w:rPr>
        <w:t>rogram aktivnosti je izvršni dokument za učinkovito preventivno i operativno (kurativno) djelovanje u cilju smanjenja broja požara raslin</w:t>
      </w:r>
      <w:r>
        <w:rPr>
          <w:color w:val="auto"/>
          <w:lang w:bidi="en-US"/>
        </w:rPr>
        <w:t>ja na otvorenom prostoru, smanjenja štete i broja ljudskih žrtava, opožarenih površina, zaštite kritične infrastrukture, povećanja sigurnosti stanovništva, turista i zaštite njihove imovine. Programom su integrirane sve aktivnosti subjekata (ministarstava,</w:t>
      </w:r>
      <w:r>
        <w:rPr>
          <w:color w:val="auto"/>
          <w:lang w:bidi="en-US"/>
        </w:rPr>
        <w:t xml:space="preserve"> državnih upravnih organizacija, javnih ustanova, vatrogasnih postrojbi, udruga) u cilju učinkovitijeg djelovanja pri gašenju požara na otvorenom prostoru. Izradom takvog ciljanog Programa, nastoji se pridati važnost vatrogastvu u vrijeme požarne sezone ka</w:t>
      </w:r>
      <w:r>
        <w:rPr>
          <w:color w:val="auto"/>
          <w:lang w:bidi="en-US"/>
        </w:rPr>
        <w:t>da je on najopterećeniji. Na taj način dobivena su dodatna financijska sredstva za funkcioniranje sustava u specifičnim okolnostima. Svi subjekti Programa aktivnosti provode svoje zadaće kontinuirano tijekom cijele godine na području cijele zemlje i daju s</w:t>
      </w:r>
      <w:r>
        <w:rPr>
          <w:color w:val="auto"/>
          <w:lang w:bidi="en-US"/>
        </w:rPr>
        <w:t>voj doprinos u provedbi preventivnih i operativnih mjera zaštite od požara.</w:t>
      </w:r>
    </w:p>
    <w:p w:rsidR="00A07D92" w:rsidRDefault="00A07D92">
      <w:pPr>
        <w:rPr>
          <w:color w:val="auto"/>
          <w:u w:val="single"/>
          <w:lang w:bidi="en-US"/>
        </w:rPr>
      </w:pPr>
    </w:p>
    <w:p w:rsidR="00A07D92" w:rsidRDefault="00495E63">
      <w:pPr>
        <w:rPr>
          <w:color w:val="auto"/>
          <w:u w:val="single"/>
          <w:lang w:bidi="en-US"/>
        </w:rPr>
      </w:pPr>
      <w:r>
        <w:rPr>
          <w:color w:val="auto"/>
          <w:u w:val="single"/>
          <w:lang w:bidi="en-US"/>
        </w:rPr>
        <w:t>Statistički podaci požara otvorenog prostora</w:t>
      </w:r>
    </w:p>
    <w:p w:rsidR="00A07D92" w:rsidRDefault="00495E63">
      <w:pPr>
        <w:rPr>
          <w:highlight w:val="yellow"/>
        </w:rPr>
      </w:pPr>
      <w:r>
        <w:t>Najveći broj požara predstavlja broj požara koji su izbili na otvorenom prostoru. Ti požari na području Grada Mali Lošinj predstavljaj</w:t>
      </w:r>
      <w:r>
        <w:t>u specifičnu kategoriju jer je mali postotak događaja koji je rezultirao velikom materijalnom štetom, ali su nesagledive posljedice ako se taj problem razmatra sa aspekta zaštite čovjekove okoline. Pored toga za tu kategoriju požara karakteristično je da s</w:t>
      </w:r>
      <w:r>
        <w:t>e, ako nisu uočeni i dojavljeni u samom začetku, relativno brzo šire čime se imperativno nameće potreba angažiranja većeg broja gasioca na duže vrijeme, a što opterećuje operativnu spremnost vatrogasnih postrojbi na široj regiji.</w:t>
      </w:r>
    </w:p>
    <w:p w:rsidR="00A07D92" w:rsidRDefault="00495E63">
      <w:pPr>
        <w:keepNext/>
        <w:keepLines/>
        <w:spacing w:before="40"/>
        <w:outlineLvl w:val="2"/>
        <w:rPr>
          <w:rFonts w:cstheme="majorBidi"/>
          <w:color w:val="54883D"/>
          <w:sz w:val="28"/>
          <w:lang w:bidi="en-US"/>
        </w:rPr>
      </w:pPr>
      <w:bookmarkStart w:id="247" w:name="_Toc136522846"/>
      <w:bookmarkStart w:id="248" w:name="_Toc34209569"/>
      <w:bookmarkStart w:id="249" w:name="_Toc9596618"/>
      <w:bookmarkStart w:id="250" w:name="_Toc503777226"/>
      <w:bookmarkStart w:id="251" w:name="_Toc498599778"/>
      <w:r>
        <w:rPr>
          <w:rFonts w:cstheme="majorBidi"/>
          <w:color w:val="54883D"/>
          <w:sz w:val="28"/>
          <w:lang w:bidi="en-US"/>
        </w:rPr>
        <w:t>6.4.5 Uzrok</w:t>
      </w:r>
      <w:bookmarkEnd w:id="247"/>
      <w:bookmarkEnd w:id="248"/>
      <w:bookmarkEnd w:id="249"/>
      <w:bookmarkEnd w:id="250"/>
      <w:bookmarkEnd w:id="251"/>
    </w:p>
    <w:p w:rsidR="00A07D92" w:rsidRDefault="00495E63">
      <w:pPr>
        <w:rPr>
          <w:rFonts w:eastAsia="TimesNewRoman"/>
        </w:rPr>
      </w:pPr>
      <w:r>
        <w:rPr>
          <w:rFonts w:eastAsia="TimesNewRoman"/>
        </w:rPr>
        <w:t>Na području ot</w:t>
      </w:r>
      <w:r>
        <w:rPr>
          <w:rFonts w:eastAsia="TimesNewRoman"/>
        </w:rPr>
        <w:t>oka, priobalnog pojasa, srednje i južne Dalmacije, zaobalja i Zagore prevladavaju Mediteranske šume, koje se sastoje od hrasta crnike u uskom obalnom pojasu, mješovitih šuma hrasta crnike i alepskog bora i čiste šume alepskog bora na otocima, hrasta medunc</w:t>
      </w:r>
      <w:r>
        <w:rPr>
          <w:rFonts w:eastAsia="TimesNewRoman"/>
        </w:rPr>
        <w:t>a, bijelog i crnog graba iznad pojasa hrasta crnike iznad 400 m nadmorske visine, te šuma dalmatinskog crnog bora na većim nadmorskim visinama. Cijeli taj jadranski pojas primorskog krša karakteriziraju velike površine šuma i šumskih zemljišta i nepovoljna</w:t>
      </w:r>
      <w:r>
        <w:rPr>
          <w:rFonts w:eastAsia="TimesNewRoman"/>
        </w:rPr>
        <w:t xml:space="preserve"> struktura šumskih sastojina u kome s 83% prevladavaju degradirani oblici šumske vegetacije, degradirane niske šume, makija (guste i niske šume porijeklom </w:t>
      </w:r>
      <w:proofErr w:type="spellStart"/>
      <w:r>
        <w:rPr>
          <w:rFonts w:eastAsia="TimesNewRoman"/>
        </w:rPr>
        <w:t>panjače</w:t>
      </w:r>
      <w:proofErr w:type="spellEnd"/>
      <w:r>
        <w:rPr>
          <w:rFonts w:eastAsia="TimesNewRoman"/>
        </w:rPr>
        <w:t xml:space="preserve">, grmolikog oblika, relativno gustog sklopa), </w:t>
      </w:r>
      <w:proofErr w:type="spellStart"/>
      <w:r>
        <w:rPr>
          <w:rFonts w:eastAsia="TimesNewRoman"/>
        </w:rPr>
        <w:t>garig</w:t>
      </w:r>
      <w:proofErr w:type="spellEnd"/>
      <w:r>
        <w:rPr>
          <w:rFonts w:eastAsia="TimesNewRoman"/>
        </w:rPr>
        <w:t xml:space="preserve"> (prorijeđene svijetle šikare) i veliki kom</w:t>
      </w:r>
      <w:r>
        <w:rPr>
          <w:rFonts w:eastAsia="TimesNewRoman"/>
        </w:rPr>
        <w:t xml:space="preserve">pleksi kamenjara sa šibljacima i biljnim vrstama različite vegetacijske degradacije, dok 17% čine visoke šume. U skladu s tim, šume i šumska vegetacija na kršu prvenstveno imaju zaštitnu funkciju, hidrološku i </w:t>
      </w:r>
      <w:proofErr w:type="spellStart"/>
      <w:r>
        <w:rPr>
          <w:rFonts w:eastAsia="TimesNewRoman"/>
        </w:rPr>
        <w:t>protuerozivnu</w:t>
      </w:r>
      <w:proofErr w:type="spellEnd"/>
      <w:r>
        <w:rPr>
          <w:rFonts w:eastAsia="TimesNewRoman"/>
        </w:rPr>
        <w:t>, te rekreativnu i estetsku ulogu</w:t>
      </w:r>
      <w:r>
        <w:rPr>
          <w:rFonts w:eastAsia="TimesNewRoman"/>
        </w:rPr>
        <w:t>, a tek potom i ekonomski značaj.</w:t>
      </w:r>
    </w:p>
    <w:p w:rsidR="00A07D92" w:rsidRDefault="00495E63">
      <w:pPr>
        <w:rPr>
          <w:rFonts w:eastAsia="TimesNewRoman"/>
        </w:rPr>
      </w:pPr>
      <w:r>
        <w:rPr>
          <w:rFonts w:eastAsia="TimesNewRoman"/>
        </w:rPr>
        <w:t>Uzrok požara na otvorenom prostoru uglavnom je ljuski faktor (nekontrolirano ili nedovoljno kontrolirano spaljivanje korova, suhe trave i biljnog otpada na poljoprivrednim površinama te namjerno izazivanje požara). Uspoređ</w:t>
      </w:r>
      <w:r>
        <w:rPr>
          <w:rFonts w:eastAsia="TimesNewRoman"/>
        </w:rPr>
        <w:t>ujući podatke uočljivo je da najviše požara nastaje u dva mjesečna ciklusa veljača i ožujak te lipanj, srpanj i kolovoz.</w:t>
      </w:r>
    </w:p>
    <w:p w:rsidR="00A07D92" w:rsidRDefault="00495E63">
      <w:pPr>
        <w:rPr>
          <w:rFonts w:eastAsia="TimesNewRoman"/>
        </w:rPr>
      </w:pPr>
      <w:r>
        <w:rPr>
          <w:rFonts w:eastAsia="TimesNewRoman"/>
        </w:rPr>
        <w:t>Temeljem mnogih izvora postoji gotovo nepodijeljeno mišljenje da klimatske promjene utječu na povećanje broja i intenziteta šumskih pož</w:t>
      </w:r>
      <w:r>
        <w:rPr>
          <w:rFonts w:eastAsia="TimesNewRoman"/>
        </w:rPr>
        <w:t xml:space="preserve">ara posvuda u svijetu, pa tako i na području grada Malog Lošinja. Isto tako, primjećuje se da posljednjih godina „sezona“ šumskih požara počinje ranije nego što je to uobičajeno. Dok se jedan broj požara može atribuirati antropogenim utjecajima, evidentno </w:t>
      </w:r>
      <w:r>
        <w:rPr>
          <w:rFonts w:eastAsia="TimesNewRoman"/>
        </w:rPr>
        <w:t xml:space="preserve">je da su oni posljedica činjenice da su šumski požari vrlo </w:t>
      </w:r>
      <w:r>
        <w:rPr>
          <w:rFonts w:eastAsia="TimesNewRoman"/>
        </w:rPr>
        <w:lastRenderedPageBreak/>
        <w:t>osjetljivi na klimatske promjene, posebno zato što porast temperatura povećava suhoću gorive mase i smanjuje relativnu vlažnost, što je činjenica koja je prisutna tamo gdje dolazi do smanjenja koli</w:t>
      </w:r>
      <w:r>
        <w:rPr>
          <w:rFonts w:eastAsia="TimesNewRoman"/>
        </w:rPr>
        <w:t>čine kiše. Glede antropogenih utjecaja, važno je naglasiti da postojeće planiranje namjene zemljišta često pogoduje nastajanju šumskih požara. Ova veza je dvojaka. Prvo, neodgovarajuća struktura korištenja zemljišta, na primjer pretvaranje šumskih površina</w:t>
      </w:r>
      <w:r>
        <w:rPr>
          <w:rFonts w:eastAsia="TimesNewRoman"/>
        </w:rPr>
        <w:t xml:space="preserve"> u poljoprivredna i druga zemljišta s manjom količinom vegetacije povećava emisiju stakleničkih plinova. Drugo, planiranje namjene zemljišta koje zanemaruje osnovne principe zaštite od požara (velika gustoća, nepostojanje transverzalnih putova i sl.) poveć</w:t>
      </w:r>
      <w:r>
        <w:rPr>
          <w:rFonts w:eastAsia="TimesNewRoman"/>
        </w:rPr>
        <w:t>ava štete u slučaju izbijanja požara.</w:t>
      </w:r>
    </w:p>
    <w:p w:rsidR="00A07D92" w:rsidRDefault="00495E63">
      <w:pPr>
        <w:rPr>
          <w:rFonts w:eastAsia="TimesNewRoman"/>
        </w:rPr>
      </w:pPr>
      <w:r>
        <w:rPr>
          <w:rFonts w:eastAsia="TimesNewRoman"/>
        </w:rPr>
        <w:t xml:space="preserve">Prema raznim klimatskim scenarijima očekuju se intenzivniji, češći i duljeg trajanja valovi vrućine u Europi u drugoj polovici 21. stoljeća. Prostorna razdioba ugroženih područja od toplinskog stresa na području Hrvatske potvrđuje da je jadransko područje </w:t>
      </w:r>
      <w:r>
        <w:rPr>
          <w:rFonts w:eastAsia="TimesNewRoman"/>
        </w:rPr>
        <w:t>najugroženije s obzirom na klimatske promjene kod nas, a u Europi Sredozemlje. Ono se širi od jadranske obale prema unutrašnjosti Hrvatske odnosno od juga prema sjeveru i od istoka prema zapadu u posljednja tri desetljeća. Pokazuje se i znatno povećani bro</w:t>
      </w:r>
      <w:r>
        <w:rPr>
          <w:rFonts w:eastAsia="TimesNewRoman"/>
        </w:rPr>
        <w:t>j vrućih dana i broj razdoblja s više od deset uzastopnih vrućih dana posljednjih 30 godina u odnosu na standardno klimatsko razdoblje 1961–1990. Može se zaključiti da će se trend promjena koje se događaju posljednjih nekoliko desetljeća nastaviti i u budu</w:t>
      </w:r>
      <w:r>
        <w:rPr>
          <w:rFonts w:eastAsia="TimesNewRoman"/>
        </w:rPr>
        <w:t xml:space="preserve">ćnosti. To znači daljnje povećanje temperaturnih ekstrema i povećanje učestalosti toplinskih valova s maksimalnom dnevnom temperaturom zraka većom od 30 °C na području Hrvatske. </w:t>
      </w:r>
    </w:p>
    <w:p w:rsidR="00A07D92" w:rsidRDefault="00495E63">
      <w:pPr>
        <w:rPr>
          <w:lang w:bidi="en-US"/>
        </w:rPr>
      </w:pPr>
      <w:r>
        <w:rPr>
          <w:rFonts w:eastAsia="TimesNewRoman"/>
        </w:rPr>
        <w:t>Požari na otvorenom prostoru predstavljaju specifičnu kategoriju jer pored ma</w:t>
      </w:r>
      <w:r>
        <w:rPr>
          <w:rFonts w:eastAsia="TimesNewRoman"/>
        </w:rPr>
        <w:t>terijalne štete nastaju nesagledive posljedice u okolišu. Osnovni uzrok nastajanja požara na otvorenim prostora je ljudska nepažnja, no i v</w:t>
      </w:r>
      <w:r>
        <w:rPr>
          <w:lang w:bidi="en-US"/>
        </w:rPr>
        <w:t>remenski uvjeti imaju odlučujuću ulogu u njihovom razvoju, širenju i ponašanju. Kao što je već spomenuto dugotrajna s</w:t>
      </w:r>
      <w:r>
        <w:rPr>
          <w:lang w:bidi="en-US"/>
        </w:rPr>
        <w:t>ušna i vruća razdoblja su vrlo povoljna za nastanak požara raslinja. Stoga meteorološki elementi koji najviše utječu na pojavu požara su sunčevo zračenje, temperatura zraka, relativna vlažnost zraka i količina oborine, a na njegovo širenje jačina i smjer v</w:t>
      </w:r>
      <w:r>
        <w:rPr>
          <w:lang w:bidi="en-US"/>
        </w:rPr>
        <w:t>jetra.</w:t>
      </w:r>
    </w:p>
    <w:p w:rsidR="00A07D92" w:rsidRDefault="00495E63">
      <w:pPr>
        <w:tabs>
          <w:tab w:val="left" w:pos="340"/>
        </w:tabs>
        <w:rPr>
          <w:lang w:bidi="en-US"/>
        </w:rPr>
      </w:pPr>
      <w:r>
        <w:rPr>
          <w:lang w:bidi="en-US"/>
        </w:rPr>
        <w:t>Vjetar je meteorološki element koji u sprezi s gorivim materijalom najjače utječe na ponašanje požara. Vjetar utječe na požar raslinja na više načina:</w:t>
      </w:r>
    </w:p>
    <w:p w:rsidR="00A07D92" w:rsidRDefault="00495E63">
      <w:pPr>
        <w:tabs>
          <w:tab w:val="left" w:pos="340"/>
        </w:tabs>
        <w:rPr>
          <w:lang w:bidi="en-US"/>
        </w:rPr>
      </w:pPr>
      <w:r>
        <w:rPr>
          <w:lang w:bidi="en-US"/>
        </w:rPr>
        <w:t>- odnosi zrak bogat vlagom i ubrzava isparavanje i sušenje goriva</w:t>
      </w:r>
    </w:p>
    <w:p w:rsidR="00A07D92" w:rsidRDefault="00495E63">
      <w:pPr>
        <w:tabs>
          <w:tab w:val="left" w:pos="340"/>
        </w:tabs>
        <w:rPr>
          <w:lang w:bidi="en-US"/>
        </w:rPr>
      </w:pPr>
      <w:r>
        <w:rPr>
          <w:lang w:bidi="en-US"/>
        </w:rPr>
        <w:t>- pomaže sagorijevanju dovođenje</w:t>
      </w:r>
      <w:r>
        <w:rPr>
          <w:lang w:bidi="en-US"/>
        </w:rPr>
        <w:t>m nove količine kisika</w:t>
      </w:r>
    </w:p>
    <w:p w:rsidR="00A07D92" w:rsidRDefault="00495E63">
      <w:pPr>
        <w:tabs>
          <w:tab w:val="left" w:pos="340"/>
        </w:tabs>
        <w:rPr>
          <w:lang w:bidi="en-US"/>
        </w:rPr>
      </w:pPr>
      <w:r>
        <w:rPr>
          <w:lang w:bidi="en-US"/>
        </w:rPr>
        <w:t>- širi požar noseći toplinu i goreće čestice na ne zahvaćena goriva</w:t>
      </w:r>
    </w:p>
    <w:p w:rsidR="00A07D92" w:rsidRDefault="00495E63">
      <w:pPr>
        <w:tabs>
          <w:tab w:val="left" w:pos="340"/>
        </w:tabs>
        <w:rPr>
          <w:lang w:bidi="en-US"/>
        </w:rPr>
      </w:pPr>
      <w:r>
        <w:rPr>
          <w:lang w:bidi="en-US"/>
        </w:rPr>
        <w:t>- uglavnom određuje smjer širenja požara</w:t>
      </w:r>
    </w:p>
    <w:p w:rsidR="00A07D92" w:rsidRDefault="00495E63">
      <w:pPr>
        <w:tabs>
          <w:tab w:val="left" w:pos="340"/>
        </w:tabs>
        <w:rPr>
          <w:lang w:bidi="en-US"/>
        </w:rPr>
      </w:pPr>
      <w:r>
        <w:rPr>
          <w:lang w:bidi="en-US"/>
        </w:rPr>
        <w:t>- otežava vatrogasnu intervenciju i djelovanje zemaljskih snaga i zrakoplova.</w:t>
      </w:r>
    </w:p>
    <w:p w:rsidR="00A07D92" w:rsidRDefault="00A07D92">
      <w:pPr>
        <w:tabs>
          <w:tab w:val="left" w:pos="340"/>
        </w:tabs>
        <w:rPr>
          <w:lang w:bidi="en-US"/>
        </w:rPr>
      </w:pPr>
    </w:p>
    <w:p w:rsidR="00A07D92" w:rsidRDefault="00495E63">
      <w:pPr>
        <w:tabs>
          <w:tab w:val="left" w:pos="340"/>
        </w:tabs>
        <w:rPr>
          <w:lang w:bidi="en-US"/>
        </w:rPr>
      </w:pPr>
      <w:r>
        <w:rPr>
          <w:lang w:bidi="en-US"/>
        </w:rPr>
        <w:t xml:space="preserve">Najčešći vjetar na području Malog Lošinja je </w:t>
      </w:r>
      <w:r>
        <w:rPr>
          <w:lang w:bidi="en-US"/>
        </w:rPr>
        <w:t xml:space="preserve">bura s izraženom sjevernom komponentom (14.3% iz NNE smjera), a zatim se javlja jugo (10.7% iz S smjera). Bura najčešće </w:t>
      </w:r>
      <w:proofErr w:type="spellStart"/>
      <w:r>
        <w:rPr>
          <w:lang w:bidi="en-US"/>
        </w:rPr>
        <w:t>pušezimi</w:t>
      </w:r>
      <w:proofErr w:type="spellEnd"/>
      <w:r>
        <w:rPr>
          <w:lang w:bidi="en-US"/>
        </w:rPr>
        <w:t xml:space="preserve"> (15.9%), a jugo u proljeće (14.5%). Ljeti se pored NNE i S smjerova (13.3% i 11.1% redom) relativno često javlja i WSW smjera (</w:t>
      </w:r>
      <w:r>
        <w:rPr>
          <w:lang w:bidi="en-US"/>
        </w:rPr>
        <w:t xml:space="preserve">9.4%). Zmorac ima izraženu više južnu nego sjevernu komponentu zbog položaja same postaje. Osim zmorca na vanjskim jadranskim otocima javlja se i sezonska zračna struja </w:t>
      </w:r>
      <w:proofErr w:type="spellStart"/>
      <w:r>
        <w:rPr>
          <w:lang w:bidi="en-US"/>
        </w:rPr>
        <w:t>etezija</w:t>
      </w:r>
      <w:proofErr w:type="spellEnd"/>
      <w:r>
        <w:rPr>
          <w:lang w:bidi="en-US"/>
        </w:rPr>
        <w:t xml:space="preserve"> NW smjera koja nastaje kao razlika tlaka u južnoj </w:t>
      </w:r>
      <w:r>
        <w:rPr>
          <w:lang w:bidi="en-US"/>
        </w:rPr>
        <w:lastRenderedPageBreak/>
        <w:t>Europi između azorske anticik</w:t>
      </w:r>
      <w:r>
        <w:rPr>
          <w:lang w:bidi="en-US"/>
        </w:rPr>
        <w:t xml:space="preserve">lone i </w:t>
      </w:r>
      <w:proofErr w:type="spellStart"/>
      <w:r>
        <w:rPr>
          <w:lang w:bidi="en-US"/>
        </w:rPr>
        <w:t>Karači</w:t>
      </w:r>
      <w:proofErr w:type="spellEnd"/>
      <w:r>
        <w:rPr>
          <w:lang w:bidi="en-US"/>
        </w:rPr>
        <w:t xml:space="preserve"> – depresije. Superpozicijom </w:t>
      </w:r>
      <w:proofErr w:type="spellStart"/>
      <w:r>
        <w:rPr>
          <w:lang w:bidi="en-US"/>
        </w:rPr>
        <w:t>etezije</w:t>
      </w:r>
      <w:proofErr w:type="spellEnd"/>
      <w:r>
        <w:rPr>
          <w:lang w:bidi="en-US"/>
        </w:rPr>
        <w:t xml:space="preserve"> i zmorca nastaje maestral.</w:t>
      </w:r>
    </w:p>
    <w:p w:rsidR="00A07D92" w:rsidRDefault="00495E63">
      <w:pPr>
        <w:tabs>
          <w:tab w:val="left" w:pos="340"/>
        </w:tabs>
        <w:rPr>
          <w:lang w:bidi="en-US"/>
        </w:rPr>
      </w:pPr>
      <w:r>
        <w:rPr>
          <w:lang w:bidi="en-US"/>
        </w:rPr>
        <w:t xml:space="preserve">Razdioba jačine vjetra neovisno o smjeru vjetra pokazuje u Malom Lošinju najčešće vjetar 1-3 </w:t>
      </w:r>
      <w:proofErr w:type="spellStart"/>
      <w:r>
        <w:rPr>
          <w:lang w:bidi="en-US"/>
        </w:rPr>
        <w:t>Bf</w:t>
      </w:r>
      <w:proofErr w:type="spellEnd"/>
      <w:r>
        <w:rPr>
          <w:lang w:bidi="en-US"/>
        </w:rPr>
        <w:t xml:space="preserve"> (81%). Vjetar </w:t>
      </w:r>
      <w:proofErr w:type="spellStart"/>
      <w:r>
        <w:rPr>
          <w:lang w:bidi="en-US"/>
        </w:rPr>
        <w:t>ječine</w:t>
      </w:r>
      <w:proofErr w:type="spellEnd"/>
      <w:r>
        <w:rPr>
          <w:lang w:bidi="en-US"/>
        </w:rPr>
        <w:t xml:space="preserve"> 4-5Bf zabilježen je u 13.4%, a jači od 6Bf u 1.1%. olujni </w:t>
      </w:r>
      <w:r>
        <w:rPr>
          <w:lang w:bidi="en-US"/>
        </w:rPr>
        <w:t xml:space="preserve">vjetar je rijedak s relativnom čestinom od 0.1%. tišina je zastupljena u 4.5%. jak vjetar češće je bura (0.9% nego jugo 0.2%), a vrlo rijetko se </w:t>
      </w:r>
      <w:proofErr w:type="spellStart"/>
      <w:r>
        <w:rPr>
          <w:lang w:bidi="en-US"/>
        </w:rPr>
        <w:t>javljak</w:t>
      </w:r>
      <w:proofErr w:type="spellEnd"/>
      <w:r>
        <w:rPr>
          <w:lang w:bidi="en-US"/>
        </w:rPr>
        <w:t xml:space="preserve"> i jak vjetar iz SW kvadranta (0.05%). Najjači vjetar bio je od 9 </w:t>
      </w:r>
      <w:proofErr w:type="spellStart"/>
      <w:r>
        <w:rPr>
          <w:lang w:bidi="en-US"/>
        </w:rPr>
        <w:t>Bf</w:t>
      </w:r>
      <w:proofErr w:type="spellEnd"/>
      <w:r>
        <w:rPr>
          <w:lang w:bidi="en-US"/>
        </w:rPr>
        <w:t xml:space="preserve"> iz N smjera.</w:t>
      </w:r>
    </w:p>
    <w:p w:rsidR="00A07D92" w:rsidRDefault="00495E63">
      <w:pPr>
        <w:tabs>
          <w:tab w:val="left" w:pos="340"/>
        </w:tabs>
        <w:rPr>
          <w:lang w:bidi="en-US"/>
        </w:rPr>
      </w:pPr>
      <w:r>
        <w:rPr>
          <w:lang w:bidi="en-US"/>
        </w:rPr>
        <w:t>U nastavku prikazana j</w:t>
      </w:r>
      <w:r>
        <w:rPr>
          <w:lang w:bidi="en-US"/>
        </w:rPr>
        <w:t>e tablica sa podacima o broju vrućih dana sa meteorološke postaje Mali Lošinj.</w:t>
      </w:r>
    </w:p>
    <w:p w:rsidR="00A07D92" w:rsidRDefault="00495E63">
      <w:pPr>
        <w:spacing w:before="0"/>
        <w:jc w:val="center"/>
        <w:rPr>
          <w:rFonts w:eastAsia="Calibri"/>
          <w:b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46</w:t>
      </w:r>
      <w:r>
        <w:rPr>
          <w:rFonts w:eastAsia="Calibri"/>
          <w:bCs/>
          <w:sz w:val="20"/>
          <w:szCs w:val="18"/>
        </w:rPr>
        <w:fldChar w:fldCharType="end"/>
      </w:r>
      <w:r>
        <w:rPr>
          <w:rFonts w:eastAsia="Calibri"/>
          <w:bCs/>
          <w:color w:val="54883D"/>
          <w:sz w:val="20"/>
          <w:szCs w:val="18"/>
        </w:rPr>
        <w:t xml:space="preserve">. </w:t>
      </w:r>
      <w:r>
        <w:rPr>
          <w:bCs/>
          <w:color w:val="54883D"/>
          <w:sz w:val="20"/>
          <w:szCs w:val="18"/>
          <w:lang w:bidi="en-US"/>
        </w:rPr>
        <w:t>Mjesečni broj vrućih dana (</w:t>
      </w:r>
      <w:r>
        <w:rPr>
          <w:bCs/>
          <w:color w:val="54883D"/>
          <w:sz w:val="20"/>
          <w:szCs w:val="18"/>
          <w:u w:val="single"/>
          <w:lang w:bidi="en-US"/>
        </w:rPr>
        <w:t>&lt;</w:t>
      </w:r>
      <w:r>
        <w:rPr>
          <w:bCs/>
          <w:color w:val="54883D"/>
          <w:sz w:val="20"/>
          <w:szCs w:val="18"/>
          <w:lang w:bidi="en-US"/>
        </w:rPr>
        <w:t xml:space="preserve"> 30°C), Mali Lošinj 2002. - 2021.</w:t>
      </w:r>
    </w:p>
    <w:tbl>
      <w:tblPr>
        <w:tblStyle w:val="ivopisnatablicareetke6-isticanje34"/>
        <w:tblW w:w="9216" w:type="dxa"/>
        <w:tblLook w:val="04A0" w:firstRow="1" w:lastRow="0" w:firstColumn="1" w:lastColumn="0" w:noHBand="0" w:noVBand="1"/>
      </w:tblPr>
      <w:tblGrid>
        <w:gridCol w:w="980"/>
        <w:gridCol w:w="653"/>
        <w:gridCol w:w="652"/>
        <w:gridCol w:w="654"/>
        <w:gridCol w:w="582"/>
        <w:gridCol w:w="582"/>
        <w:gridCol w:w="606"/>
        <w:gridCol w:w="655"/>
        <w:gridCol w:w="655"/>
        <w:gridCol w:w="583"/>
        <w:gridCol w:w="581"/>
        <w:gridCol w:w="655"/>
        <w:gridCol w:w="655"/>
        <w:gridCol w:w="723"/>
      </w:tblGrid>
      <w:tr w:rsidR="00A07D92" w:rsidTr="00A07D92">
        <w:trPr>
          <w:cnfStyle w:val="100000000000" w:firstRow="1" w:lastRow="0"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979"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rPr>
                <w:color w:val="auto"/>
                <w:sz w:val="20"/>
                <w:szCs w:val="20"/>
              </w:rPr>
            </w:pPr>
            <w:r>
              <w:rPr>
                <w:color w:val="76923C" w:themeColor="accent3" w:themeShade="BF"/>
                <w:sz w:val="20"/>
                <w:szCs w:val="20"/>
              </w:rPr>
              <w:t>Godina</w:t>
            </w:r>
          </w:p>
        </w:tc>
        <w:tc>
          <w:tcPr>
            <w:tcW w:w="653"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I.</w:t>
            </w:r>
          </w:p>
        </w:tc>
        <w:tc>
          <w:tcPr>
            <w:tcW w:w="652"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II.</w:t>
            </w:r>
          </w:p>
        </w:tc>
        <w:tc>
          <w:tcPr>
            <w:tcW w:w="654"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III.</w:t>
            </w:r>
          </w:p>
        </w:tc>
        <w:tc>
          <w:tcPr>
            <w:tcW w:w="582"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IV.</w:t>
            </w:r>
          </w:p>
        </w:tc>
        <w:tc>
          <w:tcPr>
            <w:tcW w:w="582"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V.</w:t>
            </w:r>
          </w:p>
        </w:tc>
        <w:tc>
          <w:tcPr>
            <w:tcW w:w="606"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VI.</w:t>
            </w:r>
          </w:p>
        </w:tc>
        <w:tc>
          <w:tcPr>
            <w:tcW w:w="655"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VII.</w:t>
            </w:r>
          </w:p>
        </w:tc>
        <w:tc>
          <w:tcPr>
            <w:tcW w:w="655"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VIII.</w:t>
            </w:r>
          </w:p>
        </w:tc>
        <w:tc>
          <w:tcPr>
            <w:tcW w:w="583"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IX.</w:t>
            </w:r>
          </w:p>
        </w:tc>
        <w:tc>
          <w:tcPr>
            <w:tcW w:w="581"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X.</w:t>
            </w:r>
          </w:p>
        </w:tc>
        <w:tc>
          <w:tcPr>
            <w:tcW w:w="655"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XI.</w:t>
            </w:r>
          </w:p>
        </w:tc>
        <w:tc>
          <w:tcPr>
            <w:tcW w:w="655"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XII.</w:t>
            </w:r>
          </w:p>
        </w:tc>
        <w:tc>
          <w:tcPr>
            <w:tcW w:w="723"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Zbroj</w:t>
            </w:r>
          </w:p>
        </w:tc>
      </w:tr>
      <w:tr w:rsidR="00A07D92" w:rsidTr="00A07D9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97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color w:val="auto"/>
                <w:sz w:val="20"/>
                <w:szCs w:val="20"/>
              </w:rPr>
            </w:pPr>
            <w:r>
              <w:rPr>
                <w:color w:val="76923C" w:themeColor="accent3" w:themeShade="BF"/>
                <w:sz w:val="20"/>
                <w:szCs w:val="20"/>
              </w:rPr>
              <w:t>Zbroj</w:t>
            </w:r>
          </w:p>
        </w:tc>
        <w:tc>
          <w:tcPr>
            <w:tcW w:w="65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6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6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5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5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8</w:t>
            </w:r>
          </w:p>
        </w:tc>
        <w:tc>
          <w:tcPr>
            <w:tcW w:w="60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185</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370</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316</w:t>
            </w:r>
          </w:p>
        </w:tc>
        <w:tc>
          <w:tcPr>
            <w:tcW w:w="58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41</w:t>
            </w:r>
          </w:p>
        </w:tc>
        <w:tc>
          <w:tcPr>
            <w:tcW w:w="58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72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920</w:t>
            </w:r>
          </w:p>
        </w:tc>
      </w:tr>
      <w:tr w:rsidR="00A07D92" w:rsidTr="00A07D92">
        <w:trPr>
          <w:trHeight w:val="396"/>
        </w:trPr>
        <w:tc>
          <w:tcPr>
            <w:cnfStyle w:val="001000000000" w:firstRow="0" w:lastRow="0" w:firstColumn="1" w:lastColumn="0" w:oddVBand="0" w:evenVBand="0" w:oddHBand="0" w:evenHBand="0" w:firstRowFirstColumn="0" w:firstRowLastColumn="0" w:lastRowFirstColumn="0" w:lastRowLastColumn="0"/>
            <w:tcW w:w="97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color w:val="auto"/>
                <w:sz w:val="20"/>
                <w:szCs w:val="20"/>
              </w:rPr>
            </w:pPr>
            <w:r>
              <w:rPr>
                <w:color w:val="76923C" w:themeColor="accent3" w:themeShade="BF"/>
                <w:sz w:val="20"/>
                <w:szCs w:val="20"/>
              </w:rPr>
              <w:t>Sred</w:t>
            </w:r>
          </w:p>
        </w:tc>
        <w:tc>
          <w:tcPr>
            <w:tcW w:w="65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6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6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5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5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0.4</w:t>
            </w:r>
          </w:p>
        </w:tc>
        <w:tc>
          <w:tcPr>
            <w:tcW w:w="60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9.3</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18.5</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15.8</w:t>
            </w:r>
          </w:p>
        </w:tc>
        <w:tc>
          <w:tcPr>
            <w:tcW w:w="58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2.0</w:t>
            </w:r>
          </w:p>
        </w:tc>
        <w:tc>
          <w:tcPr>
            <w:tcW w:w="58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72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46.0</w:t>
            </w:r>
          </w:p>
        </w:tc>
      </w:tr>
      <w:tr w:rsidR="00A07D92" w:rsidTr="00A07D92">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97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color w:val="auto"/>
                <w:sz w:val="20"/>
                <w:szCs w:val="20"/>
              </w:rPr>
            </w:pPr>
            <w:proofErr w:type="spellStart"/>
            <w:r>
              <w:rPr>
                <w:color w:val="76923C" w:themeColor="accent3" w:themeShade="BF"/>
                <w:sz w:val="20"/>
                <w:szCs w:val="20"/>
              </w:rPr>
              <w:t>Std</w:t>
            </w:r>
            <w:proofErr w:type="spellEnd"/>
          </w:p>
        </w:tc>
        <w:tc>
          <w:tcPr>
            <w:tcW w:w="65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6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6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5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5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1.0</w:t>
            </w:r>
          </w:p>
        </w:tc>
        <w:tc>
          <w:tcPr>
            <w:tcW w:w="60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4.9</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5.1</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8.2</w:t>
            </w:r>
          </w:p>
        </w:tc>
        <w:tc>
          <w:tcPr>
            <w:tcW w:w="58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3.4</w:t>
            </w:r>
          </w:p>
        </w:tc>
        <w:tc>
          <w:tcPr>
            <w:tcW w:w="58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65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723"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14.2</w:t>
            </w:r>
          </w:p>
        </w:tc>
      </w:tr>
    </w:tbl>
    <w:p w:rsidR="00A07D92" w:rsidRDefault="00495E63">
      <w:pPr>
        <w:jc w:val="center"/>
        <w:rPr>
          <w:i/>
          <w:color w:val="54883D"/>
          <w:sz w:val="20"/>
        </w:rPr>
      </w:pPr>
      <w:r>
        <w:rPr>
          <w:i/>
          <w:color w:val="54883D"/>
          <w:sz w:val="20"/>
        </w:rPr>
        <w:t>Izvor: DHMZ</w:t>
      </w:r>
    </w:p>
    <w:p w:rsidR="00A07D92" w:rsidRDefault="00495E63">
      <w:pPr>
        <w:rPr>
          <w:color w:val="auto"/>
        </w:rPr>
      </w:pPr>
      <w:r>
        <w:rPr>
          <w:color w:val="auto"/>
        </w:rPr>
        <w:t xml:space="preserve">Prema analiziranom razdoblju vidimo da se vrući dani pojavljuju od svibnja do rujna, no daleko </w:t>
      </w:r>
      <w:r>
        <w:rPr>
          <w:color w:val="auto"/>
        </w:rPr>
        <w:t>najveći broj dana sa vrući danima se pojavljuje u srpnju i kolovozu. Prosječno se pojavljuje 15 do 18 vrućih dana mjesečno.</w:t>
      </w:r>
    </w:p>
    <w:p w:rsidR="00A07D92" w:rsidRDefault="00A07D92">
      <w:pPr>
        <w:spacing w:before="0" w:after="0"/>
        <w:rPr>
          <w:color w:val="auto"/>
          <w:highlight w:val="yellow"/>
        </w:rPr>
      </w:pPr>
    </w:p>
    <w:p w:rsidR="00A07D92" w:rsidRDefault="00495E63">
      <w:pPr>
        <w:rPr>
          <w:color w:val="auto"/>
        </w:rPr>
      </w:pPr>
      <w:r>
        <w:rPr>
          <w:color w:val="auto"/>
        </w:rPr>
        <w:t>Prema podacima sa meteorološke postaje Malog Lošinja vidimo da se najveći broj dana sa oborinama pojavljuje tijekom mjeseca studeno</w:t>
      </w:r>
      <w:r>
        <w:rPr>
          <w:color w:val="auto"/>
        </w:rPr>
        <w:t xml:space="preserve">g i prosinca. </w:t>
      </w:r>
    </w:p>
    <w:p w:rsidR="00A07D92" w:rsidRDefault="00495E63">
      <w:pPr>
        <w:spacing w:before="0"/>
        <w:jc w:val="center"/>
        <w:rPr>
          <w:bCs/>
          <w:color w:val="54883D"/>
          <w:sz w:val="20"/>
          <w:szCs w:val="18"/>
          <w:lang w:bidi="en-US"/>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47</w:t>
      </w:r>
      <w:r>
        <w:rPr>
          <w:rFonts w:eastAsia="Calibri"/>
          <w:bCs/>
          <w:sz w:val="20"/>
          <w:szCs w:val="18"/>
        </w:rPr>
        <w:fldChar w:fldCharType="end"/>
      </w:r>
      <w:r>
        <w:rPr>
          <w:rFonts w:eastAsia="Calibri"/>
          <w:bCs/>
          <w:color w:val="54883D"/>
          <w:sz w:val="20"/>
          <w:szCs w:val="18"/>
        </w:rPr>
        <w:t>.</w:t>
      </w:r>
      <w:r>
        <w:rPr>
          <w:bCs/>
          <w:color w:val="54883D"/>
          <w:sz w:val="20"/>
          <w:szCs w:val="18"/>
          <w:lang w:bidi="en-US"/>
        </w:rPr>
        <w:t xml:space="preserve"> Broj dana s količinom oborine &gt;=0,1 mm, Mali Lošinj 2002. - 2021.</w:t>
      </w:r>
    </w:p>
    <w:tbl>
      <w:tblPr>
        <w:tblW w:w="9217" w:type="dxa"/>
        <w:jc w:val="center"/>
        <w:tblCellMar>
          <w:left w:w="5" w:type="dxa"/>
          <w:right w:w="5" w:type="dxa"/>
        </w:tblCellMar>
        <w:tblLook w:val="04A0" w:firstRow="1" w:lastRow="0" w:firstColumn="1" w:lastColumn="0" w:noHBand="0" w:noVBand="1"/>
      </w:tblPr>
      <w:tblGrid>
        <w:gridCol w:w="1117"/>
        <w:gridCol w:w="685"/>
        <w:gridCol w:w="590"/>
        <w:gridCol w:w="590"/>
        <w:gridCol w:w="590"/>
        <w:gridCol w:w="590"/>
        <w:gridCol w:w="590"/>
        <w:gridCol w:w="634"/>
        <w:gridCol w:w="747"/>
        <w:gridCol w:w="589"/>
        <w:gridCol w:w="590"/>
        <w:gridCol w:w="590"/>
        <w:gridCol w:w="634"/>
        <w:gridCol w:w="681"/>
      </w:tblGrid>
      <w:tr w:rsidR="00A07D92">
        <w:trPr>
          <w:trHeight w:hRule="exact" w:val="451"/>
          <w:tblHeader/>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MJESECI</w:t>
            </w:r>
          </w:p>
        </w:tc>
        <w:tc>
          <w:tcPr>
            <w:tcW w:w="6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II.</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III.</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IV.</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VI.</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VII.</w:t>
            </w:r>
          </w:p>
        </w:tc>
        <w:tc>
          <w:tcPr>
            <w:tcW w:w="74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VIII.</w:t>
            </w:r>
          </w:p>
        </w:tc>
        <w:tc>
          <w:tcPr>
            <w:tcW w:w="5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IX.</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X.</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XI.</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XII.</w:t>
            </w:r>
          </w:p>
        </w:tc>
        <w:tc>
          <w:tcPr>
            <w:tcW w:w="68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 xml:space="preserve">Zbroj </w:t>
            </w:r>
          </w:p>
        </w:tc>
      </w:tr>
      <w:tr w:rsidR="00A07D92">
        <w:trPr>
          <w:trHeight w:hRule="exact" w:val="522"/>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SRED</w:t>
            </w:r>
          </w:p>
        </w:tc>
        <w:tc>
          <w:tcPr>
            <w:tcW w:w="68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10.1</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8.8</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10.3</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10.6</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6.5</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5.9</w:t>
            </w:r>
          </w:p>
        </w:tc>
        <w:tc>
          <w:tcPr>
            <w:tcW w:w="74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6.4</w:t>
            </w:r>
          </w:p>
        </w:tc>
        <w:tc>
          <w:tcPr>
            <w:tcW w:w="5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7.9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9.9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12.4</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12.4</w:t>
            </w:r>
          </w:p>
        </w:tc>
        <w:tc>
          <w:tcPr>
            <w:tcW w:w="68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112.2</w:t>
            </w:r>
          </w:p>
        </w:tc>
      </w:tr>
      <w:tr w:rsidR="00A07D92">
        <w:trPr>
          <w:trHeight w:hRule="exact" w:val="522"/>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STD</w:t>
            </w:r>
          </w:p>
        </w:tc>
        <w:tc>
          <w:tcPr>
            <w:tcW w:w="68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4.7</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4.3</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4.1</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4.3</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2.8</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3.9</w:t>
            </w:r>
          </w:p>
        </w:tc>
        <w:tc>
          <w:tcPr>
            <w:tcW w:w="74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3.6</w:t>
            </w:r>
          </w:p>
        </w:tc>
        <w:tc>
          <w:tcPr>
            <w:tcW w:w="5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3.2</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3.7</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5.7</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5.2</w:t>
            </w:r>
          </w:p>
        </w:tc>
        <w:tc>
          <w:tcPr>
            <w:tcW w:w="68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19.1</w:t>
            </w:r>
          </w:p>
        </w:tc>
      </w:tr>
      <w:tr w:rsidR="00A07D92">
        <w:trPr>
          <w:trHeight w:hRule="exact" w:val="522"/>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MAX</w:t>
            </w:r>
          </w:p>
        </w:tc>
        <w:tc>
          <w:tcPr>
            <w:tcW w:w="6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19</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21</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18</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18</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18</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13</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17</w:t>
            </w:r>
          </w:p>
        </w:tc>
        <w:tc>
          <w:tcPr>
            <w:tcW w:w="74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14</w:t>
            </w:r>
          </w:p>
        </w:tc>
        <w:tc>
          <w:tcPr>
            <w:tcW w:w="5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14</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16</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25</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19</w:t>
            </w:r>
          </w:p>
        </w:tc>
        <w:tc>
          <w:tcPr>
            <w:tcW w:w="68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151</w:t>
            </w:r>
          </w:p>
        </w:tc>
      </w:tr>
      <w:tr w:rsidR="00A07D92">
        <w:trPr>
          <w:trHeight w:hRule="exact" w:val="475"/>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MIN</w:t>
            </w:r>
          </w:p>
        </w:tc>
        <w:tc>
          <w:tcPr>
            <w:tcW w:w="6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4</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3</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74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5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3</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3</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68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65</w:t>
            </w:r>
          </w:p>
        </w:tc>
      </w:tr>
    </w:tbl>
    <w:p w:rsidR="00A07D92" w:rsidRDefault="00495E63">
      <w:pPr>
        <w:jc w:val="center"/>
        <w:rPr>
          <w:i/>
          <w:color w:val="54883D"/>
          <w:sz w:val="20"/>
        </w:rPr>
      </w:pPr>
      <w:r>
        <w:rPr>
          <w:i/>
          <w:color w:val="54883D"/>
          <w:sz w:val="20"/>
        </w:rPr>
        <w:t>Izvor: DHMZ</w:t>
      </w:r>
    </w:p>
    <w:p w:rsidR="00A07D92" w:rsidRDefault="00495E63">
      <w:pPr>
        <w:rPr>
          <w:u w:val="single"/>
        </w:rPr>
      </w:pPr>
      <w:r>
        <w:rPr>
          <w:u w:val="single"/>
        </w:rPr>
        <w:t>RAZVOJ DOGAĐAJA KOJI JE PRETHODIO VELIKOJ NESREĆI</w:t>
      </w:r>
    </w:p>
    <w:p w:rsidR="00A07D92" w:rsidRDefault="00495E63">
      <w:r>
        <w:t xml:space="preserve">Dva kritična razdoblja povećane pojave požara na otvorenom </w:t>
      </w:r>
      <w:r>
        <w:t>prostoru:</w:t>
      </w:r>
    </w:p>
    <w:p w:rsidR="00A07D92" w:rsidRDefault="00495E63">
      <w:r>
        <w:t xml:space="preserve">- proljetno – mjeseci veljača, ožujak i travanj (osobito praćeno sušom i vjetrom, dok nije počeo proces ozelenjivanja vegetacije) kada nastaje povećan broj požara. Povećani broj požara osobito je izražen poradi spaljivanja korova i ostalog </w:t>
      </w:r>
      <w:proofErr w:type="spellStart"/>
      <w:r>
        <w:t>biootp</w:t>
      </w:r>
      <w:r>
        <w:t>ada</w:t>
      </w:r>
      <w:proofErr w:type="spellEnd"/>
      <w:r>
        <w:t xml:space="preserve"> zaostalog nakon čišćenja poljoprivrednih i šumskih površina.</w:t>
      </w:r>
    </w:p>
    <w:p w:rsidR="00A07D92" w:rsidRDefault="00495E63">
      <w:r>
        <w:lastRenderedPageBreak/>
        <w:t xml:space="preserve">- ljetno – mjesec srpanj, kolovoz, rujan, također nastaje povećan broj požara. Žestina takvih požara osobito je pojačana ukoliko se poklopi i sušno razdoblje i ostalih ekstremni meteorološki </w:t>
      </w:r>
      <w:r>
        <w:t>uvjeti (jak vjetar, visoka temperatura i suhoća zraka, udari groma).</w:t>
      </w:r>
    </w:p>
    <w:p w:rsidR="00A07D92" w:rsidRDefault="00495E63">
      <w:pPr>
        <w:rPr>
          <w:u w:val="single"/>
        </w:rPr>
      </w:pPr>
      <w:r>
        <w:rPr>
          <w:u w:val="single"/>
        </w:rPr>
        <w:t>OKIDAČ KOJI JE UZROKOVAO VELIKU NESREĆU</w:t>
      </w:r>
    </w:p>
    <w:p w:rsidR="00A07D92" w:rsidRDefault="00495E63">
      <w:r>
        <w:t xml:space="preserve">Statistički podaci Ministarstva unutarnjih poslova u pogledu požara raslinja – nastanak požara raslinja uglavnom povezan s ljudskom djelatnošću. </w:t>
      </w:r>
    </w:p>
    <w:p w:rsidR="00A07D92" w:rsidRDefault="00495E63">
      <w:r>
        <w:t>Uzroci požara na otvorenim prostorima:</w:t>
      </w:r>
    </w:p>
    <w:p w:rsidR="00A07D92" w:rsidRDefault="00495E63">
      <w:pPr>
        <w:pStyle w:val="Odlomakpopisa"/>
        <w:numPr>
          <w:ilvl w:val="0"/>
          <w:numId w:val="20"/>
        </w:numPr>
        <w:spacing w:line="276" w:lineRule="auto"/>
        <w:rPr>
          <w:sz w:val="22"/>
        </w:rPr>
      </w:pPr>
      <w:r>
        <w:rPr>
          <w:sz w:val="22"/>
        </w:rPr>
        <w:t>Spaljivanje otpadaka ili raslinja na poljoprivrednim površinama,</w:t>
      </w:r>
    </w:p>
    <w:p w:rsidR="00A07D92" w:rsidRDefault="00495E63">
      <w:pPr>
        <w:pStyle w:val="Odlomakpopisa"/>
        <w:numPr>
          <w:ilvl w:val="0"/>
          <w:numId w:val="20"/>
        </w:numPr>
        <w:spacing w:line="276" w:lineRule="auto"/>
        <w:rPr>
          <w:sz w:val="22"/>
        </w:rPr>
      </w:pPr>
      <w:r>
        <w:rPr>
          <w:sz w:val="22"/>
        </w:rPr>
        <w:t>Kvarovi na električnim instalacijama ili dalekovodima,</w:t>
      </w:r>
    </w:p>
    <w:p w:rsidR="00A07D92" w:rsidRDefault="00495E63">
      <w:pPr>
        <w:pStyle w:val="Odlomakpopisa"/>
        <w:numPr>
          <w:ilvl w:val="0"/>
          <w:numId w:val="20"/>
        </w:numPr>
        <w:spacing w:line="276" w:lineRule="auto"/>
        <w:rPr>
          <w:sz w:val="22"/>
        </w:rPr>
      </w:pPr>
      <w:r>
        <w:rPr>
          <w:sz w:val="22"/>
        </w:rPr>
        <w:t>Atmosfersko pražnjenje,</w:t>
      </w:r>
    </w:p>
    <w:p w:rsidR="00A07D92" w:rsidRDefault="00495E63">
      <w:pPr>
        <w:pStyle w:val="Odlomakpopisa"/>
        <w:numPr>
          <w:ilvl w:val="0"/>
          <w:numId w:val="20"/>
        </w:numPr>
        <w:spacing w:line="276" w:lineRule="auto"/>
        <w:rPr>
          <w:sz w:val="22"/>
        </w:rPr>
      </w:pPr>
      <w:r>
        <w:rPr>
          <w:sz w:val="22"/>
        </w:rPr>
        <w:t>Nepažnja,</w:t>
      </w:r>
    </w:p>
    <w:p w:rsidR="00A07D92" w:rsidRDefault="00495E63">
      <w:pPr>
        <w:pStyle w:val="Odlomakpopisa"/>
        <w:numPr>
          <w:ilvl w:val="0"/>
          <w:numId w:val="20"/>
        </w:numPr>
        <w:spacing w:line="276" w:lineRule="auto"/>
        <w:rPr>
          <w:sz w:val="22"/>
        </w:rPr>
      </w:pPr>
      <w:r>
        <w:rPr>
          <w:sz w:val="22"/>
        </w:rPr>
        <w:t>Namjerna paljevina,</w:t>
      </w:r>
    </w:p>
    <w:p w:rsidR="00A07D92" w:rsidRDefault="00495E63">
      <w:pPr>
        <w:pStyle w:val="Odlomakpopisa"/>
        <w:numPr>
          <w:ilvl w:val="0"/>
          <w:numId w:val="20"/>
        </w:numPr>
        <w:spacing w:line="276" w:lineRule="auto"/>
        <w:rPr>
          <w:sz w:val="22"/>
        </w:rPr>
      </w:pPr>
      <w:r>
        <w:rPr>
          <w:sz w:val="22"/>
        </w:rPr>
        <w:t>Samozapaljenje uslijed odlaganja otpadnog s</w:t>
      </w:r>
      <w:r>
        <w:rPr>
          <w:sz w:val="22"/>
        </w:rPr>
        <w:t>takla na tlu, što može za sunčanih i suhih dana uzrokovati požar,</w:t>
      </w:r>
    </w:p>
    <w:p w:rsidR="00A07D92" w:rsidRDefault="00495E63">
      <w:pPr>
        <w:pStyle w:val="Odlomakpopisa"/>
        <w:numPr>
          <w:ilvl w:val="0"/>
          <w:numId w:val="20"/>
        </w:numPr>
        <w:spacing w:line="276" w:lineRule="auto"/>
        <w:rPr>
          <w:sz w:val="22"/>
        </w:rPr>
      </w:pPr>
      <w:r>
        <w:rPr>
          <w:sz w:val="22"/>
        </w:rPr>
        <w:t>Prijenos požara sa zapaljenih vozila ili zapaljenih kontejnera za odlaganje otpada.</w:t>
      </w:r>
    </w:p>
    <w:p w:rsidR="00A07D92" w:rsidRDefault="00A07D92">
      <w:pPr>
        <w:rPr>
          <w:szCs w:val="22"/>
        </w:rPr>
      </w:pPr>
    </w:p>
    <w:p w:rsidR="00A07D92" w:rsidRDefault="00495E63">
      <w:pPr>
        <w:keepNext/>
        <w:keepLines/>
        <w:spacing w:before="40"/>
        <w:outlineLvl w:val="2"/>
        <w:rPr>
          <w:rFonts w:cstheme="majorBidi"/>
          <w:color w:val="54883D"/>
          <w:sz w:val="28"/>
          <w:lang w:bidi="en-US"/>
        </w:rPr>
      </w:pPr>
      <w:bookmarkStart w:id="252" w:name="_Toc9596619"/>
      <w:bookmarkStart w:id="253" w:name="_Toc503777227"/>
      <w:bookmarkStart w:id="254" w:name="_Toc498599779"/>
      <w:bookmarkStart w:id="255" w:name="_Toc136522847"/>
      <w:bookmarkStart w:id="256" w:name="_Toc34209570"/>
      <w:r>
        <w:rPr>
          <w:rFonts w:cstheme="majorBidi"/>
          <w:color w:val="54883D"/>
          <w:sz w:val="28"/>
          <w:lang w:bidi="en-US"/>
        </w:rPr>
        <w:t xml:space="preserve">6.4.6 </w:t>
      </w:r>
      <w:bookmarkEnd w:id="252"/>
      <w:bookmarkEnd w:id="253"/>
      <w:bookmarkEnd w:id="254"/>
      <w:r>
        <w:rPr>
          <w:rFonts w:cstheme="majorBidi"/>
          <w:color w:val="54883D"/>
          <w:sz w:val="28"/>
          <w:lang w:bidi="en-US"/>
        </w:rPr>
        <w:t>Događaj s najgorim mogućim posljedicama</w:t>
      </w:r>
      <w:bookmarkEnd w:id="255"/>
      <w:bookmarkEnd w:id="256"/>
    </w:p>
    <w:p w:rsidR="00A07D92" w:rsidRDefault="00495E63">
      <w:pPr>
        <w:spacing w:before="0" w:after="0"/>
      </w:pPr>
      <w:r>
        <w:t>Ekstremni meteorološki uvjeti (jak vjetar, visoka temperatu</w:t>
      </w:r>
      <w:r>
        <w:t>ra zraka, suša, udari groma) pogoduju razvoju više istovremenih požara raslinja (na većoj površini) na priobalju. Gašenje takvih požara zahtijevaju angažiranje značajnog materijalnog, tehničkog i kadrovskog potencijala, ponekad iz više županija pa čak iz c</w:t>
      </w:r>
      <w:r>
        <w:t xml:space="preserve">ijele zemlje. Snage su razvučene na više požara, ali poradi ekstremnih meteoroloških uvjeta nije ih moguće staviti pod nadzor više dana. Budući da požari traju i više dana, vatrogasne snage su iscrpljene, a opožarena površina se povećava, moguće je smrtno </w:t>
      </w:r>
      <w:r>
        <w:t>stradavanje, hrvatskih i/ili stranih državljana. Požari mjestimično mogu ugroziti veći broj ljudi i imovinu (kampovi), te je potrebna evakuacija lokalnog stanovništva, turista i imovine i njihovo zbrinjavanje na sigurna mjesta, ugrožena je kritična infrast</w:t>
      </w:r>
      <w:r>
        <w:t>ruktura, pojavljuju se zastoji u cestovnom, željezničkom, zračnom i pomorskom prometu, poremećaj opskrbe energijom, vodom, namirnicama. Mogući su masovni otkazi turističkih aranžmana. Mjere oporavka vegetacije i opožarenih prostora su dugoročne. Posljedice</w:t>
      </w:r>
      <w:r>
        <w:t xml:space="preserve"> za općekorisne funkcije šuma su dugoročne.</w:t>
      </w:r>
    </w:p>
    <w:p w:rsidR="00A07D92" w:rsidRDefault="00A07D92">
      <w:pPr>
        <w:spacing w:before="0" w:after="0"/>
        <w:rPr>
          <w:i/>
          <w:iCs/>
          <w:color w:val="54883D"/>
          <w:highlight w:val="yellow"/>
          <w:u w:val="single"/>
        </w:rPr>
      </w:pPr>
    </w:p>
    <w:p w:rsidR="00A07D92" w:rsidRDefault="00495E63">
      <w:pPr>
        <w:rPr>
          <w:i/>
          <w:iCs/>
          <w:color w:val="54883D"/>
          <w:u w:val="single"/>
        </w:rPr>
      </w:pPr>
      <w:r>
        <w:rPr>
          <w:i/>
          <w:iCs/>
          <w:color w:val="54883D"/>
          <w:u w:val="single"/>
        </w:rPr>
        <w:t>Posljedice</w:t>
      </w:r>
    </w:p>
    <w:p w:rsidR="00A07D92" w:rsidRDefault="00495E63">
      <w:pPr>
        <w:rPr>
          <w:i/>
          <w:color w:val="auto"/>
          <w:u w:val="single"/>
        </w:rPr>
      </w:pPr>
      <w:r>
        <w:rPr>
          <w:i/>
          <w:color w:val="auto"/>
          <w:u w:val="single"/>
        </w:rPr>
        <w:t>Život i zdravlje ljudi</w:t>
      </w:r>
    </w:p>
    <w:p w:rsidR="00A07D92" w:rsidRDefault="00495E63">
      <w:pPr>
        <w:spacing w:before="0" w:after="0"/>
      </w:pPr>
      <w:r>
        <w:t>U slučaju požara otvornog tipa može doći do doći do evakuacije stanovništva i turista ukoliko se požar približi stambenim objektima odnosno turističkim naseljima.</w:t>
      </w:r>
    </w:p>
    <w:p w:rsidR="00A07D92" w:rsidRDefault="00A07D92">
      <w:pPr>
        <w:spacing w:before="0" w:after="0"/>
        <w:jc w:val="center"/>
        <w:rPr>
          <w:rFonts w:eastAsia="Calibri"/>
          <w:bCs/>
          <w:color w:val="54883D"/>
          <w:sz w:val="20"/>
          <w:szCs w:val="18"/>
        </w:rPr>
      </w:pPr>
    </w:p>
    <w:p w:rsidR="00A07D92" w:rsidRDefault="00495E63">
      <w:pPr>
        <w:spacing w:before="0"/>
        <w:jc w:val="center"/>
        <w:rPr>
          <w:rFonts w:eastAsia="Calibri"/>
          <w:b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w:instrText>
      </w:r>
      <w:r>
        <w:rPr>
          <w:rFonts w:eastAsia="Calibri"/>
          <w:bCs/>
          <w:sz w:val="20"/>
          <w:szCs w:val="18"/>
        </w:rPr>
        <w:instrText>abela \* ARABIC</w:instrText>
      </w:r>
      <w:r>
        <w:rPr>
          <w:rFonts w:eastAsia="Calibri"/>
          <w:bCs/>
          <w:sz w:val="20"/>
          <w:szCs w:val="18"/>
        </w:rPr>
        <w:fldChar w:fldCharType="separate"/>
      </w:r>
      <w:r>
        <w:rPr>
          <w:rFonts w:eastAsia="Calibri"/>
          <w:bCs/>
          <w:sz w:val="20"/>
          <w:szCs w:val="18"/>
        </w:rPr>
        <w:t>48</w:t>
      </w:r>
      <w:r>
        <w:rPr>
          <w:rFonts w:eastAsia="Calibri"/>
          <w:bCs/>
          <w:sz w:val="20"/>
          <w:szCs w:val="18"/>
        </w:rPr>
        <w:fldChar w:fldCharType="end"/>
      </w:r>
      <w:r>
        <w:rPr>
          <w:rFonts w:eastAsia="Calibri"/>
          <w:bCs/>
          <w:color w:val="54883D"/>
          <w:sz w:val="20"/>
          <w:szCs w:val="18"/>
        </w:rPr>
        <w:t xml:space="preserve">.  </w:t>
      </w:r>
      <w:r>
        <w:rPr>
          <w:bCs/>
          <w:color w:val="54883D"/>
          <w:sz w:val="20"/>
          <w:szCs w:val="18"/>
        </w:rPr>
        <w:t>Vrijednost kriterija za posljedice na život i zdravlje ljudi po kategorijama</w:t>
      </w:r>
    </w:p>
    <w:tbl>
      <w:tblPr>
        <w:tblStyle w:val="ivopisnatablicareetke6-isticanje312"/>
        <w:tblW w:w="8332" w:type="dxa"/>
        <w:jc w:val="center"/>
        <w:tblLook w:val="04A0" w:firstRow="1" w:lastRow="0" w:firstColumn="1" w:lastColumn="0" w:noHBand="0" w:noVBand="1"/>
      </w:tblPr>
      <w:tblGrid>
        <w:gridCol w:w="1528"/>
        <w:gridCol w:w="2566"/>
        <w:gridCol w:w="2252"/>
        <w:gridCol w:w="1986"/>
      </w:tblGrid>
      <w:tr w:rsidR="00A07D92" w:rsidTr="00A07D92">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BROJ UGROŽENIH OSOBA %</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&lt; 0,001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trHeight w:val="243"/>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0,001 - 0,0046</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0,0047 - 0,011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lastRenderedPageBreak/>
              <w:t>4.</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 xml:space="preserve">0,012 - </w:t>
            </w:r>
            <w:r>
              <w:rPr>
                <w:color w:val="000000"/>
                <w:sz w:val="20"/>
              </w:rPr>
              <w:t>0,035</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0,036 &gt;</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rsidR="00A07D92" w:rsidRDefault="00A07D92">
      <w:pPr>
        <w:rPr>
          <w:i/>
          <w:color w:val="auto"/>
          <w:u w:val="single"/>
        </w:rPr>
      </w:pPr>
    </w:p>
    <w:p w:rsidR="00A07D92" w:rsidRDefault="00495E63">
      <w:pPr>
        <w:rPr>
          <w:i/>
          <w:color w:val="auto"/>
          <w:u w:val="single"/>
        </w:rPr>
      </w:pPr>
      <w:r>
        <w:rPr>
          <w:i/>
          <w:color w:val="auto"/>
          <w:u w:val="single"/>
        </w:rPr>
        <w:t>Gospodarstvo</w:t>
      </w:r>
    </w:p>
    <w:p w:rsidR="00A07D92" w:rsidRDefault="00495E63">
      <w:r>
        <w:t xml:space="preserve">U slučajevima požara otvornog prostora nastati će direktne štete i to štete na pokretnoj i nepokretnoj imovini. Također nastat će trošak sanacije, oporavka i asanacije. </w:t>
      </w:r>
    </w:p>
    <w:p w:rsidR="00A07D92" w:rsidRDefault="00495E63">
      <w:pPr>
        <w:spacing w:before="0"/>
        <w:jc w:val="center"/>
        <w:rPr>
          <w:rFonts w:eastAsia="Calibri"/>
          <w:b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49</w:t>
      </w:r>
      <w:r>
        <w:rPr>
          <w:rFonts w:eastAsia="Calibri"/>
          <w:bCs/>
          <w:sz w:val="20"/>
          <w:szCs w:val="18"/>
        </w:rPr>
        <w:fldChar w:fldCharType="end"/>
      </w:r>
      <w:r>
        <w:rPr>
          <w:rFonts w:eastAsia="Calibri"/>
          <w:bCs/>
          <w:color w:val="54883D"/>
          <w:sz w:val="20"/>
          <w:szCs w:val="18"/>
        </w:rPr>
        <w:t xml:space="preserve">.  </w:t>
      </w:r>
      <w:r>
        <w:rPr>
          <w:bCs/>
          <w:color w:val="54883D"/>
          <w:sz w:val="20"/>
          <w:szCs w:val="18"/>
        </w:rPr>
        <w:t>Vrijednost kriterija za posljedice na gospodarstvo po kategorijama</w:t>
      </w:r>
    </w:p>
    <w:tbl>
      <w:tblPr>
        <w:tblStyle w:val="ivopisnatablicareetke6-isticanje323"/>
        <w:tblW w:w="8439" w:type="dxa"/>
        <w:jc w:val="center"/>
        <w:tblLook w:val="04A0" w:firstRow="1" w:lastRow="0" w:firstColumn="1" w:lastColumn="0" w:noHBand="0" w:noVBand="1"/>
      </w:tblPr>
      <w:tblGrid>
        <w:gridCol w:w="1528"/>
        <w:gridCol w:w="2295"/>
        <w:gridCol w:w="3117"/>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 xml:space="preserve">2.757.798,30 –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rPr>
          <w:color w:val="auto"/>
          <w:u w:val="single"/>
        </w:rPr>
      </w:pPr>
    </w:p>
    <w:p w:rsidR="00A07D92" w:rsidRDefault="00495E63">
      <w:pPr>
        <w:rPr>
          <w:color w:val="auto"/>
          <w:u w:val="single"/>
        </w:rPr>
      </w:pPr>
      <w:r>
        <w:rPr>
          <w:color w:val="auto"/>
          <w:u w:val="single"/>
        </w:rPr>
        <w:t>Društvena stabilnost i politika</w:t>
      </w:r>
    </w:p>
    <w:p w:rsidR="00A07D92" w:rsidRDefault="00495E63">
      <w:pPr>
        <w:rPr>
          <w:color w:val="auto"/>
        </w:rPr>
      </w:pPr>
      <w:r>
        <w:rPr>
          <w:color w:val="auto"/>
        </w:rPr>
        <w:t>Procjena se temelji na procjeni štete koju može uzrokovati požar otvorenog tipa u odnosu na Proračun Grada Malog Lošinja</w:t>
      </w:r>
    </w:p>
    <w:p w:rsidR="00A07D92" w:rsidRDefault="00A07D92">
      <w:pPr>
        <w:spacing w:after="120"/>
        <w:rPr>
          <w:b/>
          <w:color w:val="auto"/>
          <w:szCs w:val="20"/>
          <w:u w:val="single"/>
        </w:rPr>
      </w:pPr>
    </w:p>
    <w:p w:rsidR="00A07D92" w:rsidRDefault="00495E63">
      <w:pPr>
        <w:spacing w:after="120"/>
        <w:rPr>
          <w:b/>
          <w:color w:val="auto"/>
          <w:szCs w:val="20"/>
          <w:u w:val="single"/>
        </w:rPr>
      </w:pPr>
      <w:r>
        <w:rPr>
          <w:b/>
          <w:color w:val="auto"/>
          <w:szCs w:val="20"/>
          <w:u w:val="single"/>
        </w:rPr>
        <w:t xml:space="preserve">Posljedice na kritičnu infrastrukturu: </w:t>
      </w:r>
    </w:p>
    <w:p w:rsidR="00A07D92" w:rsidRDefault="00495E63">
      <w:pPr>
        <w:spacing w:after="0"/>
        <w:rPr>
          <w:color w:val="54883D"/>
          <w:szCs w:val="20"/>
        </w:rPr>
      </w:pPr>
      <w:r>
        <w:rPr>
          <w:i/>
          <w:iCs/>
          <w:color w:val="54883D"/>
        </w:rPr>
        <w:t>Energetika</w:t>
      </w:r>
    </w:p>
    <w:p w:rsidR="00A07D92" w:rsidRDefault="00495E63">
      <w:pPr>
        <w:spacing w:after="0"/>
        <w:rPr>
          <w:color w:val="auto"/>
        </w:rPr>
      </w:pPr>
      <w:r>
        <w:rPr>
          <w:color w:val="000000"/>
          <w:szCs w:val="20"/>
        </w:rPr>
        <w:t xml:space="preserve">Može doći do </w:t>
      </w:r>
      <w:r>
        <w:rPr>
          <w:color w:val="auto"/>
        </w:rPr>
        <w:t>oštećenja dijelova sustava (trafostanica, stupova el. mreže) i do kratkotrajnog prekida napajanja električnom energijom što može dovesti do otežanog redovitog funkcioniranja tvrtki i domaćinstava te prometa.</w:t>
      </w:r>
    </w:p>
    <w:p w:rsidR="00A07D92" w:rsidRDefault="00495E63">
      <w:pPr>
        <w:spacing w:after="0"/>
        <w:rPr>
          <w:i/>
          <w:iCs/>
          <w:color w:val="54883D"/>
        </w:rPr>
      </w:pPr>
      <w:r>
        <w:rPr>
          <w:i/>
          <w:iCs/>
          <w:color w:val="54883D"/>
        </w:rPr>
        <w:t>Promet</w:t>
      </w:r>
    </w:p>
    <w:p w:rsidR="00A07D92" w:rsidRDefault="00495E63">
      <w:pPr>
        <w:spacing w:before="120" w:after="120"/>
        <w:ind w:right="74"/>
        <w:rPr>
          <w:color w:val="auto"/>
        </w:rPr>
      </w:pPr>
      <w:r>
        <w:rPr>
          <w:color w:val="auto"/>
        </w:rPr>
        <w:t xml:space="preserve">Uslijed požara može doći do </w:t>
      </w:r>
      <w:r>
        <w:rPr>
          <w:color w:val="auto"/>
        </w:rPr>
        <w:t>privremene obustave prometa na određenoj dionici prometnice, zbog velike količine dima na prometnici i/ili kada se gašenje požara vrši direktno s prometnice.</w:t>
      </w:r>
    </w:p>
    <w:p w:rsidR="00A07D92" w:rsidRDefault="00495E63">
      <w:pPr>
        <w:spacing w:before="120" w:after="120"/>
        <w:ind w:right="74"/>
        <w:rPr>
          <w:i/>
          <w:iCs/>
          <w:color w:val="54883D"/>
        </w:rPr>
      </w:pPr>
      <w:r>
        <w:rPr>
          <w:i/>
          <w:iCs/>
          <w:color w:val="54883D"/>
        </w:rPr>
        <w:t>Nacionalni spomenici i vrijednosti</w:t>
      </w:r>
    </w:p>
    <w:p w:rsidR="00A07D92" w:rsidRDefault="00495E63">
      <w:pPr>
        <w:spacing w:before="120" w:after="120"/>
        <w:ind w:right="74"/>
        <w:rPr>
          <w:rFonts w:eastAsiaTheme="minorHAnsi"/>
        </w:rPr>
      </w:pPr>
      <w:r>
        <w:rPr>
          <w:rFonts w:eastAsiaTheme="minorHAnsi"/>
        </w:rPr>
        <w:t>U slučaju pojave požara otvorenog prostora na pojedini objektim</w:t>
      </w:r>
      <w:r>
        <w:rPr>
          <w:rFonts w:eastAsiaTheme="minorHAnsi"/>
        </w:rPr>
        <w:t>a kao što su sakralni objekti, kurije, povijesne građevine i tradicionalne kuće može doći do oštećenja.</w:t>
      </w:r>
    </w:p>
    <w:p w:rsidR="00A07D92" w:rsidRDefault="00495E63">
      <w:pPr>
        <w:spacing w:before="120" w:after="120"/>
        <w:ind w:right="74"/>
        <w:rPr>
          <w:i/>
          <w:iCs/>
          <w:color w:val="54883D"/>
        </w:rPr>
      </w:pPr>
      <w:r>
        <w:rPr>
          <w:i/>
          <w:iCs/>
          <w:color w:val="54883D"/>
        </w:rPr>
        <w:t>Javne službe</w:t>
      </w:r>
    </w:p>
    <w:p w:rsidR="00A07D92" w:rsidRDefault="00495E63">
      <w:pPr>
        <w:rPr>
          <w:szCs w:val="20"/>
        </w:rPr>
      </w:pPr>
      <w:r>
        <w:rPr>
          <w:szCs w:val="20"/>
        </w:rPr>
        <w:t xml:space="preserve">Oštećenje objekata navedenih snaga uzrokovalo bi nemogućnost pravovremene reakcije snaga civilne zaštite koje ne bi bile u mogućnosti u </w:t>
      </w:r>
      <w:r>
        <w:rPr>
          <w:szCs w:val="20"/>
        </w:rPr>
        <w:t>potrebnoj mjeri izvršavati svoje redovite zadaće (pružanje zdravstvene zaštite, osiguranje javnog reda i mira, gašenje požara). Smanjene mogućnosti intervencija zbog uništenja dijela materijalno - tehničkih sredstava.</w:t>
      </w:r>
    </w:p>
    <w:p w:rsidR="00A07D92" w:rsidRDefault="00A07D92">
      <w:pPr>
        <w:spacing w:before="0"/>
        <w:jc w:val="center"/>
        <w:rPr>
          <w:rFonts w:eastAsia="Calibri"/>
          <w:bCs/>
          <w:color w:val="54883D"/>
          <w:sz w:val="20"/>
          <w:szCs w:val="18"/>
        </w:rPr>
      </w:pPr>
    </w:p>
    <w:p w:rsidR="00A07D92" w:rsidRDefault="00495E63">
      <w:pPr>
        <w:spacing w:before="0"/>
        <w:jc w:val="center"/>
        <w:rPr>
          <w:rFonts w:eastAsia="Calibri"/>
          <w:b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50</w:t>
      </w:r>
      <w:r>
        <w:rPr>
          <w:rFonts w:eastAsia="Calibri"/>
          <w:bCs/>
          <w:sz w:val="20"/>
          <w:szCs w:val="18"/>
        </w:rPr>
        <w:fldChar w:fldCharType="end"/>
      </w:r>
      <w:r>
        <w:rPr>
          <w:rFonts w:eastAsia="Calibri"/>
          <w:bCs/>
          <w:color w:val="54883D"/>
          <w:sz w:val="20"/>
          <w:szCs w:val="18"/>
        </w:rPr>
        <w:t xml:space="preserve">.  </w:t>
      </w:r>
      <w:r>
        <w:rPr>
          <w:bCs/>
          <w:color w:val="54883D"/>
          <w:sz w:val="20"/>
          <w:szCs w:val="18"/>
        </w:rPr>
        <w:t>V</w:t>
      </w:r>
      <w:r>
        <w:rPr>
          <w:bCs/>
          <w:color w:val="54883D"/>
          <w:sz w:val="20"/>
          <w:szCs w:val="18"/>
        </w:rPr>
        <w:t>rijednost kriterija za posljedice na društvenu stabilnost i politiku - oštećena kritična infrastruktura - požar</w:t>
      </w:r>
    </w:p>
    <w:tbl>
      <w:tblPr>
        <w:tblStyle w:val="ivopisnatablicareetke6-isticanje323"/>
        <w:tblW w:w="8439" w:type="dxa"/>
        <w:jc w:val="center"/>
        <w:tblLook w:val="04A0" w:firstRow="1" w:lastRow="0" w:firstColumn="1" w:lastColumn="0" w:noHBand="0" w:noVBand="1"/>
      </w:tblPr>
      <w:tblGrid>
        <w:gridCol w:w="1528"/>
        <w:gridCol w:w="2295"/>
        <w:gridCol w:w="3117"/>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lastRenderedPageBreak/>
              <w:t>KATEGORIJA</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 xml:space="preserve">919.266,10 – </w:t>
            </w:r>
            <w:r>
              <w:rPr>
                <w:color w:val="auto"/>
                <w:sz w:val="20"/>
                <w:szCs w:val="20"/>
              </w:rPr>
              <w:t>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trHeight w:val="64"/>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spacing w:before="0" w:after="0"/>
        <w:rPr>
          <w:rFonts w:eastAsiaTheme="minorHAnsi"/>
          <w:b/>
          <w:color w:val="auto"/>
          <w:szCs w:val="22"/>
          <w:u w:val="single"/>
        </w:rPr>
      </w:pPr>
    </w:p>
    <w:p w:rsidR="00A07D92" w:rsidRDefault="00495E63">
      <w:pPr>
        <w:rPr>
          <w:rFonts w:eastAsiaTheme="minorHAnsi"/>
          <w:b/>
          <w:color w:val="auto"/>
          <w:szCs w:val="22"/>
          <w:u w:val="single"/>
        </w:rPr>
      </w:pPr>
      <w:r>
        <w:rPr>
          <w:rFonts w:eastAsiaTheme="minorHAnsi"/>
          <w:b/>
          <w:color w:val="auto"/>
          <w:szCs w:val="22"/>
          <w:u w:val="single"/>
        </w:rPr>
        <w:t>Posljedice po građevine javnog i društvenog značaja:</w:t>
      </w:r>
    </w:p>
    <w:p w:rsidR="00A07D92" w:rsidRDefault="00495E63">
      <w:pPr>
        <w:rPr>
          <w:rFonts w:eastAsiaTheme="minorHAnsi"/>
        </w:rPr>
      </w:pPr>
      <w:r>
        <w:rPr>
          <w:rFonts w:eastAsiaTheme="minorHAnsi"/>
        </w:rPr>
        <w:t xml:space="preserve">Ukoliko dođe do oštećenja građevina od javnog društvenog značaja, uslijed požara otvorenog prostora, </w:t>
      </w:r>
      <w:r>
        <w:rPr>
          <w:rFonts w:eastAsiaTheme="minorHAnsi"/>
        </w:rPr>
        <w:t>procjenjuje se da će posljedice biti neznatne.</w:t>
      </w:r>
    </w:p>
    <w:p w:rsidR="00A07D92" w:rsidRDefault="00495E63">
      <w:pPr>
        <w:spacing w:before="0"/>
        <w:jc w:val="center"/>
        <w:rPr>
          <w:rFonts w:eastAsia="Calibri"/>
          <w:b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51</w:t>
      </w:r>
      <w:r>
        <w:rPr>
          <w:rFonts w:eastAsia="Calibri"/>
          <w:bCs/>
          <w:sz w:val="20"/>
          <w:szCs w:val="18"/>
        </w:rPr>
        <w:fldChar w:fldCharType="end"/>
      </w:r>
      <w:r>
        <w:rPr>
          <w:rFonts w:eastAsia="Calibri"/>
          <w:bCs/>
          <w:color w:val="54883D"/>
          <w:sz w:val="20"/>
          <w:szCs w:val="18"/>
        </w:rPr>
        <w:t xml:space="preserve">.  </w:t>
      </w:r>
      <w:r>
        <w:rPr>
          <w:bCs/>
          <w:color w:val="54883D"/>
          <w:sz w:val="20"/>
          <w:szCs w:val="18"/>
        </w:rPr>
        <w:t>Vrijednost kriterija za društvenu stabilnost i politiku – štete/gubitci na ustanovama/građevinama javnog društvenog značaja - požar</w:t>
      </w:r>
    </w:p>
    <w:tbl>
      <w:tblPr>
        <w:tblStyle w:val="ivopisnatablicareetke6-isticanje323"/>
        <w:tblW w:w="8439" w:type="dxa"/>
        <w:jc w:val="center"/>
        <w:tblLook w:val="04A0" w:firstRow="1" w:lastRow="0" w:firstColumn="1" w:lastColumn="0" w:noHBand="0" w:noVBand="1"/>
      </w:tblPr>
      <w:tblGrid>
        <w:gridCol w:w="1528"/>
        <w:gridCol w:w="2295"/>
        <w:gridCol w:w="3117"/>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11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keepNext/>
        <w:tabs>
          <w:tab w:val="left" w:pos="2608"/>
        </w:tabs>
        <w:spacing w:before="120"/>
        <w:jc w:val="center"/>
        <w:rPr>
          <w:bCs/>
          <w:color w:val="54883D"/>
          <w:sz w:val="20"/>
          <w:szCs w:val="18"/>
        </w:rPr>
      </w:pPr>
    </w:p>
    <w:p w:rsidR="00A07D92" w:rsidRDefault="00495E63">
      <w:pPr>
        <w:keepNext/>
        <w:tabs>
          <w:tab w:val="left" w:pos="2608"/>
        </w:tabs>
        <w:spacing w:before="120"/>
        <w:jc w:val="center"/>
        <w:rPr>
          <w:b/>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52</w:t>
      </w:r>
      <w:r>
        <w:rPr>
          <w:bCs/>
          <w:sz w:val="20"/>
          <w:szCs w:val="18"/>
        </w:rPr>
        <w:fldChar w:fldCharType="end"/>
      </w:r>
      <w:r>
        <w:rPr>
          <w:bCs/>
          <w:color w:val="54883D"/>
          <w:sz w:val="20"/>
          <w:szCs w:val="18"/>
          <w:lang w:bidi="en-US"/>
        </w:rPr>
        <w:t xml:space="preserve">. </w:t>
      </w:r>
      <w:r>
        <w:rPr>
          <w:bCs/>
          <w:color w:val="54883D"/>
          <w:sz w:val="20"/>
          <w:szCs w:val="18"/>
        </w:rPr>
        <w:t xml:space="preserve">Vrijednost kriterija </w:t>
      </w:r>
      <w:r>
        <w:rPr>
          <w:bCs/>
          <w:color w:val="54883D"/>
          <w:sz w:val="20"/>
          <w:szCs w:val="18"/>
        </w:rPr>
        <w:t>za društvenu stabilnost i politiku – zbirno - požar</w:t>
      </w:r>
    </w:p>
    <w:tbl>
      <w:tblPr>
        <w:tblStyle w:val="ivopisnatablicareetke6-isticanje311"/>
        <w:tblW w:w="7923" w:type="dxa"/>
        <w:jc w:val="center"/>
        <w:tblLook w:val="04A0" w:firstRow="1" w:lastRow="0" w:firstColumn="1" w:lastColumn="0" w:noHBand="0" w:noVBand="1"/>
      </w:tblPr>
      <w:tblGrid>
        <w:gridCol w:w="1557"/>
        <w:gridCol w:w="2108"/>
        <w:gridCol w:w="2834"/>
        <w:gridCol w:w="1424"/>
      </w:tblGrid>
      <w:tr w:rsidR="00A07D92" w:rsidTr="00A07D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rPr>
                <w:sz w:val="20"/>
              </w:rPr>
            </w:pPr>
            <w:r>
              <w:rPr>
                <w:color w:val="76923C"/>
                <w:sz w:val="20"/>
              </w:rPr>
              <w:t>KATEGORIJA</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sz w:val="20"/>
              </w:rPr>
              <w:t>KRITIČNA INFRASTRUKTURA</w:t>
            </w: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sz w:val="20"/>
              </w:rPr>
              <w:t>USTANOVE/GRAĐEVINE JAVNOG DRUŠTVENOG ZNAČAJA</w:t>
            </w: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sz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sz w:val="20"/>
              </w:rPr>
              <w:t>1.</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r>
              <w:rPr>
                <w:b/>
                <w:color w:val="76923C"/>
                <w:sz w:val="20"/>
              </w:rPr>
              <w:t>x</w:t>
            </w: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sz w:val="20"/>
              </w:rPr>
              <w:t>2.</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sz w:val="20"/>
              </w:rPr>
              <w:t>x</w:t>
            </w: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sz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sz w:val="20"/>
              </w:rPr>
              <w:t>3.</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sz w:val="20"/>
              </w:rPr>
              <w:t>4.</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sz w:val="20"/>
              </w:rPr>
              <w:t>5.</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sz w:val="20"/>
              </w:rPr>
            </w:pPr>
          </w:p>
        </w:tc>
      </w:tr>
    </w:tbl>
    <w:p w:rsidR="00A07D92" w:rsidRDefault="00A07D92">
      <w:pPr>
        <w:rPr>
          <w:i/>
          <w:iCs/>
          <w:color w:val="54883D"/>
          <w:u w:val="single"/>
        </w:rPr>
      </w:pPr>
    </w:p>
    <w:p w:rsidR="00A07D92" w:rsidRDefault="00495E63">
      <w:pPr>
        <w:rPr>
          <w:i/>
          <w:iCs/>
          <w:color w:val="54883D"/>
          <w:u w:val="single"/>
        </w:rPr>
      </w:pPr>
      <w:r>
        <w:rPr>
          <w:i/>
          <w:iCs/>
          <w:color w:val="54883D"/>
          <w:u w:val="single"/>
        </w:rPr>
        <w:t>Vjerojatnost događaja</w:t>
      </w:r>
    </w:p>
    <w:p w:rsidR="00A07D92" w:rsidRDefault="00495E63">
      <w:pPr>
        <w:rPr>
          <w:lang w:bidi="en-US"/>
        </w:rPr>
      </w:pPr>
      <w:r>
        <w:rPr>
          <w:lang w:bidi="en-US"/>
        </w:rPr>
        <w:t xml:space="preserve">Razmatrajući podatke, vjerojatnost je iskazana na </w:t>
      </w:r>
      <w:r>
        <w:rPr>
          <w:lang w:bidi="en-US"/>
        </w:rPr>
        <w:t>osnovi analize statističkih podataka.</w:t>
      </w:r>
    </w:p>
    <w:p w:rsidR="00A07D92" w:rsidRDefault="00495E63">
      <w:pPr>
        <w:keepNext/>
        <w:spacing w:before="120"/>
        <w:jc w:val="center"/>
        <w:rPr>
          <w:b/>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53</w:t>
      </w:r>
      <w:r>
        <w:rPr>
          <w:bCs/>
          <w:sz w:val="20"/>
          <w:szCs w:val="18"/>
        </w:rPr>
        <w:fldChar w:fldCharType="end"/>
      </w:r>
      <w:r>
        <w:rPr>
          <w:bCs/>
          <w:i/>
          <w:color w:val="54883D"/>
          <w:sz w:val="20"/>
          <w:szCs w:val="18"/>
          <w:lang w:bidi="en-US"/>
        </w:rPr>
        <w:t xml:space="preserve">. </w:t>
      </w:r>
      <w:r>
        <w:rPr>
          <w:bCs/>
          <w:color w:val="54883D"/>
          <w:sz w:val="20"/>
          <w:szCs w:val="18"/>
        </w:rPr>
        <w:t>Vjerojatnost/frekvencija</w:t>
      </w:r>
    </w:p>
    <w:tbl>
      <w:tblPr>
        <w:tblStyle w:val="ivopisnatablicareetke6-isticanje311"/>
        <w:tblW w:w="9067" w:type="dxa"/>
        <w:jc w:val="center"/>
        <w:tblLook w:val="04A0" w:firstRow="1" w:lastRow="0" w:firstColumn="1" w:lastColumn="0" w:noHBand="0" w:noVBand="1"/>
      </w:tblPr>
      <w:tblGrid>
        <w:gridCol w:w="1554"/>
        <w:gridCol w:w="1701"/>
        <w:gridCol w:w="1841"/>
        <w:gridCol w:w="2552"/>
        <w:gridCol w:w="1419"/>
      </w:tblGrid>
      <w:tr w:rsidR="00A07D92" w:rsidTr="00A07D92">
        <w:trPr>
          <w:cnfStyle w:val="100000000000" w:firstRow="1" w:lastRow="0" w:firstColumn="0" w:lastColumn="0" w:oddVBand="0" w:evenVBand="0" w:oddHBand="0"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4" w:type="dxa"/>
            <w:vMerge w:val="restart"/>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sz w:val="20"/>
                <w:szCs w:val="20"/>
              </w:rPr>
              <w:t>KATEGORIJA</w:t>
            </w:r>
          </w:p>
        </w:tc>
        <w:tc>
          <w:tcPr>
            <w:tcW w:w="7513" w:type="dxa"/>
            <w:gridSpan w:val="4"/>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sz w:val="20"/>
                <w:szCs w:val="20"/>
              </w:rPr>
              <w:t>VJEROJATNOST/FREKVENCIJA</w:t>
            </w:r>
          </w:p>
        </w:tc>
      </w:tr>
      <w:tr w:rsidR="00A07D92" w:rsidTr="00A07D92">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1554"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rPr>
                <w:color w:val="76923C"/>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sz w:val="20"/>
                <w:szCs w:val="20"/>
              </w:rPr>
              <w:t>KVALITATIVNO</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sz w:val="20"/>
                <w:szCs w:val="20"/>
              </w:rPr>
              <w:t>VJEROJATNOST</w:t>
            </w:r>
          </w:p>
        </w:tc>
        <w:tc>
          <w:tcPr>
            <w:tcW w:w="25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sz w:val="20"/>
                <w:szCs w:val="20"/>
              </w:rPr>
              <w:t>FREKVENCIJA</w:t>
            </w:r>
          </w:p>
        </w:tc>
        <w:tc>
          <w:tcPr>
            <w:tcW w:w="141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sz w:val="20"/>
                <w:szCs w:val="20"/>
              </w:rPr>
              <w:t>ODABRANO</w:t>
            </w:r>
          </w:p>
        </w:tc>
      </w:tr>
      <w:tr w:rsidR="00A07D92" w:rsidTr="00A07D92">
        <w:trPr>
          <w:trHeight w:val="254"/>
          <w:jc w:val="center"/>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sz w:val="20"/>
                <w:szCs w:val="20"/>
              </w:rPr>
              <w:t>1</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Iznimno 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&lt;1 %</w:t>
            </w:r>
          </w:p>
        </w:tc>
        <w:tc>
          <w:tcPr>
            <w:tcW w:w="25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1 događaj u 100 godina i rjeđe</w:t>
            </w:r>
          </w:p>
        </w:tc>
        <w:tc>
          <w:tcPr>
            <w:tcW w:w="141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76923C"/>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sz w:val="20"/>
                <w:szCs w:val="20"/>
              </w:rPr>
              <w:t>2</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1 – 5 %</w:t>
            </w:r>
          </w:p>
        </w:tc>
        <w:tc>
          <w:tcPr>
            <w:tcW w:w="25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 xml:space="preserve">1 </w:t>
            </w:r>
            <w:r>
              <w:rPr>
                <w:color w:val="76923C"/>
                <w:sz w:val="20"/>
                <w:szCs w:val="20"/>
              </w:rPr>
              <w:t>događaj u 20 do 100 godina</w:t>
            </w:r>
          </w:p>
        </w:tc>
        <w:tc>
          <w:tcPr>
            <w:tcW w:w="141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sz w:val="20"/>
                <w:szCs w:val="20"/>
              </w:rPr>
            </w:pPr>
          </w:p>
        </w:tc>
      </w:tr>
      <w:tr w:rsidR="00A07D92" w:rsidTr="00A07D92">
        <w:trPr>
          <w:trHeight w:val="254"/>
          <w:jc w:val="center"/>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sz w:val="20"/>
                <w:szCs w:val="20"/>
              </w:rPr>
              <w:t>3</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Umjerena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5 – 50 %</w:t>
            </w:r>
          </w:p>
        </w:tc>
        <w:tc>
          <w:tcPr>
            <w:tcW w:w="25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1 događaj u 2 do 20 godina</w:t>
            </w:r>
          </w:p>
        </w:tc>
        <w:tc>
          <w:tcPr>
            <w:tcW w:w="141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sz w:val="20"/>
                <w:szCs w:val="20"/>
              </w:rPr>
              <w:lastRenderedPageBreak/>
              <w:t>4</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51 – 98 %</w:t>
            </w:r>
          </w:p>
        </w:tc>
        <w:tc>
          <w:tcPr>
            <w:tcW w:w="25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1 događaj 1 do 2 godine</w:t>
            </w:r>
          </w:p>
        </w:tc>
        <w:tc>
          <w:tcPr>
            <w:tcW w:w="141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sz w:val="20"/>
                <w:szCs w:val="20"/>
              </w:rPr>
            </w:pPr>
          </w:p>
        </w:tc>
      </w:tr>
      <w:tr w:rsidR="00A07D92" w:rsidTr="00A07D92">
        <w:trPr>
          <w:trHeight w:val="270"/>
          <w:jc w:val="center"/>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sz w:val="20"/>
                <w:szCs w:val="20"/>
              </w:rPr>
              <w:t>5</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Iznimno 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&gt; 98 %</w:t>
            </w:r>
          </w:p>
        </w:tc>
        <w:tc>
          <w:tcPr>
            <w:tcW w:w="25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1 događaj godišnje ili češće</w:t>
            </w:r>
          </w:p>
        </w:tc>
        <w:tc>
          <w:tcPr>
            <w:tcW w:w="141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76923C"/>
                <w:sz w:val="20"/>
                <w:szCs w:val="20"/>
              </w:rPr>
            </w:pPr>
          </w:p>
        </w:tc>
      </w:tr>
    </w:tbl>
    <w:p w:rsidR="00A07D92" w:rsidRDefault="00495E63">
      <w:pPr>
        <w:keepNext/>
        <w:keepLines/>
        <w:spacing w:before="40"/>
        <w:outlineLvl w:val="2"/>
        <w:rPr>
          <w:rFonts w:cstheme="majorBidi"/>
          <w:color w:val="54883D"/>
          <w:sz w:val="28"/>
          <w:lang w:bidi="en-US"/>
        </w:rPr>
      </w:pPr>
      <w:bookmarkStart w:id="257" w:name="_Toc136522848"/>
      <w:bookmarkStart w:id="258" w:name="_Toc34209571"/>
      <w:bookmarkStart w:id="259" w:name="_Toc9596620"/>
      <w:bookmarkStart w:id="260" w:name="_Toc503777228"/>
      <w:bookmarkStart w:id="261" w:name="_Toc498599780"/>
      <w:r>
        <w:rPr>
          <w:rFonts w:cstheme="majorBidi"/>
          <w:color w:val="54883D"/>
          <w:sz w:val="28"/>
          <w:lang w:bidi="en-US"/>
        </w:rPr>
        <w:t>6.4.7 Podaci, izvori i metode proračuna</w:t>
      </w:r>
      <w:bookmarkEnd w:id="257"/>
      <w:bookmarkEnd w:id="258"/>
      <w:bookmarkEnd w:id="259"/>
      <w:bookmarkEnd w:id="260"/>
      <w:bookmarkEnd w:id="261"/>
    </w:p>
    <w:p w:rsidR="00A07D92" w:rsidRDefault="00495E63">
      <w:r>
        <w:t xml:space="preserve">Prilikom izračuna zona ugroženosti i </w:t>
      </w:r>
      <w:r>
        <w:t>procjene rizika korišteni su podaci iz:</w:t>
      </w:r>
    </w:p>
    <w:p w:rsidR="00A07D92" w:rsidRDefault="00495E63">
      <w:pPr>
        <w:pStyle w:val="Odlomakpopisa"/>
        <w:numPr>
          <w:ilvl w:val="0"/>
          <w:numId w:val="20"/>
        </w:numPr>
        <w:spacing w:line="276" w:lineRule="auto"/>
        <w:rPr>
          <w:sz w:val="22"/>
        </w:rPr>
      </w:pPr>
      <w:r>
        <w:rPr>
          <w:sz w:val="22"/>
        </w:rPr>
        <w:t>Procjena ugroženosti od požara i tehnoloških eksplozija Grad Mali Lošinj, 2020.,</w:t>
      </w:r>
    </w:p>
    <w:p w:rsidR="00A07D92" w:rsidRDefault="00495E63">
      <w:pPr>
        <w:pStyle w:val="Odlomakpopisa"/>
        <w:numPr>
          <w:ilvl w:val="0"/>
          <w:numId w:val="20"/>
        </w:numPr>
        <w:spacing w:line="276" w:lineRule="auto"/>
        <w:rPr>
          <w:sz w:val="22"/>
        </w:rPr>
      </w:pPr>
      <w:r>
        <w:rPr>
          <w:sz w:val="22"/>
        </w:rPr>
        <w:t>Plan zaštite od požara i tehnoloških eksplozija Grad Mali Lošinj, 2020.,</w:t>
      </w:r>
    </w:p>
    <w:p w:rsidR="00A07D92" w:rsidRDefault="00495E63">
      <w:pPr>
        <w:pStyle w:val="Odlomakpopisa"/>
        <w:numPr>
          <w:ilvl w:val="0"/>
          <w:numId w:val="20"/>
        </w:numPr>
        <w:spacing w:line="276" w:lineRule="auto"/>
        <w:rPr>
          <w:sz w:val="22"/>
        </w:rPr>
      </w:pPr>
      <w:r>
        <w:rPr>
          <w:sz w:val="22"/>
        </w:rPr>
        <w:t>Proračun Grada Malog Lošinja,</w:t>
      </w:r>
    </w:p>
    <w:p w:rsidR="00A07D92" w:rsidRDefault="00495E63">
      <w:pPr>
        <w:pStyle w:val="Odlomakpopisa"/>
        <w:numPr>
          <w:ilvl w:val="0"/>
          <w:numId w:val="20"/>
        </w:numPr>
        <w:spacing w:line="276" w:lineRule="auto"/>
        <w:rPr>
          <w:sz w:val="22"/>
        </w:rPr>
      </w:pPr>
      <w:r>
        <w:rPr>
          <w:sz w:val="22"/>
        </w:rPr>
        <w:t>Državni hidrometeorološki zavod,</w:t>
      </w:r>
    </w:p>
    <w:p w:rsidR="00A07D92" w:rsidRDefault="00495E63">
      <w:pPr>
        <w:pStyle w:val="Odlomakpopisa"/>
        <w:numPr>
          <w:ilvl w:val="0"/>
          <w:numId w:val="20"/>
        </w:numPr>
        <w:spacing w:line="276" w:lineRule="auto"/>
        <w:rPr>
          <w:sz w:val="22"/>
        </w:rPr>
      </w:pPr>
      <w:r>
        <w:rPr>
          <w:sz w:val="22"/>
        </w:rPr>
        <w:t xml:space="preserve">Procjene rizika od katastrofa za Republiku Hrvatsku. </w:t>
      </w:r>
    </w:p>
    <w:p w:rsidR="00A07D92" w:rsidRDefault="00A07D92">
      <w:pPr>
        <w:ind w:left="720"/>
      </w:pPr>
    </w:p>
    <w:p w:rsidR="00A07D92" w:rsidRDefault="00495E63">
      <w:pPr>
        <w:spacing w:before="0" w:after="200"/>
        <w:jc w:val="left"/>
        <w:rPr>
          <w:highlight w:val="yellow"/>
        </w:rPr>
      </w:pPr>
      <w:r>
        <w:br w:type="page"/>
      </w:r>
    </w:p>
    <w:p w:rsidR="00A07D92" w:rsidRDefault="00495E63">
      <w:pPr>
        <w:keepNext/>
        <w:keepLines/>
        <w:spacing w:before="40"/>
        <w:outlineLvl w:val="2"/>
        <w:rPr>
          <w:rFonts w:cstheme="majorBidi"/>
          <w:color w:val="54883D"/>
          <w:sz w:val="28"/>
          <w:lang w:bidi="en-US"/>
        </w:rPr>
      </w:pPr>
      <w:bookmarkStart w:id="262" w:name="_Toc136522849"/>
      <w:bookmarkStart w:id="263" w:name="_Toc34209572"/>
      <w:bookmarkStart w:id="264" w:name="_Toc9596621"/>
      <w:bookmarkStart w:id="265" w:name="_Toc503777229"/>
      <w:bookmarkStart w:id="266" w:name="_Toc498599781"/>
      <w:r>
        <w:rPr>
          <w:rFonts w:cstheme="majorBidi"/>
          <w:color w:val="54883D"/>
          <w:sz w:val="28"/>
          <w:lang w:bidi="en-US"/>
        </w:rPr>
        <w:lastRenderedPageBreak/>
        <w:t>6.4.8 Matrice rizika</w:t>
      </w:r>
      <w:bookmarkEnd w:id="262"/>
      <w:bookmarkEnd w:id="263"/>
      <w:bookmarkEnd w:id="264"/>
      <w:bookmarkEnd w:id="265"/>
      <w:bookmarkEnd w:id="266"/>
    </w:p>
    <w:p w:rsidR="00A07D92" w:rsidRDefault="00495E63">
      <w:pPr>
        <w:rPr>
          <w:lang w:eastAsia="hr-HR"/>
        </w:rPr>
      </w:pPr>
      <w:r>
        <w:rPr>
          <w:lang w:eastAsia="hr-HR"/>
        </w:rPr>
        <w:t>Rizik: Požari otvorenog tipa</w:t>
      </w:r>
    </w:p>
    <w:p w:rsidR="00A07D92" w:rsidRDefault="00495E63">
      <w:pPr>
        <w:rPr>
          <w:lang w:eastAsia="hr-HR"/>
        </w:rPr>
      </w:pPr>
      <w:r>
        <w:rPr>
          <w:lang w:eastAsia="hr-HR"/>
        </w:rPr>
        <w:t>Naziv scenarija:Požari raslinja na otvorenom prostoru</w:t>
      </w:r>
    </w:p>
    <w:p w:rsidR="00A07D92" w:rsidRDefault="00495E63">
      <w:pPr>
        <w:rPr>
          <w:b/>
          <w:sz w:val="20"/>
        </w:rPr>
      </w:pPr>
      <w:r>
        <w:rPr>
          <w:noProof/>
          <w:lang w:eastAsia="hr-HR"/>
        </w:rPr>
        <w:drawing>
          <wp:inline distT="0" distB="0" distL="0" distR="0">
            <wp:extent cx="5210175" cy="4443730"/>
            <wp:effectExtent l="0" t="0" r="0" b="0"/>
            <wp:docPr id="9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71"/>
                    <pic:cNvPicPr>
                      <a:picLocks noChangeAspect="1" noChangeArrowheads="1"/>
                    </pic:cNvPicPr>
                  </pic:nvPicPr>
                  <pic:blipFill>
                    <a:blip r:embed="rId98"/>
                    <a:stretch>
                      <a:fillRect/>
                    </a:stretch>
                  </pic:blipFill>
                  <pic:spPr bwMode="auto">
                    <a:xfrm>
                      <a:off x="0" y="0"/>
                      <a:ext cx="5210175" cy="4443730"/>
                    </a:xfrm>
                    <a:prstGeom prst="rect">
                      <a:avLst/>
                    </a:prstGeom>
                  </pic:spPr>
                </pic:pic>
              </a:graphicData>
            </a:graphic>
          </wp:inline>
        </w:drawing>
      </w:r>
      <w:r>
        <w:rPr>
          <w:noProof/>
          <w:lang w:eastAsia="hr-HR"/>
        </w:rPr>
        <mc:AlternateContent>
          <mc:Choice Requires="wps">
            <w:drawing>
              <wp:anchor distT="0" distB="0" distL="0" distR="0" simplePos="0" relativeHeight="43" behindDoc="0" locked="0" layoutInCell="1" allowOverlap="1" wp14:anchorId="7CBCDEC5">
                <wp:simplePos x="0" y="0"/>
                <wp:positionH relativeFrom="column">
                  <wp:posOffset>2430145</wp:posOffset>
                </wp:positionH>
                <wp:positionV relativeFrom="paragraph">
                  <wp:posOffset>1819275</wp:posOffset>
                </wp:positionV>
                <wp:extent cx="314960" cy="253365"/>
                <wp:effectExtent l="19050" t="0" r="28575" b="13970"/>
                <wp:wrapNone/>
                <wp:docPr id="97" name="Hexagon 67"/>
                <wp:cNvGraphicFramePr/>
                <a:graphic xmlns:a="http://schemas.openxmlformats.org/drawingml/2006/main">
                  <a:graphicData uri="http://schemas.microsoft.com/office/word/2010/wordprocessingShape">
                    <wps:wsp>
                      <wps:cNvSpPr/>
                      <wps:spPr>
                        <a:xfrm>
                          <a:off x="0" y="0"/>
                          <a:ext cx="314280" cy="252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67" fillcolor="#4f81bd" stroked="t" style="position:absolute;margin-left:191.35pt;margin-top:143.25pt;width:24.7pt;height:19.85pt" wp14:anchorId="7CBCDEC5" type="shapetype_9">
                <w10:wrap type="none"/>
                <v:fill o:detectmouseclick="t" type="solid" color2="#b07e42"/>
                <v:stroke color="#4f81bd" weight="9360" joinstyle="miter" endcap="flat"/>
              </v:shape>
            </w:pict>
          </mc:Fallback>
        </mc:AlternateContent>
      </w:r>
    </w:p>
    <w:p w:rsidR="00A07D92" w:rsidRDefault="00495E63">
      <w:pPr>
        <w:jc w:val="center"/>
        <w:rPr>
          <w:b/>
          <w:sz w:val="20"/>
        </w:rPr>
      </w:pPr>
      <w:r>
        <w:rPr>
          <w:b/>
          <w:sz w:val="20"/>
        </w:rPr>
        <w:t>Život i zdravlje ljudi</w:t>
      </w:r>
      <w:r>
        <w:rPr>
          <w:b/>
          <w:sz w:val="20"/>
        </w:rPr>
        <w:tab/>
      </w:r>
      <w:r>
        <w:rPr>
          <w:b/>
          <w:sz w:val="20"/>
        </w:rPr>
        <w:tab/>
        <w:t xml:space="preserve">       Gospodarstvo</w:t>
      </w:r>
      <w:r>
        <w:rPr>
          <w:b/>
          <w:sz w:val="20"/>
        </w:rPr>
        <w:tab/>
        <w:t xml:space="preserve">          Društvena stabilnost i politika</w:t>
      </w:r>
    </w:p>
    <w:p w:rsidR="00A07D92" w:rsidRDefault="00495E63">
      <w:r>
        <w:rPr>
          <w:noProof/>
          <w:lang w:eastAsia="hr-HR"/>
        </w:rPr>
        <mc:AlternateContent>
          <mc:Choice Requires="wps">
            <w:drawing>
              <wp:anchor distT="0" distB="0" distL="0" distR="0" simplePos="0" relativeHeight="44" behindDoc="0" locked="0" layoutInCell="1" allowOverlap="1" wp14:anchorId="6879693E">
                <wp:simplePos x="0" y="0"/>
                <wp:positionH relativeFrom="margin">
                  <wp:posOffset>2710180</wp:posOffset>
                </wp:positionH>
                <wp:positionV relativeFrom="paragraph">
                  <wp:posOffset>643890</wp:posOffset>
                </wp:positionV>
                <wp:extent cx="146050" cy="106680"/>
                <wp:effectExtent l="19050" t="0" r="45085" b="27305"/>
                <wp:wrapNone/>
                <wp:docPr id="99" name="Hexagon 288"/>
                <wp:cNvGraphicFramePr/>
                <a:graphic xmlns:a="http://schemas.openxmlformats.org/drawingml/2006/main">
                  <a:graphicData uri="http://schemas.microsoft.com/office/word/2010/wordprocessingShape">
                    <wps:wsp>
                      <wps:cNvSpPr/>
                      <wps:spPr>
                        <a:xfrm>
                          <a:off x="0" y="0"/>
                          <a:ext cx="145440" cy="10620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288" fillcolor="#4f81bd" stroked="t" style="position:absolute;margin-left:213.4pt;margin-top:50.7pt;width:11.4pt;height:8.3pt;mso-position-horizontal-relative:margin" wp14:anchorId="6879693E"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45" behindDoc="0" locked="0" layoutInCell="1" allowOverlap="1" wp14:anchorId="5E900ADF">
                <wp:simplePos x="0" y="0"/>
                <wp:positionH relativeFrom="column">
                  <wp:posOffset>4652010</wp:posOffset>
                </wp:positionH>
                <wp:positionV relativeFrom="paragraph">
                  <wp:posOffset>859790</wp:posOffset>
                </wp:positionV>
                <wp:extent cx="111760" cy="91440"/>
                <wp:effectExtent l="19050" t="0" r="41275" b="23495"/>
                <wp:wrapNone/>
                <wp:docPr id="100" name="Hexagon 63"/>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63" fillcolor="#4f81bd" stroked="t" style="position:absolute;margin-left:366.3pt;margin-top:67.7pt;width:8.7pt;height:7.1pt" wp14:anchorId="5E900ADF"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46" behindDoc="0" locked="0" layoutInCell="1" allowOverlap="1" wp14:anchorId="070DF434">
                <wp:simplePos x="0" y="0"/>
                <wp:positionH relativeFrom="column">
                  <wp:posOffset>891540</wp:posOffset>
                </wp:positionH>
                <wp:positionV relativeFrom="paragraph">
                  <wp:posOffset>678815</wp:posOffset>
                </wp:positionV>
                <wp:extent cx="111760" cy="91440"/>
                <wp:effectExtent l="19050" t="0" r="41275" b="23495"/>
                <wp:wrapNone/>
                <wp:docPr id="101" name="Hexagon 288"/>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288" fillcolor="#4f81bd" stroked="t" style="position:absolute;margin-left:70.2pt;margin-top:53.45pt;width:8.7pt;height:7.1pt" wp14:anchorId="070DF434" type="shapetype_9">
                <w10:wrap type="none"/>
                <v:fill o:detectmouseclick="t" type="solid" color2="#b07e42"/>
                <v:stroke color="#4f81bd" weight="9360" joinstyle="miter" endcap="flat"/>
              </v:shape>
            </w:pict>
          </mc:Fallback>
        </mc:AlternateContent>
      </w:r>
      <w:r>
        <w:rPr>
          <w:noProof/>
          <w:lang w:eastAsia="hr-HR"/>
        </w:rPr>
        <w:drawing>
          <wp:inline distT="0" distB="0" distL="0" distR="0">
            <wp:extent cx="1828800" cy="1554480"/>
            <wp:effectExtent l="0" t="0" r="0" b="0"/>
            <wp:docPr id="102"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291"/>
                    <pic:cNvPicPr>
                      <a:picLocks noChangeAspect="1" noChangeArrowheads="1"/>
                    </pic:cNvPicPr>
                  </pic:nvPicPr>
                  <pic:blipFill>
                    <a:blip r:embed="rId99"/>
                    <a:stretch>
                      <a:fillRect/>
                    </a:stretch>
                  </pic:blipFill>
                  <pic:spPr bwMode="auto">
                    <a:xfrm>
                      <a:off x="0" y="0"/>
                      <a:ext cx="1828800" cy="1554480"/>
                    </a:xfrm>
                    <a:prstGeom prst="rect">
                      <a:avLst/>
                    </a:prstGeom>
                  </pic:spPr>
                </pic:pic>
              </a:graphicData>
            </a:graphic>
          </wp:inline>
        </w:drawing>
      </w:r>
      <w:r>
        <w:rPr>
          <w:noProof/>
          <w:lang w:eastAsia="hr-HR"/>
        </w:rPr>
        <w:drawing>
          <wp:inline distT="0" distB="0" distL="0" distR="0">
            <wp:extent cx="1905000" cy="1619250"/>
            <wp:effectExtent l="0" t="0" r="0" b="0"/>
            <wp:docPr id="103"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292"/>
                    <pic:cNvPicPr>
                      <a:picLocks noChangeAspect="1" noChangeArrowheads="1"/>
                    </pic:cNvPicPr>
                  </pic:nvPicPr>
                  <pic:blipFill>
                    <a:blip r:embed="rId100"/>
                    <a:stretch>
                      <a:fillRect/>
                    </a:stretch>
                  </pic:blipFill>
                  <pic:spPr bwMode="auto">
                    <a:xfrm>
                      <a:off x="0" y="0"/>
                      <a:ext cx="1905000" cy="1619250"/>
                    </a:xfrm>
                    <a:prstGeom prst="rect">
                      <a:avLst/>
                    </a:prstGeom>
                  </pic:spPr>
                </pic:pic>
              </a:graphicData>
            </a:graphic>
          </wp:inline>
        </w:drawing>
      </w:r>
      <w:r>
        <w:rPr>
          <w:noProof/>
          <w:lang w:eastAsia="hr-HR"/>
        </w:rPr>
        <w:drawing>
          <wp:inline distT="0" distB="0" distL="0" distR="0">
            <wp:extent cx="1906270" cy="1620520"/>
            <wp:effectExtent l="0" t="0" r="0" b="0"/>
            <wp:docPr id="10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293"/>
                    <pic:cNvPicPr>
                      <a:picLocks noChangeAspect="1" noChangeArrowheads="1"/>
                    </pic:cNvPicPr>
                  </pic:nvPicPr>
                  <pic:blipFill>
                    <a:blip r:embed="rId101"/>
                    <a:stretch>
                      <a:fillRect/>
                    </a:stretch>
                  </pic:blipFill>
                  <pic:spPr bwMode="auto">
                    <a:xfrm>
                      <a:off x="0" y="0"/>
                      <a:ext cx="1906270" cy="1620520"/>
                    </a:xfrm>
                    <a:prstGeom prst="rect">
                      <a:avLst/>
                    </a:prstGeom>
                  </pic:spPr>
                </pic:pic>
              </a:graphicData>
            </a:graphic>
          </wp:inline>
        </w:drawing>
      </w: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495E63">
      <w:pPr>
        <w:rPr>
          <w:u w:val="single"/>
        </w:rPr>
      </w:pPr>
      <w:r>
        <w:rPr>
          <w:u w:val="single"/>
        </w:rPr>
        <w:lastRenderedPageBreak/>
        <w:t>METODOLOGIJA I NEPOUZDANOST</w:t>
      </w:r>
    </w:p>
    <w:tbl>
      <w:tblPr>
        <w:tblStyle w:val="Reetkatablice"/>
        <w:tblW w:w="9634" w:type="dxa"/>
        <w:tblLook w:val="04A0" w:firstRow="1" w:lastRow="0" w:firstColumn="1" w:lastColumn="0" w:noHBand="0" w:noVBand="1"/>
      </w:tblPr>
      <w:tblGrid>
        <w:gridCol w:w="2241"/>
        <w:gridCol w:w="984"/>
        <w:gridCol w:w="6409"/>
      </w:tblGrid>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rFonts w:ascii="Times New Roman" w:hAnsi="Times New Roman" w:cs="Times New Roman"/>
                <w:sz w:val="20"/>
                <w:lang w:eastAsia="hr-HR"/>
              </w:rPr>
              <w:t>Ne postoji dovoljna količina statističkih, iskustva stručnjaka i ostalih podataka te pouzdana metodologija procjene posljedica zbog čega se očekuju značajnije greške</w:t>
            </w: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rPr>
            </w:pPr>
            <w:r>
              <w:rPr>
                <w:rFonts w:ascii="Times New Roman" w:hAnsi="Times New Roman" w:cs="Times New Roman"/>
                <w:b/>
                <w:sz w:val="20"/>
                <w:lang w:eastAsia="hr-HR"/>
              </w:rPr>
              <w:t>Vrlo visoka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4</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lang w:eastAsia="hr-HR"/>
              </w:rPr>
            </w:pPr>
          </w:p>
        </w:tc>
      </w:tr>
      <w:tr w:rsidR="00A07D92">
        <w:trPr>
          <w:trHeight w:val="468"/>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rPr>
            </w:pPr>
            <w:r>
              <w:rPr>
                <w:rFonts w:ascii="Times New Roman" w:hAnsi="Times New Roman" w:cs="Times New Roman"/>
                <w:b/>
                <w:sz w:val="20"/>
                <w:lang w:eastAsia="hr-HR"/>
              </w:rPr>
              <w:t>Visoka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3</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b/>
                <w:sz w:val="20"/>
                <w:lang w:eastAsia="hr-HR"/>
              </w:rPr>
            </w:pPr>
          </w:p>
        </w:tc>
      </w:tr>
      <w:tr w:rsidR="00A07D92">
        <w:trPr>
          <w:trHeight w:val="306"/>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rPr>
            </w:pPr>
            <w:r>
              <w:rPr>
                <w:rFonts w:ascii="Times New Roman" w:hAnsi="Times New Roman" w:cs="Times New Roman"/>
                <w:b/>
                <w:sz w:val="20"/>
                <w:lang w:eastAsia="hr-HR"/>
              </w:rPr>
              <w:t>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2</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rPr>
            </w:pPr>
            <w:r>
              <w:rPr>
                <w:rFonts w:ascii="Times New Roman" w:hAnsi="Times New Roman" w:cs="Times New Roman"/>
                <w:b/>
                <w:sz w:val="20"/>
                <w:lang w:eastAsia="hr-HR"/>
              </w:rPr>
              <w:t>X</w:t>
            </w: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rPr>
            </w:pPr>
            <w:r>
              <w:rPr>
                <w:rFonts w:ascii="Times New Roman" w:hAnsi="Times New Roman" w:cs="Times New Roman"/>
                <w:b/>
                <w:sz w:val="20"/>
                <w:lang w:eastAsia="hr-HR"/>
              </w:rPr>
              <w:t>Vrlo 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line="240" w:lineRule="auto"/>
              <w:jc w:val="center"/>
              <w:rPr>
                <w:sz w:val="20"/>
              </w:rPr>
            </w:pPr>
            <w:r>
              <w:rPr>
                <w:rFonts w:ascii="Times New Roman" w:hAnsi="Times New Roman" w:cs="Times New Roman"/>
                <w:sz w:val="20"/>
                <w:lang w:eastAsia="hr-HR"/>
              </w:rPr>
              <w:t>1</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lang w:eastAsia="hr-HR"/>
              </w:rPr>
            </w:pPr>
          </w:p>
        </w:tc>
      </w:tr>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rPr>
            </w:pPr>
            <w:r>
              <w:rPr>
                <w:rFonts w:ascii="Times New Roman" w:hAnsi="Times New Roman" w:cs="Times New Roman"/>
                <w:sz w:val="20"/>
                <w:lang w:eastAsia="hr-HR"/>
              </w:rPr>
              <w:t>Postoji dovoljna količina statističkih podataka, iskustva stručnjaka i pouzdana metodologija procjene zbog čega je pojavljivanje grešaka vrlo malo vjerojatno</w:t>
            </w:r>
          </w:p>
        </w:tc>
      </w:tr>
    </w:tbl>
    <w:p w:rsidR="00A07D92" w:rsidRDefault="00A07D92"/>
    <w:p w:rsidR="00A07D92" w:rsidRDefault="00495E63">
      <w:pPr>
        <w:keepNext/>
        <w:keepLines/>
        <w:spacing w:before="40"/>
        <w:outlineLvl w:val="2"/>
        <w:rPr>
          <w:rFonts w:cstheme="majorBidi"/>
          <w:color w:val="54883D"/>
          <w:sz w:val="28"/>
          <w:lang w:bidi="en-US"/>
        </w:rPr>
      </w:pPr>
      <w:bookmarkStart w:id="267" w:name="_Toc136522850"/>
      <w:bookmarkStart w:id="268" w:name="_Toc34209573"/>
      <w:bookmarkStart w:id="269" w:name="_Toc9596622"/>
      <w:r>
        <w:rPr>
          <w:rFonts w:cstheme="majorBidi"/>
          <w:color w:val="54883D"/>
          <w:sz w:val="28"/>
          <w:lang w:bidi="en-US"/>
        </w:rPr>
        <w:t>6.4.9 Karte</w:t>
      </w:r>
      <w:bookmarkEnd w:id="267"/>
      <w:bookmarkEnd w:id="268"/>
      <w:bookmarkEnd w:id="269"/>
    </w:p>
    <w:p w:rsidR="00A07D92" w:rsidRDefault="00495E63">
      <w:pPr>
        <w:keepNext/>
        <w:keepLines/>
        <w:spacing w:before="40"/>
        <w:ind w:left="864" w:hanging="864"/>
        <w:outlineLvl w:val="3"/>
        <w:rPr>
          <w:rFonts w:eastAsiaTheme="majorEastAsia" w:cstheme="majorBidi"/>
          <w:iCs/>
          <w:color w:val="54883D"/>
          <w:lang w:bidi="en-US"/>
        </w:rPr>
      </w:pPr>
      <w:r>
        <w:rPr>
          <w:rFonts w:eastAsiaTheme="majorEastAsia" w:cstheme="majorBidi"/>
          <w:iCs/>
          <w:color w:val="54883D"/>
          <w:lang w:bidi="en-US"/>
        </w:rPr>
        <w:t>6.4.9.1 Karta rizika</w:t>
      </w:r>
    </w:p>
    <w:tbl>
      <w:tblPr>
        <w:tblStyle w:val="Reetkatablice"/>
        <w:tblpPr w:leftFromText="180" w:rightFromText="180" w:vertAnchor="text" w:horzAnchor="page" w:tblpX="9034" w:tblpY="1136"/>
        <w:tblW w:w="1980" w:type="dxa"/>
        <w:tblLook w:val="04A0" w:firstRow="1" w:lastRow="0" w:firstColumn="1" w:lastColumn="0" w:noHBand="0" w:noVBand="1"/>
      </w:tblPr>
      <w:tblGrid>
        <w:gridCol w:w="845"/>
        <w:gridCol w:w="1135"/>
      </w:tblGrid>
      <w:tr w:rsidR="00A07D92">
        <w:trPr>
          <w:trHeight w:val="310"/>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RIZIK</w:t>
            </w:r>
          </w:p>
        </w:tc>
      </w:tr>
      <w:tr w:rsidR="00A07D92">
        <w:trPr>
          <w:trHeight w:val="354"/>
        </w:trPr>
        <w:tc>
          <w:tcPr>
            <w:tcW w:w="845"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Vrlo visok</w:t>
            </w:r>
          </w:p>
        </w:tc>
      </w:tr>
      <w:tr w:rsidR="00A07D92">
        <w:trPr>
          <w:trHeight w:val="286"/>
        </w:trPr>
        <w:tc>
          <w:tcPr>
            <w:tcW w:w="845"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Visok </w:t>
            </w:r>
          </w:p>
        </w:tc>
      </w:tr>
      <w:tr w:rsidR="00A07D92">
        <w:trPr>
          <w:trHeight w:val="262"/>
        </w:trPr>
        <w:tc>
          <w:tcPr>
            <w:tcW w:w="845"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 </w:t>
            </w:r>
          </w:p>
        </w:tc>
      </w:tr>
      <w:tr w:rsidR="00A07D92">
        <w:trPr>
          <w:trHeight w:val="280"/>
        </w:trPr>
        <w:tc>
          <w:tcPr>
            <w:tcW w:w="845" w:type="dxa"/>
            <w:shd w:val="clear" w:color="auto" w:fill="92D05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Nizak </w:t>
            </w:r>
          </w:p>
        </w:tc>
      </w:tr>
    </w:tbl>
    <w:p w:rsidR="00A07D92" w:rsidRDefault="00495E63">
      <w:pPr>
        <w:jc w:val="center"/>
        <w:rPr>
          <w:lang w:bidi="en-US"/>
        </w:rPr>
      </w:pPr>
      <w:r>
        <w:rPr>
          <w:noProof/>
          <w:lang w:eastAsia="hr-HR"/>
        </w:rPr>
        <w:drawing>
          <wp:inline distT="0" distB="0" distL="0" distR="0">
            <wp:extent cx="3550920" cy="4739640"/>
            <wp:effectExtent l="0" t="0" r="0" b="0"/>
            <wp:docPr id="105" name="Slik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lika10"/>
                    <pic:cNvPicPr>
                      <a:picLocks noChangeAspect="1" noChangeArrowheads="1"/>
                    </pic:cNvPicPr>
                  </pic:nvPicPr>
                  <pic:blipFill>
                    <a:blip r:embed="rId110"/>
                    <a:stretch>
                      <a:fillRect/>
                    </a:stretch>
                  </pic:blipFill>
                  <pic:spPr bwMode="auto">
                    <a:xfrm>
                      <a:off x="0" y="0"/>
                      <a:ext cx="3550920" cy="473964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20</w:t>
      </w:r>
      <w:r>
        <w:rPr>
          <w:rFonts w:eastAsia="Calibri"/>
          <w:bCs/>
          <w:sz w:val="20"/>
          <w:szCs w:val="18"/>
        </w:rPr>
        <w:fldChar w:fldCharType="end"/>
      </w:r>
      <w:r>
        <w:rPr>
          <w:rFonts w:eastAsia="Calibri"/>
          <w:bCs/>
          <w:color w:val="54883D"/>
          <w:sz w:val="20"/>
          <w:szCs w:val="18"/>
          <w:lang w:bidi="en-US"/>
        </w:rPr>
        <w:t>. Karta rizika – požar otvorenog tipa</w:t>
      </w: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495E63">
      <w:pPr>
        <w:keepNext/>
        <w:keepLines/>
        <w:spacing w:before="40"/>
        <w:ind w:left="864" w:hanging="864"/>
        <w:outlineLvl w:val="3"/>
        <w:rPr>
          <w:rFonts w:eastAsiaTheme="majorEastAsia" w:cstheme="majorBidi"/>
          <w:iCs/>
          <w:color w:val="54883D"/>
          <w:lang w:bidi="en-US"/>
        </w:rPr>
      </w:pPr>
      <w:r>
        <w:rPr>
          <w:rFonts w:eastAsiaTheme="majorEastAsia" w:cstheme="majorBidi"/>
          <w:iCs/>
          <w:color w:val="54883D"/>
          <w:lang w:bidi="en-US"/>
        </w:rPr>
        <w:lastRenderedPageBreak/>
        <w:t>6.5.9.2 Karta posljedica</w:t>
      </w:r>
    </w:p>
    <w:tbl>
      <w:tblPr>
        <w:tblStyle w:val="Reetkatablice"/>
        <w:tblpPr w:leftFromText="180" w:rightFromText="180" w:vertAnchor="text" w:horzAnchor="page" w:tblpX="9306" w:tblpY="510"/>
        <w:tblW w:w="2123" w:type="dxa"/>
        <w:tblLook w:val="04A0" w:firstRow="1" w:lastRow="0" w:firstColumn="1" w:lastColumn="0" w:noHBand="0" w:noVBand="1"/>
      </w:tblPr>
      <w:tblGrid>
        <w:gridCol w:w="846"/>
        <w:gridCol w:w="1277"/>
      </w:tblGrid>
      <w:tr w:rsidR="00A07D92">
        <w:trPr>
          <w:trHeight w:val="310"/>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POSLJEDICE</w:t>
            </w:r>
          </w:p>
        </w:tc>
      </w:tr>
      <w:tr w:rsidR="00A07D92">
        <w:trPr>
          <w:trHeight w:val="353"/>
        </w:trPr>
        <w:tc>
          <w:tcPr>
            <w:tcW w:w="846"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Katastrofalne </w:t>
            </w:r>
          </w:p>
        </w:tc>
      </w:tr>
      <w:tr w:rsidR="00A07D92">
        <w:trPr>
          <w:trHeight w:val="273"/>
        </w:trPr>
        <w:tc>
          <w:tcPr>
            <w:tcW w:w="846"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Značajne </w:t>
            </w:r>
          </w:p>
        </w:tc>
      </w:tr>
      <w:tr w:rsidR="00A07D92">
        <w:trPr>
          <w:trHeight w:val="278"/>
        </w:trPr>
        <w:tc>
          <w:tcPr>
            <w:tcW w:w="846"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Umjerene </w:t>
            </w:r>
          </w:p>
        </w:tc>
      </w:tr>
      <w:tr w:rsidR="00A07D92">
        <w:trPr>
          <w:trHeight w:val="267"/>
        </w:trPr>
        <w:tc>
          <w:tcPr>
            <w:tcW w:w="846" w:type="dxa"/>
            <w:shd w:val="clear" w:color="auto" w:fill="CCFF99"/>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Malene </w:t>
            </w:r>
          </w:p>
        </w:tc>
      </w:tr>
      <w:tr w:rsidR="00A07D92">
        <w:trPr>
          <w:trHeight w:val="286"/>
        </w:trPr>
        <w:tc>
          <w:tcPr>
            <w:tcW w:w="846" w:type="dxa"/>
            <w:shd w:val="clear" w:color="auto" w:fill="C6D9F1" w:themeFill="text2" w:themeFillTint="33"/>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Neznatne </w:t>
            </w:r>
          </w:p>
        </w:tc>
      </w:tr>
    </w:tbl>
    <w:p w:rsidR="00A07D92" w:rsidRDefault="00495E63">
      <w:pPr>
        <w:jc w:val="center"/>
        <w:rPr>
          <w:lang w:bidi="en-US"/>
        </w:rPr>
      </w:pPr>
      <w:r>
        <w:rPr>
          <w:noProof/>
          <w:lang w:eastAsia="hr-HR"/>
        </w:rPr>
        <w:drawing>
          <wp:inline distT="0" distB="0" distL="0" distR="0">
            <wp:extent cx="3330575" cy="4488180"/>
            <wp:effectExtent l="0" t="0" r="0" b="0"/>
            <wp:docPr id="1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2"/>
                    <pic:cNvPicPr>
                      <a:picLocks noChangeAspect="1" noChangeArrowheads="1"/>
                    </pic:cNvPicPr>
                  </pic:nvPicPr>
                  <pic:blipFill>
                    <a:blip r:embed="rId102"/>
                    <a:stretch>
                      <a:fillRect/>
                    </a:stretch>
                  </pic:blipFill>
                  <pic:spPr bwMode="auto">
                    <a:xfrm>
                      <a:off x="0" y="0"/>
                      <a:ext cx="3330575" cy="448818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 xml:space="preserve">SEQ Slika \* </w:instrText>
      </w:r>
      <w:r>
        <w:rPr>
          <w:rFonts w:eastAsia="Calibri"/>
          <w:bCs/>
          <w:sz w:val="20"/>
          <w:szCs w:val="18"/>
        </w:rPr>
        <w:instrText>ARABIC</w:instrText>
      </w:r>
      <w:r>
        <w:rPr>
          <w:rFonts w:eastAsia="Calibri"/>
          <w:bCs/>
          <w:sz w:val="20"/>
          <w:szCs w:val="18"/>
        </w:rPr>
        <w:fldChar w:fldCharType="separate"/>
      </w:r>
      <w:r>
        <w:rPr>
          <w:rFonts w:eastAsia="Calibri"/>
          <w:bCs/>
          <w:sz w:val="20"/>
          <w:szCs w:val="18"/>
        </w:rPr>
        <w:t>21</w:t>
      </w:r>
      <w:r>
        <w:rPr>
          <w:rFonts w:eastAsia="Calibri"/>
          <w:bCs/>
          <w:sz w:val="20"/>
          <w:szCs w:val="18"/>
        </w:rPr>
        <w:fldChar w:fldCharType="end"/>
      </w:r>
      <w:r>
        <w:rPr>
          <w:rFonts w:eastAsia="Calibri"/>
          <w:bCs/>
          <w:color w:val="54883D"/>
          <w:sz w:val="20"/>
          <w:szCs w:val="18"/>
          <w:lang w:bidi="en-US"/>
        </w:rPr>
        <w:t>. Karta posljedica – požar otvorenog tipa</w:t>
      </w:r>
    </w:p>
    <w:p w:rsidR="00A07D92" w:rsidRDefault="00A07D92">
      <w:pPr>
        <w:rPr>
          <w:highlight w:val="yellow"/>
          <w:lang w:bidi="en-US"/>
        </w:rPr>
      </w:pPr>
    </w:p>
    <w:p w:rsidR="00A07D92" w:rsidRDefault="00A07D92">
      <w:pPr>
        <w:rPr>
          <w:highlight w:val="yellow"/>
          <w:lang w:bidi="en-US"/>
        </w:rPr>
      </w:pPr>
    </w:p>
    <w:p w:rsidR="00A07D92" w:rsidRDefault="00A07D92">
      <w:pPr>
        <w:rPr>
          <w:highlight w:val="yellow"/>
          <w:lang w:bidi="en-US"/>
        </w:rPr>
      </w:pPr>
    </w:p>
    <w:p w:rsidR="00A07D92" w:rsidRDefault="00A07D92">
      <w:pPr>
        <w:rPr>
          <w:highlight w:val="yellow"/>
          <w:lang w:bidi="en-US"/>
        </w:rPr>
      </w:pPr>
    </w:p>
    <w:p w:rsidR="00A07D92" w:rsidRDefault="00A07D92">
      <w:pPr>
        <w:rPr>
          <w:highlight w:val="yellow"/>
          <w:lang w:bidi="en-US"/>
        </w:rPr>
      </w:pPr>
    </w:p>
    <w:p w:rsidR="00A07D92" w:rsidRDefault="00A07D92">
      <w:pPr>
        <w:rPr>
          <w:highlight w:val="yellow"/>
          <w:lang w:bidi="en-US"/>
        </w:rPr>
      </w:pPr>
    </w:p>
    <w:p w:rsidR="00A07D92" w:rsidRDefault="00A07D92">
      <w:pPr>
        <w:rPr>
          <w:highlight w:val="yellow"/>
          <w:lang w:bidi="en-US"/>
        </w:rPr>
      </w:pPr>
    </w:p>
    <w:p w:rsidR="00A07D92" w:rsidRDefault="00A07D92">
      <w:pPr>
        <w:rPr>
          <w:highlight w:val="yellow"/>
          <w:lang w:bidi="en-US"/>
        </w:rPr>
      </w:pPr>
    </w:p>
    <w:p w:rsidR="00A07D92" w:rsidRDefault="00A07D92">
      <w:pPr>
        <w:rPr>
          <w:highlight w:val="yellow"/>
          <w:lang w:bidi="en-US"/>
        </w:rPr>
      </w:pPr>
    </w:p>
    <w:p w:rsidR="00A07D92" w:rsidRDefault="00A07D92">
      <w:pPr>
        <w:rPr>
          <w:highlight w:val="yellow"/>
          <w:lang w:bidi="en-US"/>
        </w:rPr>
      </w:pPr>
    </w:p>
    <w:p w:rsidR="00A07D92" w:rsidRDefault="00A07D92">
      <w:pPr>
        <w:rPr>
          <w:highlight w:val="yellow"/>
          <w:lang w:bidi="en-US"/>
        </w:rPr>
      </w:pPr>
    </w:p>
    <w:p w:rsidR="00A07D92" w:rsidRDefault="00A07D92">
      <w:pPr>
        <w:rPr>
          <w:highlight w:val="yellow"/>
          <w:lang w:bidi="en-US"/>
        </w:rPr>
      </w:pPr>
    </w:p>
    <w:p w:rsidR="00A07D92" w:rsidRDefault="00495E63">
      <w:pPr>
        <w:keepNext/>
        <w:ind w:left="576" w:hanging="576"/>
        <w:outlineLvl w:val="1"/>
        <w:rPr>
          <w:bCs/>
          <w:color w:val="54883D"/>
          <w:sz w:val="32"/>
        </w:rPr>
      </w:pPr>
      <w:bookmarkStart w:id="270" w:name="_Toc136522851"/>
      <w:bookmarkStart w:id="271" w:name="_Toc13472047"/>
      <w:bookmarkStart w:id="272" w:name="_Toc10450169"/>
      <w:bookmarkStart w:id="273" w:name="_Toc511137125"/>
      <w:r>
        <w:rPr>
          <w:bCs/>
          <w:color w:val="54883D"/>
          <w:sz w:val="32"/>
        </w:rPr>
        <w:lastRenderedPageBreak/>
        <w:t>6.5 Tehničko-tehnološke nesreće s opasnim tvarima</w:t>
      </w:r>
      <w:bookmarkEnd w:id="270"/>
      <w:bookmarkEnd w:id="271"/>
      <w:bookmarkEnd w:id="272"/>
      <w:bookmarkEnd w:id="273"/>
    </w:p>
    <w:p w:rsidR="00A07D92" w:rsidRDefault="00495E63">
      <w:pPr>
        <w:keepNext/>
        <w:keepLines/>
        <w:tabs>
          <w:tab w:val="left" w:pos="0"/>
        </w:tabs>
        <w:spacing w:before="40"/>
        <w:outlineLvl w:val="2"/>
        <w:rPr>
          <w:rFonts w:cstheme="majorBidi"/>
          <w:color w:val="54883D"/>
          <w:sz w:val="28"/>
          <w:lang w:bidi="en-US"/>
        </w:rPr>
      </w:pPr>
      <w:bookmarkStart w:id="274" w:name="_Toc136522852"/>
      <w:bookmarkStart w:id="275" w:name="_Toc13472048"/>
      <w:bookmarkStart w:id="276" w:name="_Toc10450170"/>
      <w:bookmarkStart w:id="277" w:name="_Toc511137126"/>
      <w:bookmarkStart w:id="278" w:name="_Toc507493169"/>
      <w:r>
        <w:rPr>
          <w:rFonts w:cstheme="majorBidi"/>
          <w:color w:val="54883D"/>
          <w:sz w:val="28"/>
          <w:lang w:bidi="en-US"/>
        </w:rPr>
        <w:t>6.5.1 Naziv scenarija</w:t>
      </w:r>
      <w:bookmarkEnd w:id="274"/>
      <w:bookmarkEnd w:id="275"/>
      <w:bookmarkEnd w:id="276"/>
      <w:bookmarkEnd w:id="277"/>
      <w:bookmarkEnd w:id="278"/>
    </w:p>
    <w:tbl>
      <w:tblPr>
        <w:tblStyle w:val="ivopisnatablicareetke6-isticanje310"/>
        <w:tblW w:w="9060" w:type="dxa"/>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Naziv scenarija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rPr>
            </w:pPr>
            <w:r>
              <w:rPr>
                <w:b w:val="0"/>
                <w:color w:val="76923C" w:themeColor="accent3" w:themeShade="BF"/>
              </w:rPr>
              <w:t>Tehničko-tehnološke nesreće s opasnim tvarima na području grada Malog Lošinja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Grupa rizika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rPr>
            </w:pPr>
            <w:r>
              <w:rPr>
                <w:b w:val="0"/>
                <w:color w:val="76923C" w:themeColor="accent3" w:themeShade="BF"/>
              </w:rPr>
              <w:t>Tehničko-tehnološke nesreće s opasnim tvarima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Rizik</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rPr>
            </w:pPr>
            <w:r>
              <w:rPr>
                <w:b w:val="0"/>
                <w:color w:val="76923C" w:themeColor="accent3" w:themeShade="BF"/>
              </w:rPr>
              <w:t>Industrijske nesreće</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rPr>
                <w:color w:val="76923C" w:themeColor="accent3" w:themeShade="BF"/>
              </w:rPr>
            </w:pPr>
            <w:r>
              <w:rPr>
                <w:color w:val="76923C" w:themeColor="accent3" w:themeShade="BF"/>
              </w:rPr>
              <w:t>Radna skupina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620"/>
              </w:tabs>
              <w:spacing w:after="0" w:line="240" w:lineRule="auto"/>
              <w:rPr>
                <w:b w:val="0"/>
                <w:color w:val="auto"/>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Grada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color w:val="auto"/>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w:t>
            </w:r>
            <w:r>
              <w:rPr>
                <w:b w:val="0"/>
                <w:bCs w:val="0"/>
                <w:color w:val="76923C" w:themeColor="accent3" w:themeShade="BF"/>
              </w:rPr>
              <w:t>skupine – zapovjednik JVP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color w:val="auto"/>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A07D92"/>
    <w:p w:rsidR="00A07D92" w:rsidRDefault="00495E63">
      <w:pPr>
        <w:keepNext/>
        <w:keepLines/>
        <w:tabs>
          <w:tab w:val="left" w:pos="0"/>
        </w:tabs>
        <w:spacing w:before="40"/>
        <w:outlineLvl w:val="2"/>
        <w:rPr>
          <w:rFonts w:cstheme="majorBidi"/>
          <w:color w:val="54883D"/>
          <w:sz w:val="28"/>
          <w:lang w:bidi="en-US"/>
        </w:rPr>
      </w:pPr>
      <w:bookmarkStart w:id="279" w:name="_Toc136522853"/>
      <w:r>
        <w:rPr>
          <w:rFonts w:cstheme="majorBidi"/>
          <w:color w:val="54883D"/>
          <w:sz w:val="28"/>
          <w:lang w:bidi="en-US"/>
        </w:rPr>
        <w:t>6.5.2 Uvod</w:t>
      </w:r>
      <w:bookmarkEnd w:id="279"/>
    </w:p>
    <w:p w:rsidR="00A07D92" w:rsidRDefault="00495E63">
      <w:pPr>
        <w:spacing w:before="120" w:after="120"/>
      </w:pPr>
      <w:r>
        <w:t xml:space="preserve">Mogućnost nastanka tehničko - tehnoloških nesreća za koje postoji opasnost prerastanja u veliku nesreću ili katastrofu ovisi o </w:t>
      </w:r>
      <w:r>
        <w:t>vrsti, koncentraciji i količini opasne tvari na lokaciji. Posljedice i utjecaji ovakvih katastrofa na okolinu mogu biti raznovrsne. Najvažniji utjecaj koji mogu imati je ponajprije na život i zdravlje ljudi nastanjenih u bližoj i daljoj okolini, zatim na s</w:t>
      </w:r>
      <w:r>
        <w:t>tanje u okolišu te na okolno gospodarstvo i objekte kritične infrastrukture. Jačina utjecaja katastrofe ovisi o vrsti, koncentraciji i količini opasne tvari na lokaciji, geofizičkom položaju, njegovoj udaljenosti od najbližeg naselja te brzini reagiranja s</w:t>
      </w:r>
      <w:r>
        <w:t>nage civilne zaštite.</w:t>
      </w:r>
    </w:p>
    <w:p w:rsidR="00A07D92" w:rsidRDefault="00A07D92">
      <w:pPr>
        <w:spacing w:before="120" w:after="120"/>
        <w:rPr>
          <w:szCs w:val="22"/>
        </w:rPr>
      </w:pPr>
    </w:p>
    <w:p w:rsidR="00A07D92" w:rsidRDefault="00495E63">
      <w:pPr>
        <w:keepNext/>
        <w:keepLines/>
        <w:tabs>
          <w:tab w:val="left" w:pos="0"/>
        </w:tabs>
        <w:spacing w:before="40"/>
        <w:outlineLvl w:val="2"/>
        <w:rPr>
          <w:rFonts w:cstheme="majorBidi"/>
          <w:color w:val="54883D"/>
          <w:sz w:val="28"/>
          <w:lang w:bidi="en-US"/>
        </w:rPr>
      </w:pPr>
      <w:bookmarkStart w:id="280" w:name="_Toc136522854"/>
      <w:bookmarkStart w:id="281" w:name="_Toc13472050"/>
      <w:bookmarkStart w:id="282" w:name="_Toc10450172"/>
      <w:bookmarkStart w:id="283" w:name="_Toc511137128"/>
      <w:bookmarkStart w:id="284" w:name="_Toc507493171"/>
      <w:r>
        <w:rPr>
          <w:rFonts w:cstheme="majorBidi"/>
          <w:color w:val="54883D"/>
          <w:sz w:val="28"/>
          <w:lang w:bidi="en-US"/>
        </w:rPr>
        <w:t>6.5.3 Prikaz utjecaja na kritičnu infrastrukturu</w:t>
      </w:r>
      <w:bookmarkEnd w:id="280"/>
      <w:bookmarkEnd w:id="281"/>
      <w:bookmarkEnd w:id="282"/>
      <w:bookmarkEnd w:id="283"/>
      <w:bookmarkEnd w:id="284"/>
    </w:p>
    <w:tbl>
      <w:tblPr>
        <w:tblStyle w:val="ivopisnatablicareetke6-isticanje310"/>
        <w:tblW w:w="9423" w:type="dxa"/>
        <w:tblLook w:val="04A0" w:firstRow="1" w:lastRow="0" w:firstColumn="1" w:lastColumn="0" w:noHBand="0" w:noVBand="1"/>
      </w:tblPr>
      <w:tblGrid>
        <w:gridCol w:w="1128"/>
        <w:gridCol w:w="8295"/>
      </w:tblGrid>
      <w:tr w:rsidR="00A07D92" w:rsidTr="00A07D92">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UTJECAJ</w:t>
            </w:r>
          </w:p>
        </w:tc>
        <w:tc>
          <w:tcPr>
            <w:tcW w:w="829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SEKTOR</w:t>
            </w:r>
          </w:p>
        </w:tc>
      </w:tr>
      <w:tr w:rsidR="00A07D92" w:rsidTr="00A07D92">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rsidR="00A07D92" w:rsidTr="00A07D92">
        <w:trPr>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Komunikacijska i informacijska tehnologija (elektroničke komunikacije, prijenos podataka, </w:t>
            </w:r>
            <w:r>
              <w:rPr>
                <w:color w:val="76923C" w:themeColor="accent3" w:themeShade="BF"/>
                <w:sz w:val="20"/>
                <w:szCs w:val="20"/>
              </w:rPr>
              <w:t>informacijski sustavi, pružanje audio i audiovizualnih usluga)</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rsidR="00A07D92" w:rsidTr="00A07D92">
        <w:trPr>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rsidR="00A07D92" w:rsidTr="00A07D92">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rPr>
                <w:color w:val="76923C" w:themeColor="accent3" w:themeShade="BF"/>
                <w:sz w:val="20"/>
              </w:rPr>
            </w:pP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Proizvodnja, skladištenje i prijevoz opasnih tvari (kemijski, biološki, radiološki i nuklearni materijali)</w:t>
            </w:r>
          </w:p>
        </w:tc>
      </w:tr>
      <w:tr w:rsidR="00A07D92" w:rsidTr="00A07D9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civilna zaštita, hitna medicinska pomoć)</w:t>
            </w:r>
          </w:p>
        </w:tc>
      </w:tr>
      <w:tr w:rsidR="00A07D92" w:rsidTr="00A07D92">
        <w:trPr>
          <w:trHeight w:val="394"/>
        </w:trPr>
        <w:tc>
          <w:tcPr>
            <w:cnfStyle w:val="001000000000" w:firstRow="0" w:lastRow="0" w:firstColumn="1" w:lastColumn="0" w:oddVBand="0" w:evenVBand="0" w:oddHBand="0" w:evenHBand="0" w:firstRowFirstColumn="0" w:firstRowLastColumn="0" w:lastRowFirstColumn="0" w:lastRowLastColumn="0"/>
            <w:tcW w:w="11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rPr>
            </w:pPr>
            <w:r>
              <w:rPr>
                <w:color w:val="76923C" w:themeColor="accent3" w:themeShade="BF"/>
                <w:sz w:val="20"/>
              </w:rPr>
              <w:t>x</w:t>
            </w:r>
          </w:p>
        </w:tc>
        <w:tc>
          <w:tcPr>
            <w:tcW w:w="829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w:t>
            </w:r>
            <w:r>
              <w:rPr>
                <w:color w:val="76923C" w:themeColor="accent3" w:themeShade="BF"/>
                <w:sz w:val="20"/>
                <w:szCs w:val="20"/>
              </w:rPr>
              <w:t>enici i vrijednosti</w:t>
            </w:r>
          </w:p>
        </w:tc>
      </w:tr>
    </w:tbl>
    <w:p w:rsidR="00A07D92" w:rsidRDefault="00495E63">
      <w:pPr>
        <w:keepNext/>
        <w:keepLines/>
        <w:tabs>
          <w:tab w:val="left" w:pos="0"/>
        </w:tabs>
        <w:spacing w:before="40"/>
        <w:outlineLvl w:val="2"/>
        <w:rPr>
          <w:rFonts w:cstheme="majorBidi"/>
          <w:color w:val="54883D"/>
          <w:sz w:val="28"/>
          <w:lang w:bidi="en-US"/>
        </w:rPr>
      </w:pPr>
      <w:bookmarkStart w:id="285" w:name="_Toc136522855"/>
      <w:bookmarkStart w:id="286" w:name="_Toc13472051"/>
      <w:bookmarkStart w:id="287" w:name="_Toc10450173"/>
      <w:bookmarkStart w:id="288" w:name="_Toc511137129"/>
      <w:bookmarkStart w:id="289" w:name="_Toc507493172"/>
      <w:r>
        <w:rPr>
          <w:rFonts w:cstheme="majorBidi"/>
          <w:color w:val="54883D"/>
          <w:sz w:val="28"/>
          <w:lang w:bidi="en-US"/>
        </w:rPr>
        <w:lastRenderedPageBreak/>
        <w:t>6.5.4 Kontekst</w:t>
      </w:r>
      <w:bookmarkEnd w:id="285"/>
      <w:bookmarkEnd w:id="286"/>
      <w:bookmarkEnd w:id="287"/>
      <w:bookmarkEnd w:id="288"/>
      <w:bookmarkEnd w:id="289"/>
    </w:p>
    <w:p w:rsidR="00A07D92" w:rsidRDefault="00495E63">
      <w:r>
        <w:t xml:space="preserve">Na području grada Malog Lošinja postoje pravne osobe koje obavljaju djelatnost korištenjem opasnih tvari te su navedene u sljedećoj tablici. </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54</w:t>
      </w:r>
      <w:r>
        <w:rPr>
          <w:rFonts w:eastAsia="Calibri"/>
          <w:bCs/>
          <w:sz w:val="20"/>
          <w:szCs w:val="18"/>
        </w:rPr>
        <w:fldChar w:fldCharType="end"/>
      </w:r>
      <w:r>
        <w:rPr>
          <w:rFonts w:eastAsia="Calibri"/>
          <w:bCs/>
          <w:color w:val="54883D"/>
          <w:sz w:val="20"/>
          <w:szCs w:val="18"/>
          <w:lang w:bidi="en-US"/>
        </w:rPr>
        <w:t xml:space="preserve">.Pravne osobe koje obavljaju djelatnost </w:t>
      </w:r>
      <w:r>
        <w:rPr>
          <w:rFonts w:eastAsia="Calibri"/>
          <w:bCs/>
          <w:color w:val="54883D"/>
          <w:sz w:val="20"/>
          <w:szCs w:val="18"/>
          <w:lang w:bidi="en-US"/>
        </w:rPr>
        <w:t>korištenjem opasnih tvari</w:t>
      </w:r>
    </w:p>
    <w:tbl>
      <w:tblPr>
        <w:tblStyle w:val="Reetkatablice"/>
        <w:tblW w:w="9061" w:type="dxa"/>
        <w:tblLook w:val="04A0" w:firstRow="1" w:lastRow="0" w:firstColumn="1" w:lastColumn="0" w:noHBand="0" w:noVBand="1"/>
      </w:tblPr>
      <w:tblGrid>
        <w:gridCol w:w="1764"/>
        <w:gridCol w:w="1946"/>
        <w:gridCol w:w="1771"/>
        <w:gridCol w:w="1789"/>
        <w:gridCol w:w="1791"/>
      </w:tblGrid>
      <w:tr w:rsidR="00A07D92">
        <w:tc>
          <w:tcPr>
            <w:tcW w:w="1764" w:type="dxa"/>
            <w:shd w:val="clear" w:color="auto" w:fill="auto"/>
          </w:tcPr>
          <w:p w:rsidR="00A07D92" w:rsidRDefault="00495E63">
            <w:pPr>
              <w:spacing w:after="0" w:line="240" w:lineRule="auto"/>
              <w:jc w:val="center"/>
              <w:rPr>
                <w:b/>
                <w:bCs/>
                <w:iCs/>
                <w:color w:val="auto"/>
                <w:sz w:val="20"/>
                <w:lang w:bidi="en-US"/>
              </w:rPr>
            </w:pPr>
            <w:r>
              <w:rPr>
                <w:rFonts w:ascii="Times New Roman" w:hAnsi="Times New Roman" w:cs="Times New Roman"/>
                <w:b/>
                <w:bCs/>
                <w:iCs/>
                <w:color w:val="auto"/>
                <w:sz w:val="20"/>
                <w:lang w:eastAsia="hr-HR" w:bidi="en-US"/>
              </w:rPr>
              <w:t>Redni broj</w:t>
            </w:r>
          </w:p>
        </w:tc>
        <w:tc>
          <w:tcPr>
            <w:tcW w:w="1946" w:type="dxa"/>
            <w:shd w:val="clear" w:color="auto" w:fill="auto"/>
          </w:tcPr>
          <w:p w:rsidR="00A07D92" w:rsidRDefault="00495E63">
            <w:pPr>
              <w:spacing w:after="0" w:line="240" w:lineRule="auto"/>
              <w:jc w:val="center"/>
              <w:rPr>
                <w:b/>
                <w:bCs/>
                <w:iCs/>
                <w:color w:val="auto"/>
                <w:sz w:val="20"/>
                <w:lang w:bidi="en-US"/>
              </w:rPr>
            </w:pPr>
            <w:r>
              <w:rPr>
                <w:rFonts w:ascii="Times New Roman" w:hAnsi="Times New Roman" w:cs="Times New Roman"/>
                <w:b/>
                <w:bCs/>
                <w:iCs/>
                <w:color w:val="auto"/>
                <w:sz w:val="20"/>
                <w:lang w:eastAsia="hr-HR" w:bidi="en-US"/>
              </w:rPr>
              <w:t>Pravna osoba i adresa</w:t>
            </w:r>
          </w:p>
        </w:tc>
        <w:tc>
          <w:tcPr>
            <w:tcW w:w="1771" w:type="dxa"/>
            <w:shd w:val="clear" w:color="auto" w:fill="auto"/>
          </w:tcPr>
          <w:p w:rsidR="00A07D92" w:rsidRDefault="00495E63">
            <w:pPr>
              <w:spacing w:after="0" w:line="240" w:lineRule="auto"/>
              <w:jc w:val="center"/>
              <w:rPr>
                <w:b/>
                <w:bCs/>
                <w:iCs/>
                <w:color w:val="auto"/>
                <w:sz w:val="20"/>
                <w:lang w:bidi="en-US"/>
              </w:rPr>
            </w:pPr>
            <w:r>
              <w:rPr>
                <w:rFonts w:ascii="Times New Roman" w:hAnsi="Times New Roman" w:cs="Times New Roman"/>
                <w:b/>
                <w:bCs/>
                <w:iCs/>
                <w:color w:val="auto"/>
                <w:sz w:val="20"/>
                <w:lang w:eastAsia="hr-HR" w:bidi="en-US"/>
              </w:rPr>
              <w:t>Vrsta opasne tvari</w:t>
            </w:r>
          </w:p>
        </w:tc>
        <w:tc>
          <w:tcPr>
            <w:tcW w:w="1789" w:type="dxa"/>
            <w:shd w:val="clear" w:color="auto" w:fill="auto"/>
          </w:tcPr>
          <w:p w:rsidR="00A07D92" w:rsidRDefault="00495E63">
            <w:pPr>
              <w:spacing w:after="0" w:line="240" w:lineRule="auto"/>
              <w:jc w:val="center"/>
              <w:rPr>
                <w:b/>
                <w:bCs/>
                <w:iCs/>
                <w:color w:val="auto"/>
                <w:sz w:val="20"/>
                <w:lang w:bidi="en-US"/>
              </w:rPr>
            </w:pPr>
            <w:r>
              <w:rPr>
                <w:rFonts w:ascii="Times New Roman" w:hAnsi="Times New Roman" w:cs="Times New Roman"/>
                <w:b/>
                <w:bCs/>
                <w:iCs/>
                <w:color w:val="auto"/>
                <w:sz w:val="20"/>
                <w:lang w:eastAsia="hr-HR" w:bidi="en-US"/>
              </w:rPr>
              <w:t>Maksimalna količina opasne tvari</w:t>
            </w:r>
          </w:p>
        </w:tc>
        <w:tc>
          <w:tcPr>
            <w:tcW w:w="1791" w:type="dxa"/>
            <w:shd w:val="clear" w:color="auto" w:fill="auto"/>
          </w:tcPr>
          <w:p w:rsidR="00A07D92" w:rsidRDefault="00495E63">
            <w:pPr>
              <w:spacing w:after="0" w:line="240" w:lineRule="auto"/>
              <w:jc w:val="center"/>
              <w:rPr>
                <w:b/>
                <w:bCs/>
                <w:iCs/>
                <w:color w:val="auto"/>
                <w:sz w:val="20"/>
                <w:lang w:bidi="en-US"/>
              </w:rPr>
            </w:pPr>
            <w:r>
              <w:rPr>
                <w:rFonts w:ascii="Times New Roman" w:hAnsi="Times New Roman" w:cs="Times New Roman"/>
                <w:b/>
                <w:bCs/>
                <w:iCs/>
                <w:color w:val="auto"/>
                <w:sz w:val="20"/>
                <w:lang w:eastAsia="hr-HR" w:bidi="en-US"/>
              </w:rPr>
              <w:t>Mjesto i način skladištenja</w:t>
            </w:r>
          </w:p>
        </w:tc>
      </w:tr>
      <w:tr w:rsidR="00A07D92">
        <w:tc>
          <w:tcPr>
            <w:tcW w:w="1764" w:type="dxa"/>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w:t>
            </w:r>
          </w:p>
        </w:tc>
        <w:tc>
          <w:tcPr>
            <w:tcW w:w="1946"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LOŠINJSKA PLOVIDBA – BRODOGRADILIŠTE d.o.o., Lošinjskih Brodograditelja 55, Mali Lošinj</w:t>
            </w:r>
          </w:p>
        </w:tc>
        <w:tc>
          <w:tcPr>
            <w:tcW w:w="1771" w:type="dxa"/>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Otpadna udalj</w:t>
            </w:r>
          </w:p>
        </w:tc>
        <w:tc>
          <w:tcPr>
            <w:tcW w:w="1789" w:type="dxa"/>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30 t</w:t>
            </w:r>
          </w:p>
        </w:tc>
        <w:tc>
          <w:tcPr>
            <w:tcW w:w="1791" w:type="dxa"/>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Nadzemni spremnici</w:t>
            </w:r>
          </w:p>
        </w:tc>
      </w:tr>
      <w:tr w:rsidR="00A07D92">
        <w:trPr>
          <w:trHeight w:val="432"/>
        </w:trPr>
        <w:tc>
          <w:tcPr>
            <w:tcW w:w="1764"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2.</w:t>
            </w:r>
          </w:p>
        </w:tc>
        <w:tc>
          <w:tcPr>
            <w:tcW w:w="1946"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Aerodrom Mali Lošinj, </w:t>
            </w:r>
            <w:proofErr w:type="spellStart"/>
            <w:r>
              <w:rPr>
                <w:rFonts w:ascii="Times New Roman" w:hAnsi="Times New Roman" w:cs="Times New Roman"/>
                <w:iCs/>
                <w:color w:val="auto"/>
                <w:sz w:val="18"/>
                <w:szCs w:val="18"/>
                <w:lang w:eastAsia="hr-HR" w:bidi="en-US"/>
              </w:rPr>
              <w:t>Privlaka</w:t>
            </w:r>
            <w:proofErr w:type="spellEnd"/>
            <w:r>
              <w:rPr>
                <w:rFonts w:ascii="Times New Roman" w:hAnsi="Times New Roman" w:cs="Times New Roman"/>
                <w:iCs/>
                <w:color w:val="auto"/>
                <w:sz w:val="18"/>
                <w:szCs w:val="18"/>
                <w:lang w:eastAsia="hr-HR" w:bidi="en-US"/>
              </w:rPr>
              <w:t xml:space="preserve"> 19, Mali Lošinj</w:t>
            </w:r>
          </w:p>
        </w:tc>
        <w:tc>
          <w:tcPr>
            <w:tcW w:w="1771" w:type="dxa"/>
            <w:shd w:val="clear" w:color="auto" w:fill="auto"/>
          </w:tcPr>
          <w:p w:rsidR="00A07D92" w:rsidRDefault="00495E63">
            <w:pPr>
              <w:spacing w:after="0" w:line="240" w:lineRule="auto"/>
              <w:jc w:val="center"/>
              <w:rPr>
                <w:iCs/>
                <w:color w:val="auto"/>
                <w:sz w:val="18"/>
                <w:szCs w:val="18"/>
                <w:lang w:bidi="en-US"/>
              </w:rPr>
            </w:pPr>
            <w:proofErr w:type="spellStart"/>
            <w:r>
              <w:rPr>
                <w:rFonts w:ascii="Times New Roman" w:hAnsi="Times New Roman" w:cs="Times New Roman"/>
                <w:iCs/>
                <w:color w:val="auto"/>
                <w:sz w:val="18"/>
                <w:szCs w:val="18"/>
                <w:lang w:eastAsia="hr-HR" w:bidi="en-US"/>
              </w:rPr>
              <w:t>Aviation</w:t>
            </w:r>
            <w:proofErr w:type="spellEnd"/>
            <w:r>
              <w:rPr>
                <w:rFonts w:ascii="Times New Roman" w:hAnsi="Times New Roman" w:cs="Times New Roman"/>
                <w:iCs/>
                <w:color w:val="auto"/>
                <w:sz w:val="18"/>
                <w:szCs w:val="18"/>
                <w:lang w:eastAsia="hr-HR" w:bidi="en-US"/>
              </w:rPr>
              <w:t xml:space="preserve"> gas</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50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432"/>
        </w:trPr>
        <w:tc>
          <w:tcPr>
            <w:tcW w:w="1764"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946"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771" w:type="dxa"/>
            <w:shd w:val="clear" w:color="auto" w:fill="auto"/>
          </w:tcPr>
          <w:p w:rsidR="00A07D92" w:rsidRDefault="00495E63">
            <w:pPr>
              <w:spacing w:after="0" w:line="240" w:lineRule="auto"/>
              <w:jc w:val="center"/>
              <w:rPr>
                <w:iCs/>
                <w:color w:val="auto"/>
                <w:sz w:val="18"/>
                <w:szCs w:val="18"/>
                <w:lang w:bidi="en-US"/>
              </w:rPr>
            </w:pPr>
            <w:proofErr w:type="spellStart"/>
            <w:r>
              <w:rPr>
                <w:rFonts w:ascii="Times New Roman" w:hAnsi="Times New Roman" w:cs="Times New Roman"/>
                <w:iCs/>
                <w:color w:val="auto"/>
                <w:sz w:val="18"/>
                <w:szCs w:val="18"/>
                <w:lang w:eastAsia="hr-HR" w:bidi="en-US"/>
              </w:rPr>
              <w:t>Jet</w:t>
            </w:r>
            <w:proofErr w:type="spellEnd"/>
            <w:r>
              <w:rPr>
                <w:rFonts w:ascii="Times New Roman" w:hAnsi="Times New Roman" w:cs="Times New Roman"/>
                <w:iCs/>
                <w:color w:val="auto"/>
                <w:sz w:val="18"/>
                <w:szCs w:val="18"/>
                <w:lang w:eastAsia="hr-HR" w:bidi="en-US"/>
              </w:rPr>
              <w:t xml:space="preserve"> </w:t>
            </w:r>
            <w:proofErr w:type="spellStart"/>
            <w:r>
              <w:rPr>
                <w:rFonts w:ascii="Times New Roman" w:hAnsi="Times New Roman" w:cs="Times New Roman"/>
                <w:iCs/>
                <w:color w:val="auto"/>
                <w:sz w:val="18"/>
                <w:szCs w:val="18"/>
                <w:lang w:eastAsia="hr-HR" w:bidi="en-US"/>
              </w:rPr>
              <w:t>fuel</w:t>
            </w:r>
            <w:proofErr w:type="spellEnd"/>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50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432"/>
        </w:trPr>
        <w:tc>
          <w:tcPr>
            <w:tcW w:w="1764"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3.</w:t>
            </w:r>
          </w:p>
        </w:tc>
        <w:tc>
          <w:tcPr>
            <w:tcW w:w="1946"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INA BP Mali Lošinj – Grad, </w:t>
            </w:r>
            <w:proofErr w:type="spellStart"/>
            <w:r>
              <w:rPr>
                <w:rFonts w:ascii="Times New Roman" w:hAnsi="Times New Roman" w:cs="Times New Roman"/>
                <w:iCs/>
                <w:color w:val="auto"/>
                <w:sz w:val="18"/>
                <w:szCs w:val="18"/>
                <w:lang w:eastAsia="hr-HR" w:bidi="en-US"/>
              </w:rPr>
              <w:t>Veloselska</w:t>
            </w:r>
            <w:proofErr w:type="spellEnd"/>
            <w:r>
              <w:rPr>
                <w:rFonts w:ascii="Times New Roman" w:hAnsi="Times New Roman" w:cs="Times New Roman"/>
                <w:iCs/>
                <w:color w:val="auto"/>
                <w:sz w:val="18"/>
                <w:szCs w:val="18"/>
                <w:lang w:eastAsia="hr-HR" w:bidi="en-US"/>
              </w:rPr>
              <w:t xml:space="preserve"> cesta 27</w:t>
            </w: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Benzin</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110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432"/>
        </w:trPr>
        <w:tc>
          <w:tcPr>
            <w:tcW w:w="1764"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946"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Dizel</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50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w:t>
            </w:r>
            <w:r>
              <w:rPr>
                <w:rFonts w:ascii="Times New Roman" w:hAnsi="Times New Roman" w:cs="Times New Roman"/>
                <w:iCs/>
                <w:color w:val="auto"/>
                <w:sz w:val="18"/>
                <w:szCs w:val="18"/>
                <w:lang w:eastAsia="hr-HR" w:bidi="en-US"/>
              </w:rPr>
              <w:t xml:space="preserve"> spremnici</w:t>
            </w:r>
          </w:p>
        </w:tc>
      </w:tr>
      <w:tr w:rsidR="00A07D92">
        <w:trPr>
          <w:trHeight w:val="324"/>
        </w:trPr>
        <w:tc>
          <w:tcPr>
            <w:tcW w:w="1764"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4.</w:t>
            </w:r>
          </w:p>
        </w:tc>
        <w:tc>
          <w:tcPr>
            <w:tcW w:w="1946"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INA BP Mali Lošinj – Obala </w:t>
            </w:r>
            <w:proofErr w:type="spellStart"/>
            <w:r>
              <w:rPr>
                <w:rFonts w:ascii="Times New Roman" w:hAnsi="Times New Roman" w:cs="Times New Roman"/>
                <w:iCs/>
                <w:color w:val="auto"/>
                <w:sz w:val="18"/>
                <w:szCs w:val="18"/>
                <w:lang w:eastAsia="hr-HR" w:bidi="en-US"/>
              </w:rPr>
              <w:t>Priko</w:t>
            </w:r>
            <w:proofErr w:type="spellEnd"/>
            <w:r>
              <w:rPr>
                <w:rFonts w:ascii="Times New Roman" w:hAnsi="Times New Roman" w:cs="Times New Roman"/>
                <w:iCs/>
                <w:color w:val="auto"/>
                <w:sz w:val="18"/>
                <w:szCs w:val="18"/>
                <w:lang w:eastAsia="hr-HR" w:bidi="en-US"/>
              </w:rPr>
              <w:t xml:space="preserve"> 63a</w:t>
            </w: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Benzin</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105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324"/>
        </w:trPr>
        <w:tc>
          <w:tcPr>
            <w:tcW w:w="1764"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946"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Dizel</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90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222"/>
        </w:trPr>
        <w:tc>
          <w:tcPr>
            <w:tcW w:w="1764"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5.</w:t>
            </w:r>
          </w:p>
        </w:tc>
        <w:tc>
          <w:tcPr>
            <w:tcW w:w="1946"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Tifon BP</w:t>
            </w: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Benzin</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60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222"/>
        </w:trPr>
        <w:tc>
          <w:tcPr>
            <w:tcW w:w="1764"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946"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Dizel</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60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222"/>
        </w:trPr>
        <w:tc>
          <w:tcPr>
            <w:tcW w:w="1764"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6.</w:t>
            </w:r>
          </w:p>
        </w:tc>
        <w:tc>
          <w:tcPr>
            <w:tcW w:w="1946"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proofErr w:type="spellStart"/>
            <w:r>
              <w:rPr>
                <w:rFonts w:ascii="Times New Roman" w:hAnsi="Times New Roman" w:cs="Times New Roman"/>
                <w:iCs/>
                <w:color w:val="auto"/>
                <w:sz w:val="18"/>
                <w:szCs w:val="18"/>
                <w:lang w:eastAsia="hr-HR" w:bidi="en-US"/>
              </w:rPr>
              <w:t>Adria</w:t>
            </w:r>
            <w:proofErr w:type="spellEnd"/>
            <w:r>
              <w:rPr>
                <w:rFonts w:ascii="Times New Roman" w:hAnsi="Times New Roman" w:cs="Times New Roman"/>
                <w:iCs/>
                <w:color w:val="auto"/>
                <w:sz w:val="18"/>
                <w:szCs w:val="18"/>
                <w:lang w:eastAsia="hr-HR" w:bidi="en-US"/>
              </w:rPr>
              <w:t xml:space="preserve"> </w:t>
            </w:r>
            <w:proofErr w:type="spellStart"/>
            <w:r>
              <w:rPr>
                <w:rFonts w:ascii="Times New Roman" w:hAnsi="Times New Roman" w:cs="Times New Roman"/>
                <w:iCs/>
                <w:color w:val="auto"/>
                <w:sz w:val="18"/>
                <w:szCs w:val="18"/>
                <w:lang w:eastAsia="hr-HR" w:bidi="en-US"/>
              </w:rPr>
              <w:t>oil</w:t>
            </w:r>
            <w:proofErr w:type="spellEnd"/>
            <w:r>
              <w:rPr>
                <w:rFonts w:ascii="Times New Roman" w:hAnsi="Times New Roman" w:cs="Times New Roman"/>
                <w:iCs/>
                <w:color w:val="auto"/>
                <w:sz w:val="18"/>
                <w:szCs w:val="18"/>
                <w:lang w:eastAsia="hr-HR" w:bidi="en-US"/>
              </w:rPr>
              <w:t xml:space="preserve"> BP</w:t>
            </w: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Benzin</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60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222"/>
        </w:trPr>
        <w:tc>
          <w:tcPr>
            <w:tcW w:w="1764"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946"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dizel</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60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c>
          <w:tcPr>
            <w:tcW w:w="1764" w:type="dxa"/>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7.</w:t>
            </w:r>
          </w:p>
        </w:tc>
        <w:tc>
          <w:tcPr>
            <w:tcW w:w="1946"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Srednja škola Ambroza </w:t>
            </w:r>
            <w:proofErr w:type="spellStart"/>
            <w:r>
              <w:rPr>
                <w:rFonts w:ascii="Times New Roman" w:hAnsi="Times New Roman" w:cs="Times New Roman"/>
                <w:iCs/>
                <w:color w:val="auto"/>
                <w:sz w:val="18"/>
                <w:szCs w:val="18"/>
                <w:lang w:eastAsia="hr-HR" w:bidi="en-US"/>
              </w:rPr>
              <w:t>Haračića</w:t>
            </w:r>
            <w:proofErr w:type="spellEnd"/>
            <w:r>
              <w:rPr>
                <w:rFonts w:ascii="Times New Roman" w:hAnsi="Times New Roman" w:cs="Times New Roman"/>
                <w:iCs/>
                <w:color w:val="auto"/>
                <w:sz w:val="18"/>
                <w:szCs w:val="18"/>
                <w:lang w:eastAsia="hr-HR" w:bidi="en-US"/>
              </w:rPr>
              <w:t>, Omladinska 12, Mali Lošinj</w:t>
            </w:r>
          </w:p>
        </w:tc>
        <w:tc>
          <w:tcPr>
            <w:tcW w:w="1771" w:type="dxa"/>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LUEL</w:t>
            </w:r>
          </w:p>
        </w:tc>
        <w:tc>
          <w:tcPr>
            <w:tcW w:w="1789" w:type="dxa"/>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40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c>
          <w:tcPr>
            <w:tcW w:w="1764" w:type="dxa"/>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8.</w:t>
            </w:r>
          </w:p>
        </w:tc>
        <w:tc>
          <w:tcPr>
            <w:tcW w:w="1946"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Jadranka d.d. – servisno skladište zona Kalvarija </w:t>
            </w:r>
            <w:proofErr w:type="spellStart"/>
            <w:r>
              <w:rPr>
                <w:rFonts w:ascii="Times New Roman" w:hAnsi="Times New Roman" w:cs="Times New Roman"/>
                <w:iCs/>
                <w:color w:val="auto"/>
                <w:sz w:val="18"/>
                <w:szCs w:val="18"/>
                <w:lang w:eastAsia="hr-HR" w:bidi="en-US"/>
              </w:rPr>
              <w:t>bb</w:t>
            </w:r>
            <w:proofErr w:type="spellEnd"/>
            <w:r>
              <w:rPr>
                <w:rFonts w:ascii="Times New Roman" w:hAnsi="Times New Roman" w:cs="Times New Roman"/>
                <w:iCs/>
                <w:color w:val="auto"/>
                <w:sz w:val="18"/>
                <w:szCs w:val="18"/>
                <w:lang w:eastAsia="hr-HR" w:bidi="en-US"/>
              </w:rPr>
              <w:t>, Mali Lošinj</w:t>
            </w:r>
          </w:p>
        </w:tc>
        <w:tc>
          <w:tcPr>
            <w:tcW w:w="1771" w:type="dxa"/>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amonijak</w:t>
            </w:r>
          </w:p>
        </w:tc>
        <w:tc>
          <w:tcPr>
            <w:tcW w:w="1789" w:type="dxa"/>
            <w:shd w:val="clear" w:color="auto" w:fill="auto"/>
          </w:tcPr>
          <w:p w:rsidR="00A07D92" w:rsidRDefault="00495E63">
            <w:pPr>
              <w:spacing w:after="0" w:line="240" w:lineRule="auto"/>
              <w:rPr>
                <w:iCs/>
                <w:color w:val="auto"/>
                <w:sz w:val="18"/>
                <w:szCs w:val="18"/>
                <w:lang w:bidi="en-US"/>
              </w:rPr>
            </w:pPr>
            <w:r>
              <w:rPr>
                <w:rFonts w:ascii="Times New Roman" w:hAnsi="Times New Roman" w:cs="Times New Roman"/>
                <w:iCs/>
                <w:color w:val="auto"/>
                <w:sz w:val="18"/>
                <w:szCs w:val="18"/>
                <w:lang w:eastAsia="hr-HR" w:bidi="en-US"/>
              </w:rPr>
              <w:t>1,5 t (režim -10ºC)</w:t>
            </w: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1,5 t (režim -30ºC)</w:t>
            </w:r>
          </w:p>
        </w:tc>
        <w:tc>
          <w:tcPr>
            <w:tcW w:w="1791" w:type="dxa"/>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Nadzemni spremnici</w:t>
            </w:r>
          </w:p>
        </w:tc>
      </w:tr>
      <w:tr w:rsidR="00A07D92">
        <w:tc>
          <w:tcPr>
            <w:tcW w:w="1764"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9.</w:t>
            </w:r>
          </w:p>
        </w:tc>
        <w:tc>
          <w:tcPr>
            <w:tcW w:w="1946"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Jadranka d.o.o. Kamp </w:t>
            </w:r>
            <w:proofErr w:type="spellStart"/>
            <w:r>
              <w:rPr>
                <w:rFonts w:ascii="Times New Roman" w:hAnsi="Times New Roman" w:cs="Times New Roman"/>
                <w:iCs/>
                <w:color w:val="auto"/>
                <w:sz w:val="18"/>
                <w:szCs w:val="18"/>
                <w:lang w:eastAsia="hr-HR" w:bidi="en-US"/>
              </w:rPr>
              <w:t>Čikat</w:t>
            </w:r>
            <w:proofErr w:type="spellEnd"/>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UNP</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3x5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Nadzemni spremnici</w:t>
            </w:r>
          </w:p>
        </w:tc>
      </w:tr>
      <w:tr w:rsidR="00A07D92">
        <w:tc>
          <w:tcPr>
            <w:tcW w:w="1764"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10.</w:t>
            </w:r>
          </w:p>
        </w:tc>
        <w:tc>
          <w:tcPr>
            <w:tcW w:w="1946"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Jadranka d.o.o. Kamp </w:t>
            </w:r>
            <w:proofErr w:type="spellStart"/>
            <w:r>
              <w:rPr>
                <w:rFonts w:ascii="Times New Roman" w:hAnsi="Times New Roman" w:cs="Times New Roman"/>
                <w:iCs/>
                <w:color w:val="auto"/>
                <w:sz w:val="18"/>
                <w:szCs w:val="18"/>
                <w:lang w:eastAsia="hr-HR" w:bidi="en-US"/>
              </w:rPr>
              <w:t>Bijar</w:t>
            </w:r>
            <w:proofErr w:type="spellEnd"/>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LUEL</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2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Nadzemni spremnici</w:t>
            </w:r>
          </w:p>
        </w:tc>
      </w:tr>
      <w:tr w:rsidR="00A07D92">
        <w:trPr>
          <w:trHeight w:val="324"/>
        </w:trPr>
        <w:tc>
          <w:tcPr>
            <w:tcW w:w="1764"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11.</w:t>
            </w:r>
          </w:p>
        </w:tc>
        <w:tc>
          <w:tcPr>
            <w:tcW w:w="1946"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Jadranka d.o.o. Kamp </w:t>
            </w:r>
            <w:proofErr w:type="spellStart"/>
            <w:r>
              <w:rPr>
                <w:rFonts w:ascii="Times New Roman" w:hAnsi="Times New Roman" w:cs="Times New Roman"/>
                <w:iCs/>
                <w:color w:val="auto"/>
                <w:sz w:val="18"/>
                <w:szCs w:val="18"/>
                <w:lang w:eastAsia="hr-HR" w:bidi="en-US"/>
              </w:rPr>
              <w:t>Baldarin</w:t>
            </w:r>
            <w:proofErr w:type="spellEnd"/>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UNP</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5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Nadzemni spremnici</w:t>
            </w:r>
          </w:p>
        </w:tc>
      </w:tr>
      <w:tr w:rsidR="00A07D92">
        <w:trPr>
          <w:trHeight w:val="324"/>
        </w:trPr>
        <w:tc>
          <w:tcPr>
            <w:tcW w:w="1764"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946"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UNP</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2x5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c>
          <w:tcPr>
            <w:tcW w:w="1764"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12.</w:t>
            </w:r>
          </w:p>
        </w:tc>
        <w:tc>
          <w:tcPr>
            <w:tcW w:w="1946"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Hotel </w:t>
            </w:r>
            <w:proofErr w:type="spellStart"/>
            <w:r>
              <w:rPr>
                <w:rFonts w:ascii="Times New Roman" w:hAnsi="Times New Roman" w:cs="Times New Roman"/>
                <w:iCs/>
                <w:color w:val="auto"/>
                <w:sz w:val="18"/>
                <w:szCs w:val="18"/>
                <w:lang w:eastAsia="hr-HR" w:bidi="en-US"/>
              </w:rPr>
              <w:t>Manora</w:t>
            </w:r>
            <w:proofErr w:type="spellEnd"/>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UNP</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 m</w:t>
            </w:r>
            <w:r>
              <w:rPr>
                <w:rFonts w:ascii="Times New Roman" w:hAnsi="Times New Roman" w:cs="Times New Roman"/>
                <w:iCs/>
                <w:color w:val="auto"/>
                <w:sz w:val="18"/>
                <w:szCs w:val="18"/>
                <w:vertAlign w:val="superscript"/>
                <w:lang w:eastAsia="hr-HR" w:bidi="en-US"/>
              </w:rPr>
              <w:t>3</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222"/>
        </w:trPr>
        <w:tc>
          <w:tcPr>
            <w:tcW w:w="1764"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13.</w:t>
            </w:r>
          </w:p>
        </w:tc>
        <w:tc>
          <w:tcPr>
            <w:tcW w:w="1946"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Hotel </w:t>
            </w:r>
            <w:proofErr w:type="spellStart"/>
            <w:r>
              <w:rPr>
                <w:rFonts w:ascii="Times New Roman" w:hAnsi="Times New Roman" w:cs="Times New Roman"/>
                <w:iCs/>
                <w:color w:val="auto"/>
                <w:sz w:val="18"/>
                <w:szCs w:val="18"/>
                <w:lang w:eastAsia="hr-HR" w:bidi="en-US"/>
              </w:rPr>
              <w:t>Bellevue</w:t>
            </w:r>
            <w:proofErr w:type="spellEnd"/>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UNP</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2x11 t</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222"/>
        </w:trPr>
        <w:tc>
          <w:tcPr>
            <w:tcW w:w="1764"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946"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Natrijev </w:t>
            </w:r>
            <w:proofErr w:type="spellStart"/>
            <w:r>
              <w:rPr>
                <w:rFonts w:ascii="Times New Roman" w:hAnsi="Times New Roman" w:cs="Times New Roman"/>
                <w:iCs/>
                <w:color w:val="auto"/>
                <w:sz w:val="18"/>
                <w:szCs w:val="18"/>
                <w:lang w:eastAsia="hr-HR" w:bidi="en-US"/>
              </w:rPr>
              <w:t>hipoklorit</w:t>
            </w:r>
            <w:proofErr w:type="spellEnd"/>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2 t</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Nadzemni spremnici</w:t>
            </w:r>
          </w:p>
        </w:tc>
      </w:tr>
      <w:tr w:rsidR="00A07D92">
        <w:trPr>
          <w:trHeight w:val="222"/>
        </w:trPr>
        <w:tc>
          <w:tcPr>
            <w:tcW w:w="1764"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14.</w:t>
            </w:r>
          </w:p>
        </w:tc>
        <w:tc>
          <w:tcPr>
            <w:tcW w:w="1946"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Hotel Aurora</w:t>
            </w: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UNP</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3x20 t</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222"/>
        </w:trPr>
        <w:tc>
          <w:tcPr>
            <w:tcW w:w="1764"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946"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Natrijev </w:t>
            </w:r>
            <w:proofErr w:type="spellStart"/>
            <w:r>
              <w:rPr>
                <w:rFonts w:ascii="Times New Roman" w:hAnsi="Times New Roman" w:cs="Times New Roman"/>
                <w:iCs/>
                <w:color w:val="auto"/>
                <w:sz w:val="18"/>
                <w:szCs w:val="18"/>
                <w:lang w:eastAsia="hr-HR" w:bidi="en-US"/>
              </w:rPr>
              <w:t>hipoklorit</w:t>
            </w:r>
            <w:proofErr w:type="spellEnd"/>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3,5 t</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Nadzemni spremnici</w:t>
            </w:r>
          </w:p>
        </w:tc>
      </w:tr>
      <w:tr w:rsidR="00A07D92">
        <w:trPr>
          <w:trHeight w:val="222"/>
        </w:trPr>
        <w:tc>
          <w:tcPr>
            <w:tcW w:w="1764"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15.</w:t>
            </w:r>
          </w:p>
        </w:tc>
        <w:tc>
          <w:tcPr>
            <w:tcW w:w="1946"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Hotel </w:t>
            </w:r>
            <w:proofErr w:type="spellStart"/>
            <w:r>
              <w:rPr>
                <w:rFonts w:ascii="Times New Roman" w:hAnsi="Times New Roman" w:cs="Times New Roman"/>
                <w:iCs/>
                <w:color w:val="auto"/>
                <w:sz w:val="18"/>
                <w:szCs w:val="18"/>
                <w:lang w:eastAsia="hr-HR" w:bidi="en-US"/>
              </w:rPr>
              <w:t>Vespera</w:t>
            </w:r>
            <w:proofErr w:type="spellEnd"/>
          </w:p>
        </w:tc>
        <w:tc>
          <w:tcPr>
            <w:tcW w:w="5351" w:type="dxa"/>
            <w:gridSpan w:val="3"/>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UNP </w:t>
            </w:r>
            <w:r>
              <w:rPr>
                <w:rFonts w:ascii="Times New Roman" w:hAnsi="Times New Roman" w:cs="Times New Roman"/>
                <w:iCs/>
                <w:color w:val="auto"/>
                <w:sz w:val="18"/>
                <w:szCs w:val="18"/>
                <w:lang w:eastAsia="hr-HR" w:bidi="en-US"/>
              </w:rPr>
              <w:t>(zajednički podzemni spremnici Hotela Aurora)</w:t>
            </w:r>
          </w:p>
        </w:tc>
      </w:tr>
      <w:tr w:rsidR="00A07D92">
        <w:trPr>
          <w:trHeight w:val="222"/>
        </w:trPr>
        <w:tc>
          <w:tcPr>
            <w:tcW w:w="1764"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946"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Natrijev </w:t>
            </w:r>
            <w:proofErr w:type="spellStart"/>
            <w:r>
              <w:rPr>
                <w:rFonts w:ascii="Times New Roman" w:hAnsi="Times New Roman" w:cs="Times New Roman"/>
                <w:iCs/>
                <w:color w:val="auto"/>
                <w:sz w:val="18"/>
                <w:szCs w:val="18"/>
                <w:lang w:eastAsia="hr-HR" w:bidi="en-US"/>
              </w:rPr>
              <w:t>hipoklorit</w:t>
            </w:r>
            <w:proofErr w:type="spellEnd"/>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3,5 t</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Nadzemni spremnici</w:t>
            </w:r>
          </w:p>
        </w:tc>
      </w:tr>
      <w:tr w:rsidR="00A07D92">
        <w:trPr>
          <w:trHeight w:val="222"/>
        </w:trPr>
        <w:tc>
          <w:tcPr>
            <w:tcW w:w="1764"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16.</w:t>
            </w:r>
          </w:p>
        </w:tc>
        <w:tc>
          <w:tcPr>
            <w:tcW w:w="1946" w:type="dxa"/>
            <w:vMerge w:val="restart"/>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p w:rsidR="00A07D92" w:rsidRDefault="00495E63">
            <w:pPr>
              <w:spacing w:after="0" w:line="240" w:lineRule="auto"/>
              <w:jc w:val="center"/>
              <w:rPr>
                <w:iCs/>
                <w:color w:val="auto"/>
                <w:sz w:val="18"/>
                <w:szCs w:val="18"/>
                <w:lang w:bidi="en-US"/>
              </w:rPr>
            </w:pPr>
            <w:proofErr w:type="spellStart"/>
            <w:r>
              <w:rPr>
                <w:rFonts w:ascii="Times New Roman" w:hAnsi="Times New Roman" w:cs="Times New Roman"/>
                <w:iCs/>
                <w:color w:val="auto"/>
                <w:sz w:val="18"/>
                <w:szCs w:val="18"/>
                <w:lang w:eastAsia="hr-HR" w:bidi="en-US"/>
              </w:rPr>
              <w:t>Vitality</w:t>
            </w:r>
            <w:proofErr w:type="spellEnd"/>
            <w:r>
              <w:rPr>
                <w:rFonts w:ascii="Times New Roman" w:hAnsi="Times New Roman" w:cs="Times New Roman"/>
                <w:iCs/>
                <w:color w:val="auto"/>
                <w:sz w:val="18"/>
                <w:szCs w:val="18"/>
                <w:lang w:eastAsia="hr-HR" w:bidi="en-US"/>
              </w:rPr>
              <w:t xml:space="preserve"> Hotel Punta</w:t>
            </w: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UNP</w:t>
            </w:r>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30 t</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Podzemni spremnici</w:t>
            </w:r>
          </w:p>
        </w:tc>
      </w:tr>
      <w:tr w:rsidR="00A07D92">
        <w:trPr>
          <w:trHeight w:val="222"/>
        </w:trPr>
        <w:tc>
          <w:tcPr>
            <w:tcW w:w="1764"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946" w:type="dxa"/>
            <w:vMerge/>
            <w:shd w:val="clear" w:color="auto" w:fill="auto"/>
          </w:tcPr>
          <w:p w:rsidR="00A07D92" w:rsidRDefault="00A07D92">
            <w:pPr>
              <w:spacing w:after="0" w:line="240" w:lineRule="auto"/>
              <w:jc w:val="center"/>
              <w:rPr>
                <w:rFonts w:ascii="Times New Roman" w:hAnsi="Times New Roman" w:cs="Times New Roman"/>
                <w:iCs/>
                <w:color w:val="auto"/>
                <w:sz w:val="18"/>
                <w:szCs w:val="18"/>
                <w:lang w:eastAsia="hr-HR" w:bidi="en-US"/>
              </w:rPr>
            </w:pPr>
          </w:p>
        </w:tc>
        <w:tc>
          <w:tcPr>
            <w:tcW w:w="177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 xml:space="preserve">Natrijev </w:t>
            </w:r>
            <w:proofErr w:type="spellStart"/>
            <w:r>
              <w:rPr>
                <w:rFonts w:ascii="Times New Roman" w:hAnsi="Times New Roman" w:cs="Times New Roman"/>
                <w:iCs/>
                <w:color w:val="auto"/>
                <w:sz w:val="18"/>
                <w:szCs w:val="18"/>
                <w:lang w:eastAsia="hr-HR" w:bidi="en-US"/>
              </w:rPr>
              <w:t>hipoklorit</w:t>
            </w:r>
            <w:proofErr w:type="spellEnd"/>
          </w:p>
        </w:tc>
        <w:tc>
          <w:tcPr>
            <w:tcW w:w="1789"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5 t</w:t>
            </w:r>
          </w:p>
        </w:tc>
        <w:tc>
          <w:tcPr>
            <w:tcW w:w="1791" w:type="dxa"/>
            <w:shd w:val="clear" w:color="auto" w:fill="auto"/>
          </w:tcPr>
          <w:p w:rsidR="00A07D92" w:rsidRDefault="00495E63">
            <w:pPr>
              <w:spacing w:after="0" w:line="240" w:lineRule="auto"/>
              <w:jc w:val="center"/>
              <w:rPr>
                <w:iCs/>
                <w:color w:val="auto"/>
                <w:sz w:val="18"/>
                <w:szCs w:val="18"/>
                <w:lang w:bidi="en-US"/>
              </w:rPr>
            </w:pPr>
            <w:r>
              <w:rPr>
                <w:rFonts w:ascii="Times New Roman" w:hAnsi="Times New Roman" w:cs="Times New Roman"/>
                <w:iCs/>
                <w:color w:val="auto"/>
                <w:sz w:val="18"/>
                <w:szCs w:val="18"/>
                <w:lang w:eastAsia="hr-HR" w:bidi="en-US"/>
              </w:rPr>
              <w:t>Nadzemni spremnici</w:t>
            </w:r>
          </w:p>
        </w:tc>
      </w:tr>
    </w:tbl>
    <w:p w:rsidR="00A07D92" w:rsidRDefault="00A07D92">
      <w:pPr>
        <w:jc w:val="center"/>
        <w:rPr>
          <w:iCs/>
          <w:color w:val="54883D"/>
          <w:sz w:val="20"/>
          <w:lang w:bidi="en-US"/>
        </w:rPr>
      </w:pPr>
    </w:p>
    <w:p w:rsidR="00A07D92" w:rsidRDefault="00495E63">
      <w:pPr>
        <w:keepNext/>
        <w:keepLines/>
        <w:tabs>
          <w:tab w:val="left" w:pos="0"/>
        </w:tabs>
        <w:spacing w:before="40"/>
        <w:outlineLvl w:val="2"/>
        <w:rPr>
          <w:rFonts w:cstheme="majorBidi"/>
          <w:color w:val="54883D"/>
          <w:sz w:val="28"/>
          <w:lang w:bidi="en-US"/>
        </w:rPr>
      </w:pPr>
      <w:bookmarkStart w:id="290" w:name="_Toc136522856"/>
      <w:bookmarkStart w:id="291" w:name="_Toc13472052"/>
      <w:bookmarkStart w:id="292" w:name="_Toc10450174"/>
      <w:bookmarkStart w:id="293" w:name="_Toc511137130"/>
      <w:bookmarkStart w:id="294" w:name="_Toc507493173"/>
      <w:r>
        <w:rPr>
          <w:rFonts w:cstheme="majorBidi"/>
          <w:color w:val="54883D"/>
          <w:sz w:val="28"/>
          <w:lang w:bidi="en-US"/>
        </w:rPr>
        <w:t>6.5.5 Uzrok</w:t>
      </w:r>
      <w:bookmarkEnd w:id="290"/>
      <w:bookmarkEnd w:id="291"/>
      <w:bookmarkEnd w:id="292"/>
      <w:bookmarkEnd w:id="293"/>
      <w:bookmarkEnd w:id="294"/>
    </w:p>
    <w:p w:rsidR="00A07D92" w:rsidRDefault="00495E63">
      <w:pPr>
        <w:rPr>
          <w:szCs w:val="22"/>
        </w:rPr>
      </w:pPr>
      <w:r>
        <w:rPr>
          <w:szCs w:val="22"/>
        </w:rPr>
        <w:t>Uzrokom opasnosti smatra se događaj, smetnja u</w:t>
      </w:r>
      <w:r>
        <w:rPr>
          <w:szCs w:val="22"/>
        </w:rPr>
        <w:t xml:space="preserve"> funkciji ili pak propust djelatnika, a uslijed kojih se može osloboditi opasna tvar, te može doći do povezivanja u uzročno - posljedični lanac događaja koji, iako svaki sam za sebe ne predstavljaju dovoljan uzrok ugrožavanja, uslijed pretpostavljenog pove</w:t>
      </w:r>
      <w:r>
        <w:rPr>
          <w:szCs w:val="22"/>
        </w:rPr>
        <w:t>zivanja događaja predstavljaju realnu opasnost. Na osnovu analize postojećeg stanja utvrđeni su mogući uzroci izvanrednog događaja prikazani tablicom.</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55</w:t>
      </w:r>
      <w:r>
        <w:rPr>
          <w:rFonts w:eastAsia="Calibri"/>
          <w:bCs/>
          <w:sz w:val="20"/>
          <w:szCs w:val="18"/>
        </w:rPr>
        <w:fldChar w:fldCharType="end"/>
      </w:r>
      <w:r>
        <w:rPr>
          <w:rFonts w:eastAsia="Calibri"/>
          <w:bCs/>
          <w:color w:val="54883D"/>
          <w:sz w:val="20"/>
          <w:szCs w:val="18"/>
          <w:lang w:bidi="en-US"/>
        </w:rPr>
        <w:t>.Mogući uzroci izvanrednog događaja</w:t>
      </w:r>
    </w:p>
    <w:tbl>
      <w:tblPr>
        <w:tblStyle w:val="Reetkatablice"/>
        <w:tblW w:w="9060" w:type="dxa"/>
        <w:tblLook w:val="04A0" w:firstRow="1" w:lastRow="0" w:firstColumn="1" w:lastColumn="0" w:noHBand="0" w:noVBand="1"/>
      </w:tblPr>
      <w:tblGrid>
        <w:gridCol w:w="4531"/>
        <w:gridCol w:w="4529"/>
      </w:tblGrid>
      <w:tr w:rsidR="00A07D92">
        <w:trPr>
          <w:trHeight w:val="673"/>
          <w:tblHeader/>
        </w:trPr>
        <w:tc>
          <w:tcPr>
            <w:tcW w:w="453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rFonts w:ascii="Times New Roman" w:hAnsi="Times New Roman" w:cs="Times New Roman"/>
                <w:b/>
                <w:color w:val="000000"/>
                <w:sz w:val="20"/>
                <w:szCs w:val="20"/>
                <w:lang w:eastAsia="hr-HR"/>
              </w:rPr>
              <w:t>SKUPINA UZROKA</w:t>
            </w: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rFonts w:ascii="Times New Roman" w:hAnsi="Times New Roman" w:cs="Times New Roman"/>
                <w:b/>
                <w:color w:val="000000"/>
                <w:sz w:val="20"/>
                <w:szCs w:val="20"/>
                <w:lang w:eastAsia="hr-HR"/>
              </w:rPr>
              <w:t xml:space="preserve">MOGUĆI UZROCI UNUTAR </w:t>
            </w:r>
            <w:r>
              <w:rPr>
                <w:rFonts w:ascii="Times New Roman" w:hAnsi="Times New Roman" w:cs="Times New Roman"/>
                <w:b/>
                <w:color w:val="000000"/>
                <w:sz w:val="20"/>
                <w:szCs w:val="20"/>
                <w:lang w:eastAsia="hr-HR"/>
              </w:rPr>
              <w:t>SKUPINE</w:t>
            </w:r>
          </w:p>
        </w:tc>
      </w:tr>
      <w:tr w:rsidR="00A07D92">
        <w:trPr>
          <w:trHeight w:val="28"/>
        </w:trPr>
        <w:tc>
          <w:tcPr>
            <w:tcW w:w="4530"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r>
              <w:rPr>
                <w:rFonts w:ascii="Times New Roman" w:hAnsi="Times New Roman" w:cs="Times New Roman"/>
                <w:sz w:val="20"/>
                <w:szCs w:val="20"/>
                <w:lang w:eastAsia="hr-HR"/>
              </w:rPr>
              <w:t>LJUDSKI FAKTOR</w:t>
            </w: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Nepažnja prilikom dopreme opasnih tvari tj. pretakanja, remonta i sl.</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Uporaba otvorenog plamena ili pak rukovanje instalacijama i uređajima na tehnički nedopušten način</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 xml:space="preserve">Nepridržavanje uputa za rukovanje opasnim tvarima (uporaba </w:t>
            </w:r>
            <w:r>
              <w:rPr>
                <w:rFonts w:ascii="Times New Roman" w:hAnsi="Times New Roman" w:cs="Times New Roman"/>
                <w:color w:val="000000"/>
                <w:sz w:val="20"/>
                <w:szCs w:val="20"/>
                <w:lang w:eastAsia="hr-HR"/>
              </w:rPr>
              <w:t>otvorenog plamena ili alata koji iskri, pušenje na mjestima koja nisu za to predviđena i sl.)</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Nošenje odjeće koja stvara statički elektricitet u blizini lako zapaljivih tvari</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Nepoštivanje propisa o rukovanju i održavanju postrojenja (pranje uređaja zap</w:t>
            </w:r>
            <w:r>
              <w:rPr>
                <w:rFonts w:ascii="Times New Roman" w:hAnsi="Times New Roman" w:cs="Times New Roman"/>
                <w:color w:val="000000"/>
                <w:sz w:val="20"/>
                <w:szCs w:val="20"/>
                <w:lang w:eastAsia="hr-HR"/>
              </w:rPr>
              <w:t>aljivim tekućinama dok su u radu)</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Nepridržavanje mjera sigurnosti prilikom remonta postrojenja</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Neprikladno pohranjivanje manjih količina zapaljivih tvari</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Nepažnja prilikom rukovanja opasnim tvarima</w:t>
            </w:r>
          </w:p>
        </w:tc>
      </w:tr>
      <w:tr w:rsidR="00A07D92">
        <w:trPr>
          <w:trHeight w:val="28"/>
        </w:trPr>
        <w:tc>
          <w:tcPr>
            <w:tcW w:w="4530"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r>
              <w:rPr>
                <w:rFonts w:ascii="Times New Roman" w:hAnsi="Times New Roman" w:cs="Times New Roman"/>
                <w:sz w:val="20"/>
                <w:szCs w:val="20"/>
                <w:lang w:eastAsia="hr-HR"/>
              </w:rPr>
              <w:t>POREMEĆAJ TEHNOLOŠKOG PROCESA</w:t>
            </w: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 xml:space="preserve">Zatajenje prateće </w:t>
            </w:r>
            <w:r>
              <w:rPr>
                <w:rFonts w:ascii="Times New Roman" w:hAnsi="Times New Roman" w:cs="Times New Roman"/>
                <w:color w:val="000000"/>
                <w:sz w:val="20"/>
                <w:szCs w:val="20"/>
                <w:lang w:eastAsia="hr-HR"/>
              </w:rPr>
              <w:t>opreme spremnika (električna oprema, sigurnosni ventili, odušci, cjevovodi, i sl.)</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Propuštanje spremnika</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Kvarovi većeg opsega na postrojenju</w:t>
            </w:r>
          </w:p>
        </w:tc>
      </w:tr>
      <w:tr w:rsidR="00A07D92">
        <w:trPr>
          <w:trHeight w:val="28"/>
        </w:trPr>
        <w:tc>
          <w:tcPr>
            <w:tcW w:w="4530"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r>
              <w:rPr>
                <w:rFonts w:ascii="Times New Roman" w:hAnsi="Times New Roman" w:cs="Times New Roman"/>
                <w:sz w:val="20"/>
                <w:szCs w:val="20"/>
                <w:lang w:eastAsia="hr-HR"/>
              </w:rPr>
              <w:t>NAMJERNO RAZARANJE</w:t>
            </w: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Organizirani kriminal</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Terorizam</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Sabotaže</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Psihički nestabilne osobe</w:t>
            </w:r>
          </w:p>
        </w:tc>
      </w:tr>
      <w:tr w:rsidR="00A07D92">
        <w:trPr>
          <w:trHeight w:val="28"/>
        </w:trPr>
        <w:tc>
          <w:tcPr>
            <w:tcW w:w="4530"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sz w:val="20"/>
                <w:szCs w:val="20"/>
              </w:rPr>
            </w:pPr>
            <w:r>
              <w:rPr>
                <w:rFonts w:ascii="Times New Roman" w:hAnsi="Times New Roman" w:cs="Times New Roman"/>
                <w:sz w:val="20"/>
                <w:szCs w:val="20"/>
                <w:lang w:eastAsia="hr-HR"/>
              </w:rPr>
              <w:t>PRIRODNE NEPOGODE</w:t>
            </w:r>
            <w:r>
              <w:rPr>
                <w:rFonts w:ascii="Times New Roman" w:hAnsi="Times New Roman" w:cs="Times New Roman"/>
                <w:sz w:val="20"/>
                <w:szCs w:val="20"/>
                <w:lang w:eastAsia="hr-HR"/>
              </w:rPr>
              <w:t xml:space="preserve"> JAČEG INTENZITETA</w:t>
            </w: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Potres</w:t>
            </w:r>
          </w:p>
        </w:tc>
      </w:tr>
      <w:tr w:rsidR="00A07D92">
        <w:trPr>
          <w:trHeight w:val="28"/>
        </w:trPr>
        <w:tc>
          <w:tcPr>
            <w:tcW w:w="453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rFonts w:ascii="Times New Roman" w:hAnsi="Times New Roman" w:cs="Times New Roman"/>
                <w:sz w:val="20"/>
                <w:szCs w:val="20"/>
                <w:lang w:eastAsia="hr-HR"/>
              </w:rPr>
            </w:pPr>
          </w:p>
        </w:tc>
        <w:tc>
          <w:tcPr>
            <w:tcW w:w="45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left"/>
              <w:rPr>
                <w:color w:val="000000"/>
                <w:sz w:val="20"/>
                <w:szCs w:val="20"/>
              </w:rPr>
            </w:pPr>
            <w:r>
              <w:rPr>
                <w:rFonts w:ascii="Times New Roman" w:hAnsi="Times New Roman" w:cs="Times New Roman"/>
                <w:color w:val="000000"/>
                <w:sz w:val="20"/>
                <w:szCs w:val="20"/>
                <w:lang w:eastAsia="hr-HR"/>
              </w:rPr>
              <w:t>Poledica</w:t>
            </w:r>
          </w:p>
        </w:tc>
      </w:tr>
    </w:tbl>
    <w:p w:rsidR="00A07D92" w:rsidRDefault="00495E63">
      <w:pPr>
        <w:rPr>
          <w:szCs w:val="22"/>
        </w:rPr>
      </w:pPr>
      <w:r>
        <w:rPr>
          <w:szCs w:val="22"/>
        </w:rPr>
        <w:t>Kod najvjerojatnijeg mogućeg izvanrednog događaja uzrok može biti ljudski faktor, poremećaji tehnološkog procesa i prirodne nepogode jačeg intenziteta.</w:t>
      </w:r>
    </w:p>
    <w:p w:rsidR="00A07D92" w:rsidRDefault="00A07D92">
      <w:pPr>
        <w:spacing w:before="0" w:after="0"/>
        <w:rPr>
          <w:u w:val="single"/>
        </w:rPr>
      </w:pPr>
    </w:p>
    <w:p w:rsidR="00A07D92" w:rsidRDefault="00495E63">
      <w:pPr>
        <w:rPr>
          <w:u w:val="single"/>
        </w:rPr>
      </w:pPr>
      <w:r>
        <w:rPr>
          <w:u w:val="single"/>
        </w:rPr>
        <w:t>RAZVOJ DOGAĐAJA KOJI JE PRETHODIO VELIKOJ NESREĆI</w:t>
      </w:r>
    </w:p>
    <w:p w:rsidR="00A07D92" w:rsidRDefault="00495E63">
      <w:pPr>
        <w:spacing w:before="0" w:after="0"/>
      </w:pPr>
      <w:r>
        <w:lastRenderedPageBreak/>
        <w:t xml:space="preserve">Uslijed kvara, </w:t>
      </w:r>
      <w:r>
        <w:t>ljudske pogreške ili prirodne nepogode dolazi do brzog ispuštanja opasne tvari (smjesa plina i aerosoli). Ovisno o dostignuću koncentracije opasne tvari u zraku nastati će negativne zdravstvene posljedice po ljude ili životna ugroženost.</w:t>
      </w:r>
    </w:p>
    <w:p w:rsidR="00A07D92" w:rsidRDefault="00495E63">
      <w:pPr>
        <w:rPr>
          <w:u w:val="single"/>
        </w:rPr>
      </w:pPr>
      <w:r>
        <w:rPr>
          <w:u w:val="single"/>
        </w:rPr>
        <w:t>OKIDAČ KOJI JE UZR</w:t>
      </w:r>
      <w:r>
        <w:rPr>
          <w:u w:val="single"/>
        </w:rPr>
        <w:t>OKOVAO VELIKU NESREĆU</w:t>
      </w:r>
    </w:p>
    <w:p w:rsidR="00A07D92" w:rsidRDefault="00495E63">
      <w:pPr>
        <w:spacing w:before="0" w:after="0"/>
        <w:rPr>
          <w:lang w:bidi="en-US"/>
        </w:rPr>
      </w:pPr>
      <w:r>
        <w:rPr>
          <w:lang w:bidi="en-US"/>
        </w:rPr>
        <w:t>Ispuštanje 3 tone amonijaka u zrak.</w:t>
      </w:r>
    </w:p>
    <w:p w:rsidR="00A07D92" w:rsidRDefault="00A07D92">
      <w:pPr>
        <w:spacing w:before="0" w:after="0"/>
        <w:rPr>
          <w:lang w:bidi="en-US"/>
        </w:rPr>
      </w:pPr>
    </w:p>
    <w:p w:rsidR="00A07D92" w:rsidRDefault="00495E63">
      <w:pPr>
        <w:keepNext/>
        <w:keepLines/>
        <w:tabs>
          <w:tab w:val="left" w:pos="0"/>
        </w:tabs>
        <w:spacing w:before="40"/>
        <w:outlineLvl w:val="2"/>
        <w:rPr>
          <w:rFonts w:cstheme="majorBidi"/>
          <w:iCs/>
          <w:color w:val="54883D"/>
          <w:sz w:val="28"/>
          <w:lang w:bidi="en-US"/>
        </w:rPr>
      </w:pPr>
      <w:bookmarkStart w:id="295" w:name="_Toc136522857"/>
      <w:bookmarkStart w:id="296" w:name="_Toc13472053"/>
      <w:bookmarkStart w:id="297" w:name="_Toc10450175"/>
      <w:bookmarkStart w:id="298" w:name="_Toc511137131"/>
      <w:bookmarkStart w:id="299" w:name="_Toc507493174"/>
      <w:r>
        <w:rPr>
          <w:rFonts w:cstheme="majorBidi"/>
          <w:iCs/>
          <w:color w:val="54883D"/>
          <w:sz w:val="28"/>
          <w:lang w:bidi="en-US"/>
        </w:rPr>
        <w:t>6.5.6 Događaj s najgorim mogućim posljedicama</w:t>
      </w:r>
      <w:bookmarkEnd w:id="295"/>
      <w:bookmarkEnd w:id="296"/>
      <w:bookmarkEnd w:id="297"/>
      <w:bookmarkEnd w:id="298"/>
      <w:bookmarkEnd w:id="299"/>
    </w:p>
    <w:p w:rsidR="00A07D92" w:rsidRDefault="00495E63">
      <w:pPr>
        <w:rPr>
          <w:lang w:bidi="en-US"/>
        </w:rPr>
      </w:pPr>
      <w:r>
        <w:rPr>
          <w:lang w:bidi="en-US"/>
        </w:rPr>
        <w:t>Najgori mogući slučaj definira se kao ispuštanje najveće količine opasne tvari iz jednog procesa koje rezultira najvećom udaljenošću od mjesta ispuštan</w:t>
      </w:r>
      <w:r>
        <w:rPr>
          <w:lang w:bidi="en-US"/>
        </w:rPr>
        <w:t xml:space="preserve">ja do granice opasnosti za danu opasnu tvar. Zone ugroženosti računaju se za najgori mogući slučaj (tzv. </w:t>
      </w:r>
      <w:proofErr w:type="spellStart"/>
      <w:r>
        <w:rPr>
          <w:lang w:bidi="en-US"/>
        </w:rPr>
        <w:t>Worst</w:t>
      </w:r>
      <w:proofErr w:type="spellEnd"/>
      <w:r>
        <w:rPr>
          <w:lang w:bidi="en-US"/>
        </w:rPr>
        <w:t>-</w:t>
      </w:r>
      <w:proofErr w:type="spellStart"/>
      <w:r>
        <w:rPr>
          <w:lang w:bidi="en-US"/>
        </w:rPr>
        <w:t>case</w:t>
      </w:r>
      <w:proofErr w:type="spellEnd"/>
      <w:r>
        <w:rPr>
          <w:lang w:bidi="en-US"/>
        </w:rPr>
        <w:t>) koji se može dogoditi na lokaciji postrojenja.</w:t>
      </w:r>
    </w:p>
    <w:p w:rsidR="00A07D92" w:rsidRDefault="00495E63">
      <w:pPr>
        <w:rPr>
          <w:iCs/>
          <w:color w:val="auto"/>
          <w:szCs w:val="22"/>
          <w:lang w:bidi="en-US"/>
        </w:rPr>
      </w:pPr>
      <w:r>
        <w:rPr>
          <w:lang w:bidi="en-US"/>
        </w:rPr>
        <w:t xml:space="preserve">Jadranka d.d. (servisno skladišna zona) nalazi se na adresi Kalvarija </w:t>
      </w:r>
      <w:proofErr w:type="spellStart"/>
      <w:r>
        <w:rPr>
          <w:lang w:bidi="en-US"/>
        </w:rPr>
        <w:t>bb</w:t>
      </w:r>
      <w:proofErr w:type="spellEnd"/>
      <w:r>
        <w:rPr>
          <w:lang w:bidi="en-US"/>
        </w:rPr>
        <w:t xml:space="preserve"> u Malom Lošinju. Na</w:t>
      </w:r>
      <w:r>
        <w:rPr>
          <w:lang w:bidi="en-US"/>
        </w:rPr>
        <w:t xml:space="preserve"> ovoj lokaciji u vlasništvu navedenog privrednog subjekta nalaze se hladnjače koje u svom sustavu hlađenja koriste amonijak. Amonijak se nalazi u 2 spremnika od kojih je svaki kapaciteta 3 tone te rade na režimu od -10</w:t>
      </w:r>
      <w:r>
        <w:rPr>
          <w:iCs/>
          <w:color w:val="auto"/>
          <w:sz w:val="18"/>
          <w:szCs w:val="18"/>
          <w:lang w:bidi="en-US"/>
        </w:rPr>
        <w:t xml:space="preserve"> ºC</w:t>
      </w:r>
      <w:r>
        <w:rPr>
          <w:lang w:bidi="en-US"/>
        </w:rPr>
        <w:t xml:space="preserve"> odnosno -30</w:t>
      </w:r>
      <w:r>
        <w:rPr>
          <w:iCs/>
          <w:color w:val="auto"/>
          <w:sz w:val="18"/>
          <w:szCs w:val="18"/>
          <w:lang w:bidi="en-US"/>
        </w:rPr>
        <w:t xml:space="preserve"> ºC. </w:t>
      </w:r>
      <w:r>
        <w:rPr>
          <w:iCs/>
          <w:color w:val="auto"/>
          <w:szCs w:val="22"/>
          <w:lang w:bidi="en-US"/>
        </w:rPr>
        <w:t xml:space="preserve">Provedena je </w:t>
      </w:r>
      <w:r>
        <w:rPr>
          <w:iCs/>
          <w:color w:val="auto"/>
          <w:szCs w:val="22"/>
          <w:lang w:bidi="en-US"/>
        </w:rPr>
        <w:t xml:space="preserve">analiza rizika za navedenu lokaciju te su pretpostavljena 2 slučaja. Najgori mogući slučaj pretpostavlja ispuštanje 3 tone amonijaka direktno iz sustava hlađenja. Do ispuštanja može doći uslijed oštećenja na sustavu. Pretpostavljeno je trajanje ispuštanja </w:t>
      </w:r>
      <w:r>
        <w:rPr>
          <w:iCs/>
          <w:color w:val="auto"/>
          <w:szCs w:val="22"/>
          <w:lang w:bidi="en-US"/>
        </w:rPr>
        <w:t xml:space="preserve">10 minuta uz brzinu ispuštanja od 300 </w:t>
      </w:r>
      <w:proofErr w:type="spellStart"/>
      <w:r>
        <w:rPr>
          <w:iCs/>
          <w:color w:val="auto"/>
          <w:szCs w:val="22"/>
          <w:lang w:bidi="en-US"/>
        </w:rPr>
        <w:t>kh</w:t>
      </w:r>
      <w:proofErr w:type="spellEnd"/>
      <w:r>
        <w:rPr>
          <w:iCs/>
          <w:color w:val="auto"/>
          <w:szCs w:val="22"/>
          <w:lang w:bidi="en-US"/>
        </w:rPr>
        <w:t>/min. Za provedbu ove analize pretpostavljeni su sljedeći atmosferski uvjeti:</w:t>
      </w:r>
    </w:p>
    <w:p w:rsidR="00A07D92" w:rsidRDefault="00495E63">
      <w:pPr>
        <w:spacing w:after="0"/>
        <w:jc w:val="center"/>
        <w:rPr>
          <w:i/>
          <w:color w:val="54883D"/>
          <w:sz w:val="20"/>
          <w:szCs w:val="18"/>
        </w:rPr>
      </w:pPr>
      <w:r>
        <w:rPr>
          <w:i/>
          <w:color w:val="54883D"/>
          <w:sz w:val="20"/>
          <w:szCs w:val="18"/>
        </w:rPr>
        <w:t xml:space="preserve">Tablica </w:t>
      </w:r>
      <w:r>
        <w:rPr>
          <w:i/>
          <w:color w:val="54883D"/>
          <w:sz w:val="20"/>
          <w:szCs w:val="18"/>
        </w:rPr>
        <w:fldChar w:fldCharType="begin"/>
      </w:r>
      <w:r>
        <w:rPr>
          <w:i/>
          <w:sz w:val="20"/>
          <w:szCs w:val="18"/>
        </w:rPr>
        <w:instrText>SEQ Tablica \* ARABIC</w:instrText>
      </w:r>
      <w:r>
        <w:rPr>
          <w:i/>
          <w:sz w:val="20"/>
          <w:szCs w:val="18"/>
        </w:rPr>
        <w:fldChar w:fldCharType="separate"/>
      </w:r>
      <w:r>
        <w:rPr>
          <w:i/>
          <w:sz w:val="20"/>
          <w:szCs w:val="18"/>
        </w:rPr>
        <w:t>1</w:t>
      </w:r>
      <w:r>
        <w:rPr>
          <w:i/>
          <w:sz w:val="20"/>
          <w:szCs w:val="18"/>
        </w:rPr>
        <w:fldChar w:fldCharType="end"/>
      </w:r>
      <w:r>
        <w:rPr>
          <w:i/>
          <w:color w:val="54883D"/>
          <w:sz w:val="20"/>
          <w:szCs w:val="18"/>
        </w:rPr>
        <w:t>. Lokacijske značajke i meteorološki uvjeti</w:t>
      </w:r>
    </w:p>
    <w:tbl>
      <w:tblPr>
        <w:tblStyle w:val="Reetkatablice"/>
        <w:tblpPr w:leftFromText="180" w:rightFromText="180" w:vertAnchor="text" w:tblpXSpec="center" w:tblpY="1"/>
        <w:tblW w:w="8070" w:type="dxa"/>
        <w:jc w:val="center"/>
        <w:tblLook w:val="04A0" w:firstRow="1" w:lastRow="0" w:firstColumn="1" w:lastColumn="0" w:noHBand="0" w:noVBand="1"/>
      </w:tblPr>
      <w:tblGrid>
        <w:gridCol w:w="3675"/>
        <w:gridCol w:w="4395"/>
      </w:tblGrid>
      <w:tr w:rsidR="00A07D92">
        <w:trPr>
          <w:trHeight w:val="412"/>
          <w:tblHeader/>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b/>
                <w:sz w:val="20"/>
                <w:szCs w:val="20"/>
              </w:rPr>
            </w:pPr>
            <w:r>
              <w:rPr>
                <w:rFonts w:ascii="Times New Roman" w:hAnsi="Times New Roman" w:cs="Times New Roman"/>
                <w:sz w:val="20"/>
              </w:rPr>
              <w:t xml:space="preserve">Najveća udaljenost na kojoj se razmatra utjecaj - niz vjetar </w:t>
            </w:r>
            <w:r>
              <w:rPr>
                <w:rFonts w:ascii="Times New Roman" w:hAnsi="Times New Roman" w:cs="Times New Roman"/>
                <w:sz w:val="20"/>
              </w:rPr>
              <w:t>(m)</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b/>
                <w:sz w:val="20"/>
                <w:szCs w:val="20"/>
              </w:rPr>
            </w:pPr>
            <w:r>
              <w:rPr>
                <w:rFonts w:ascii="Times New Roman" w:hAnsi="Times New Roman" w:cs="Times New Roman"/>
                <w:sz w:val="20"/>
              </w:rPr>
              <w:t>1000</w:t>
            </w:r>
          </w:p>
        </w:tc>
      </w:tr>
      <w:tr w:rsidR="00A07D92">
        <w:trPr>
          <w:trHeight w:val="307"/>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sz w:val="20"/>
              </w:rPr>
            </w:pPr>
            <w:r>
              <w:rPr>
                <w:rFonts w:ascii="Times New Roman" w:hAnsi="Times New Roman" w:cs="Times New Roman"/>
                <w:sz w:val="20"/>
              </w:rPr>
              <w:t>Topografija terena</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sz w:val="20"/>
              </w:rPr>
            </w:pPr>
            <w:r>
              <w:rPr>
                <w:rFonts w:ascii="Times New Roman" w:hAnsi="Times New Roman" w:cs="Times New Roman"/>
                <w:sz w:val="20"/>
              </w:rPr>
              <w:t>Urbano</w:t>
            </w:r>
          </w:p>
        </w:tc>
      </w:tr>
      <w:tr w:rsidR="00A07D92">
        <w:trPr>
          <w:trHeight w:val="265"/>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sz w:val="20"/>
              </w:rPr>
            </w:pPr>
            <w:r>
              <w:rPr>
                <w:rFonts w:ascii="Times New Roman" w:hAnsi="Times New Roman" w:cs="Times New Roman"/>
                <w:sz w:val="20"/>
              </w:rPr>
              <w:t xml:space="preserve">Klasa stabilnosti </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sz w:val="20"/>
              </w:rPr>
            </w:pPr>
            <w:r>
              <w:rPr>
                <w:rFonts w:ascii="Times New Roman" w:hAnsi="Times New Roman" w:cs="Times New Roman"/>
                <w:sz w:val="20"/>
              </w:rPr>
              <w:t>F (stabilno) za najgori mogući slučaj</w:t>
            </w:r>
          </w:p>
          <w:p w:rsidR="00A07D92" w:rsidRDefault="00495E63">
            <w:pPr>
              <w:spacing w:after="120" w:line="240" w:lineRule="auto"/>
              <w:jc w:val="center"/>
              <w:rPr>
                <w:sz w:val="20"/>
              </w:rPr>
            </w:pPr>
            <w:r>
              <w:rPr>
                <w:rFonts w:ascii="Times New Roman" w:hAnsi="Times New Roman" w:cs="Times New Roman"/>
                <w:sz w:val="20"/>
              </w:rPr>
              <w:t>D (neutralno) za alternativni scenarij</w:t>
            </w:r>
          </w:p>
        </w:tc>
      </w:tr>
      <w:tr w:rsidR="00A07D92">
        <w:trPr>
          <w:trHeight w:val="265"/>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sz w:val="20"/>
              </w:rPr>
            </w:pPr>
            <w:r>
              <w:rPr>
                <w:rFonts w:ascii="Times New Roman" w:hAnsi="Times New Roman" w:cs="Times New Roman"/>
                <w:sz w:val="20"/>
              </w:rPr>
              <w:t>Brzina vjetra (m/s)</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sz w:val="20"/>
              </w:rPr>
            </w:pPr>
            <w:r>
              <w:rPr>
                <w:rFonts w:ascii="Times New Roman" w:hAnsi="Times New Roman" w:cs="Times New Roman"/>
                <w:sz w:val="20"/>
              </w:rPr>
              <w:t xml:space="preserve">1,5 </w:t>
            </w:r>
          </w:p>
        </w:tc>
      </w:tr>
      <w:tr w:rsidR="00A07D92">
        <w:trPr>
          <w:trHeight w:val="265"/>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sz w:val="20"/>
              </w:rPr>
            </w:pPr>
            <w:r>
              <w:rPr>
                <w:rFonts w:ascii="Times New Roman" w:hAnsi="Times New Roman" w:cs="Times New Roman"/>
                <w:sz w:val="20"/>
              </w:rPr>
              <w:t>Temperatura (</w:t>
            </w:r>
            <w:r>
              <w:rPr>
                <w:rFonts w:ascii="Times New Roman" w:hAnsi="Times New Roman" w:cs="Times New Roman"/>
                <w:sz w:val="20"/>
                <w:szCs w:val="20"/>
              </w:rPr>
              <w:t>°C)</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sz w:val="20"/>
              </w:rPr>
            </w:pPr>
            <w:r>
              <w:rPr>
                <w:rFonts w:ascii="Times New Roman" w:hAnsi="Times New Roman" w:cs="Times New Roman"/>
                <w:sz w:val="20"/>
                <w:szCs w:val="20"/>
                <w:lang w:eastAsia="hr-HR"/>
              </w:rPr>
              <w:t xml:space="preserve">20 </w:t>
            </w:r>
            <w:r>
              <w:rPr>
                <w:rFonts w:ascii="Times New Roman" w:hAnsi="Times New Roman" w:cs="Times New Roman"/>
                <w:sz w:val="20"/>
                <w:szCs w:val="20"/>
              </w:rPr>
              <w:t>°C</w:t>
            </w:r>
          </w:p>
        </w:tc>
      </w:tr>
      <w:tr w:rsidR="00A07D92">
        <w:trPr>
          <w:trHeight w:val="265"/>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sz w:val="20"/>
              </w:rPr>
            </w:pPr>
            <w:r>
              <w:rPr>
                <w:rFonts w:ascii="Times New Roman" w:hAnsi="Times New Roman" w:cs="Times New Roman"/>
                <w:sz w:val="20"/>
              </w:rPr>
              <w:t>Relativna vlažnost (%)</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sz w:val="20"/>
              </w:rPr>
            </w:pPr>
            <w:r>
              <w:rPr>
                <w:rFonts w:ascii="Times New Roman" w:hAnsi="Times New Roman" w:cs="Times New Roman"/>
                <w:sz w:val="20"/>
              </w:rPr>
              <w:t>50</w:t>
            </w:r>
          </w:p>
        </w:tc>
      </w:tr>
    </w:tbl>
    <w:p w:rsidR="00A07D92" w:rsidRDefault="00A07D92">
      <w:pPr>
        <w:rPr>
          <w:lang w:bidi="en-US"/>
        </w:rPr>
      </w:pPr>
    </w:p>
    <w:p w:rsidR="00A07D92" w:rsidRDefault="00495E63">
      <w:pPr>
        <w:spacing w:after="0"/>
        <w:jc w:val="center"/>
        <w:rPr>
          <w:i/>
          <w:color w:val="54883D"/>
          <w:sz w:val="20"/>
          <w:szCs w:val="18"/>
        </w:rPr>
      </w:pPr>
      <w:r>
        <w:rPr>
          <w:i/>
          <w:color w:val="54883D"/>
          <w:sz w:val="20"/>
          <w:szCs w:val="18"/>
        </w:rPr>
        <w:t xml:space="preserve">Tablica </w:t>
      </w:r>
      <w:r>
        <w:rPr>
          <w:i/>
          <w:color w:val="54883D"/>
          <w:sz w:val="20"/>
          <w:szCs w:val="18"/>
        </w:rPr>
        <w:fldChar w:fldCharType="begin"/>
      </w:r>
      <w:r>
        <w:rPr>
          <w:i/>
          <w:sz w:val="20"/>
          <w:szCs w:val="18"/>
        </w:rPr>
        <w:instrText>SEQ Tablica \* ARABIC</w:instrText>
      </w:r>
      <w:r>
        <w:rPr>
          <w:i/>
          <w:sz w:val="20"/>
          <w:szCs w:val="18"/>
        </w:rPr>
        <w:fldChar w:fldCharType="separate"/>
      </w:r>
      <w:r>
        <w:rPr>
          <w:i/>
          <w:sz w:val="20"/>
          <w:szCs w:val="18"/>
        </w:rPr>
        <w:t>2</w:t>
      </w:r>
      <w:r>
        <w:rPr>
          <w:i/>
          <w:sz w:val="20"/>
          <w:szCs w:val="18"/>
        </w:rPr>
        <w:fldChar w:fldCharType="end"/>
      </w:r>
      <w:r>
        <w:rPr>
          <w:i/>
          <w:color w:val="54883D"/>
          <w:sz w:val="20"/>
          <w:szCs w:val="18"/>
        </w:rPr>
        <w:t xml:space="preserve">. Podaci o </w:t>
      </w:r>
      <w:r>
        <w:rPr>
          <w:i/>
          <w:color w:val="54883D"/>
          <w:sz w:val="20"/>
          <w:szCs w:val="18"/>
        </w:rPr>
        <w:t>istjecanju</w:t>
      </w:r>
    </w:p>
    <w:tbl>
      <w:tblPr>
        <w:tblStyle w:val="Reetkatablice"/>
        <w:tblW w:w="6878" w:type="dxa"/>
        <w:jc w:val="center"/>
        <w:tblLook w:val="04A0" w:firstRow="1" w:lastRow="0" w:firstColumn="1" w:lastColumn="0" w:noHBand="0" w:noVBand="1"/>
      </w:tblPr>
      <w:tblGrid>
        <w:gridCol w:w="4681"/>
        <w:gridCol w:w="2197"/>
      </w:tblGrid>
      <w:tr w:rsidR="00A07D92">
        <w:trPr>
          <w:trHeight w:val="567"/>
          <w:tblHeader/>
          <w:jc w:val="center"/>
        </w:trPr>
        <w:tc>
          <w:tcPr>
            <w:tcW w:w="4680" w:type="dxa"/>
            <w:tcBorders>
              <w:top w:val="single" w:sz="8" w:space="0" w:color="54883D"/>
              <w:left w:val="single" w:sz="8" w:space="0" w:color="54883D"/>
              <w:bottom w:val="single" w:sz="8" w:space="0" w:color="54883D"/>
              <w:right w:val="single" w:sz="8" w:space="0" w:color="54883D"/>
            </w:tcBorders>
            <w:shd w:val="clear" w:color="auto" w:fill="auto"/>
            <w:vAlign w:val="center"/>
          </w:tcPr>
          <w:p w:rsidR="00A07D92" w:rsidRDefault="00495E63">
            <w:pPr>
              <w:spacing w:after="120"/>
              <w:rPr>
                <w:sz w:val="20"/>
              </w:rPr>
            </w:pPr>
            <w:r>
              <w:rPr>
                <w:rFonts w:ascii="Times New Roman" w:hAnsi="Times New Roman" w:cs="Times New Roman"/>
                <w:b/>
                <w:sz w:val="20"/>
              </w:rPr>
              <w:t>Naziv tvari</w:t>
            </w:r>
          </w:p>
        </w:tc>
        <w:tc>
          <w:tcPr>
            <w:tcW w:w="2197" w:type="dxa"/>
            <w:tcBorders>
              <w:top w:val="single" w:sz="8" w:space="0" w:color="54883D"/>
              <w:left w:val="single" w:sz="8" w:space="0" w:color="54883D"/>
              <w:bottom w:val="single" w:sz="8" w:space="0" w:color="54883D"/>
              <w:right w:val="single" w:sz="8" w:space="0" w:color="54883D"/>
            </w:tcBorders>
            <w:shd w:val="clear" w:color="auto" w:fill="auto"/>
            <w:vAlign w:val="center"/>
          </w:tcPr>
          <w:p w:rsidR="00A07D92" w:rsidRDefault="00495E63">
            <w:pPr>
              <w:spacing w:after="120"/>
              <w:jc w:val="center"/>
              <w:rPr>
                <w:b/>
                <w:sz w:val="20"/>
              </w:rPr>
            </w:pPr>
            <w:r>
              <w:rPr>
                <w:rFonts w:ascii="Times New Roman" w:hAnsi="Times New Roman" w:cs="Times New Roman"/>
                <w:b/>
                <w:sz w:val="20"/>
              </w:rPr>
              <w:t>Amonijak</w:t>
            </w:r>
          </w:p>
        </w:tc>
      </w:tr>
      <w:tr w:rsidR="00A07D92">
        <w:trPr>
          <w:trHeight w:val="265"/>
          <w:jc w:val="center"/>
        </w:trPr>
        <w:tc>
          <w:tcPr>
            <w:tcW w:w="4680" w:type="dxa"/>
            <w:tcBorders>
              <w:top w:val="single" w:sz="8" w:space="0" w:color="54883D"/>
              <w:left w:val="single" w:sz="8" w:space="0" w:color="54883D"/>
              <w:bottom w:val="single" w:sz="8" w:space="0" w:color="54883D"/>
              <w:right w:val="single" w:sz="8" w:space="0" w:color="54883D"/>
            </w:tcBorders>
            <w:shd w:val="clear" w:color="auto" w:fill="auto"/>
            <w:vAlign w:val="center"/>
          </w:tcPr>
          <w:p w:rsidR="00A07D92" w:rsidRDefault="00495E63">
            <w:pPr>
              <w:spacing w:after="120"/>
              <w:rPr>
                <w:sz w:val="20"/>
              </w:rPr>
            </w:pPr>
            <w:r>
              <w:rPr>
                <w:rFonts w:ascii="Times New Roman" w:hAnsi="Times New Roman" w:cs="Times New Roman"/>
                <w:sz w:val="20"/>
              </w:rPr>
              <w:t>Ukupna (maksimalna) količina medija</w:t>
            </w:r>
          </w:p>
        </w:tc>
        <w:tc>
          <w:tcPr>
            <w:tcW w:w="2197" w:type="dxa"/>
            <w:tcBorders>
              <w:top w:val="single" w:sz="8" w:space="0" w:color="54883D"/>
              <w:left w:val="single" w:sz="8" w:space="0" w:color="54883D"/>
              <w:bottom w:val="single" w:sz="8" w:space="0" w:color="54883D"/>
              <w:right w:val="single" w:sz="8" w:space="0" w:color="54883D"/>
            </w:tcBorders>
            <w:shd w:val="clear" w:color="auto" w:fill="auto"/>
            <w:vAlign w:val="center"/>
          </w:tcPr>
          <w:p w:rsidR="00A07D92" w:rsidRDefault="00495E63">
            <w:pPr>
              <w:spacing w:after="120"/>
              <w:jc w:val="center"/>
              <w:rPr>
                <w:sz w:val="20"/>
              </w:rPr>
            </w:pPr>
            <w:r>
              <w:rPr>
                <w:rFonts w:ascii="Times New Roman" w:hAnsi="Times New Roman" w:cs="Times New Roman"/>
                <w:sz w:val="20"/>
              </w:rPr>
              <w:t>3 t</w:t>
            </w:r>
          </w:p>
        </w:tc>
      </w:tr>
      <w:tr w:rsidR="00A07D92">
        <w:trPr>
          <w:trHeight w:val="265"/>
          <w:jc w:val="center"/>
        </w:trPr>
        <w:tc>
          <w:tcPr>
            <w:tcW w:w="4680" w:type="dxa"/>
            <w:tcBorders>
              <w:top w:val="single" w:sz="8" w:space="0" w:color="54883D"/>
              <w:left w:val="single" w:sz="8" w:space="0" w:color="54883D"/>
              <w:bottom w:val="single" w:sz="8" w:space="0" w:color="54883D"/>
              <w:right w:val="single" w:sz="8" w:space="0" w:color="54883D"/>
            </w:tcBorders>
            <w:shd w:val="clear" w:color="auto" w:fill="auto"/>
            <w:vAlign w:val="center"/>
          </w:tcPr>
          <w:p w:rsidR="00A07D92" w:rsidRDefault="00495E63">
            <w:pPr>
              <w:spacing w:after="120"/>
              <w:rPr>
                <w:sz w:val="20"/>
              </w:rPr>
            </w:pPr>
            <w:r>
              <w:rPr>
                <w:rFonts w:ascii="Times New Roman" w:hAnsi="Times New Roman" w:cs="Times New Roman"/>
                <w:sz w:val="20"/>
              </w:rPr>
              <w:t>Smjer vjetra</w:t>
            </w:r>
          </w:p>
        </w:tc>
        <w:tc>
          <w:tcPr>
            <w:tcW w:w="2197" w:type="dxa"/>
            <w:tcBorders>
              <w:top w:val="single" w:sz="8" w:space="0" w:color="54883D"/>
              <w:left w:val="single" w:sz="8" w:space="0" w:color="54883D"/>
              <w:bottom w:val="single" w:sz="8" w:space="0" w:color="54883D"/>
              <w:right w:val="single" w:sz="8" w:space="0" w:color="54883D"/>
            </w:tcBorders>
            <w:shd w:val="clear" w:color="auto" w:fill="auto"/>
            <w:vAlign w:val="center"/>
          </w:tcPr>
          <w:p w:rsidR="00A07D92" w:rsidRDefault="00495E63">
            <w:pPr>
              <w:spacing w:after="120"/>
              <w:jc w:val="center"/>
              <w:rPr>
                <w:sz w:val="20"/>
              </w:rPr>
            </w:pPr>
            <w:r>
              <w:rPr>
                <w:rFonts w:ascii="Times New Roman" w:hAnsi="Times New Roman" w:cs="Times New Roman"/>
                <w:sz w:val="20"/>
              </w:rPr>
              <w:t xml:space="preserve">N </w:t>
            </w:r>
          </w:p>
        </w:tc>
      </w:tr>
      <w:tr w:rsidR="00A07D92">
        <w:trPr>
          <w:trHeight w:val="265"/>
          <w:jc w:val="center"/>
        </w:trPr>
        <w:tc>
          <w:tcPr>
            <w:tcW w:w="4680" w:type="dxa"/>
            <w:tcBorders>
              <w:top w:val="single" w:sz="8" w:space="0" w:color="54883D"/>
              <w:left w:val="single" w:sz="8" w:space="0" w:color="54883D"/>
              <w:bottom w:val="single" w:sz="8" w:space="0" w:color="54883D"/>
              <w:right w:val="single" w:sz="8" w:space="0" w:color="54883D"/>
            </w:tcBorders>
            <w:shd w:val="clear" w:color="auto" w:fill="auto"/>
            <w:vAlign w:val="center"/>
          </w:tcPr>
          <w:p w:rsidR="00A07D92" w:rsidRDefault="00495E63">
            <w:pPr>
              <w:spacing w:after="120"/>
              <w:rPr>
                <w:sz w:val="20"/>
              </w:rPr>
            </w:pPr>
            <w:r>
              <w:rPr>
                <w:rFonts w:ascii="Times New Roman" w:hAnsi="Times New Roman" w:cs="Times New Roman"/>
                <w:sz w:val="20"/>
              </w:rPr>
              <w:t>Dinamika isparavanja</w:t>
            </w:r>
          </w:p>
        </w:tc>
        <w:tc>
          <w:tcPr>
            <w:tcW w:w="2197" w:type="dxa"/>
            <w:tcBorders>
              <w:top w:val="single" w:sz="8" w:space="0" w:color="54883D"/>
              <w:left w:val="single" w:sz="8" w:space="0" w:color="54883D"/>
              <w:bottom w:val="single" w:sz="8" w:space="0" w:color="54883D"/>
              <w:right w:val="single" w:sz="8" w:space="0" w:color="54883D"/>
            </w:tcBorders>
            <w:shd w:val="clear" w:color="auto" w:fill="auto"/>
            <w:vAlign w:val="center"/>
          </w:tcPr>
          <w:p w:rsidR="00A07D92" w:rsidRDefault="00495E63">
            <w:pPr>
              <w:spacing w:after="120"/>
              <w:jc w:val="center"/>
              <w:rPr>
                <w:sz w:val="20"/>
              </w:rPr>
            </w:pPr>
            <w:r>
              <w:rPr>
                <w:rFonts w:ascii="Times New Roman" w:hAnsi="Times New Roman" w:cs="Times New Roman"/>
                <w:sz w:val="20"/>
              </w:rPr>
              <w:t>300 kg/min</w:t>
            </w:r>
          </w:p>
        </w:tc>
      </w:tr>
      <w:tr w:rsidR="00A07D92">
        <w:trPr>
          <w:trHeight w:val="265"/>
          <w:jc w:val="center"/>
        </w:trPr>
        <w:tc>
          <w:tcPr>
            <w:tcW w:w="4680" w:type="dxa"/>
            <w:tcBorders>
              <w:top w:val="single" w:sz="8" w:space="0" w:color="54883D"/>
              <w:left w:val="single" w:sz="8" w:space="0" w:color="54883D"/>
              <w:bottom w:val="single" w:sz="8" w:space="0" w:color="54883D"/>
              <w:right w:val="single" w:sz="8" w:space="0" w:color="54883D"/>
            </w:tcBorders>
            <w:shd w:val="clear" w:color="auto" w:fill="auto"/>
            <w:vAlign w:val="center"/>
          </w:tcPr>
          <w:p w:rsidR="00A07D92" w:rsidRDefault="00495E63">
            <w:pPr>
              <w:spacing w:after="120"/>
              <w:rPr>
                <w:sz w:val="20"/>
              </w:rPr>
            </w:pPr>
            <w:r>
              <w:rPr>
                <w:rFonts w:ascii="Times New Roman" w:hAnsi="Times New Roman" w:cs="Times New Roman"/>
                <w:sz w:val="20"/>
              </w:rPr>
              <w:t>Vrijeme istjecanja</w:t>
            </w:r>
          </w:p>
        </w:tc>
        <w:tc>
          <w:tcPr>
            <w:tcW w:w="2197" w:type="dxa"/>
            <w:tcBorders>
              <w:top w:val="single" w:sz="8" w:space="0" w:color="54883D"/>
              <w:left w:val="single" w:sz="8" w:space="0" w:color="54883D"/>
              <w:bottom w:val="single" w:sz="8" w:space="0" w:color="54883D"/>
              <w:right w:val="single" w:sz="8" w:space="0" w:color="54883D"/>
            </w:tcBorders>
            <w:shd w:val="clear" w:color="auto" w:fill="auto"/>
            <w:vAlign w:val="center"/>
          </w:tcPr>
          <w:p w:rsidR="00A07D92" w:rsidRDefault="00495E63">
            <w:pPr>
              <w:spacing w:after="120"/>
              <w:jc w:val="center"/>
              <w:rPr>
                <w:sz w:val="20"/>
              </w:rPr>
            </w:pPr>
            <w:r>
              <w:rPr>
                <w:rFonts w:ascii="Times New Roman" w:hAnsi="Times New Roman" w:cs="Times New Roman"/>
                <w:sz w:val="20"/>
              </w:rPr>
              <w:t>10 min</w:t>
            </w:r>
          </w:p>
        </w:tc>
      </w:tr>
    </w:tbl>
    <w:p w:rsidR="00A07D92" w:rsidRDefault="00A07D92">
      <w:pPr>
        <w:keepNext/>
        <w:spacing w:after="0"/>
        <w:jc w:val="center"/>
        <w:rPr>
          <w:b/>
          <w:bCs/>
          <w:i/>
          <w:color w:val="54883D"/>
          <w:sz w:val="20"/>
          <w:szCs w:val="18"/>
        </w:rPr>
      </w:pPr>
    </w:p>
    <w:p w:rsidR="00A07D92" w:rsidRDefault="00495E63">
      <w:pPr>
        <w:keepNext/>
        <w:spacing w:after="0"/>
        <w:jc w:val="center"/>
        <w:rPr>
          <w:i/>
          <w:color w:val="54883D"/>
          <w:sz w:val="20"/>
          <w:szCs w:val="18"/>
        </w:rPr>
      </w:pPr>
      <w:r>
        <w:rPr>
          <w:i/>
          <w:color w:val="54883D"/>
          <w:sz w:val="20"/>
          <w:szCs w:val="18"/>
        </w:rPr>
        <w:t xml:space="preserve">Tablica </w:t>
      </w:r>
      <w:r>
        <w:rPr>
          <w:i/>
          <w:color w:val="54883D"/>
          <w:sz w:val="20"/>
          <w:szCs w:val="18"/>
        </w:rPr>
        <w:fldChar w:fldCharType="begin"/>
      </w:r>
      <w:r>
        <w:rPr>
          <w:i/>
          <w:sz w:val="20"/>
          <w:szCs w:val="18"/>
        </w:rPr>
        <w:instrText>SEQ Tablica \* ARABIC</w:instrText>
      </w:r>
      <w:r>
        <w:rPr>
          <w:i/>
          <w:sz w:val="20"/>
          <w:szCs w:val="18"/>
        </w:rPr>
        <w:fldChar w:fldCharType="separate"/>
      </w:r>
      <w:r>
        <w:rPr>
          <w:i/>
          <w:sz w:val="20"/>
          <w:szCs w:val="18"/>
        </w:rPr>
        <w:t>3</w:t>
      </w:r>
      <w:r>
        <w:rPr>
          <w:i/>
          <w:sz w:val="20"/>
          <w:szCs w:val="18"/>
        </w:rPr>
        <w:fldChar w:fldCharType="end"/>
      </w:r>
      <w:r>
        <w:rPr>
          <w:i/>
          <w:color w:val="54883D"/>
          <w:sz w:val="20"/>
          <w:szCs w:val="18"/>
        </w:rPr>
        <w:t>. Zone utjecaja prema definiranim graničnim koncentracijama</w:t>
      </w:r>
    </w:p>
    <w:tbl>
      <w:tblPr>
        <w:tblW w:w="7940" w:type="dxa"/>
        <w:jc w:val="center"/>
        <w:shd w:val="clear" w:color="auto" w:fill="FFFFFF"/>
        <w:tblLook w:val="04A0" w:firstRow="1" w:lastRow="0" w:firstColumn="1" w:lastColumn="0" w:noHBand="0" w:noVBand="1"/>
      </w:tblPr>
      <w:tblGrid>
        <w:gridCol w:w="1559"/>
        <w:gridCol w:w="6381"/>
      </w:tblGrid>
      <w:tr w:rsidR="00A07D92">
        <w:trPr>
          <w:trHeight w:val="398"/>
          <w:jc w:val="center"/>
        </w:trPr>
        <w:tc>
          <w:tcPr>
            <w:tcW w:w="7939" w:type="dxa"/>
            <w:gridSpan w:val="2"/>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rsidR="00A07D92" w:rsidRDefault="00495E63">
            <w:pPr>
              <w:spacing w:after="0" w:line="360" w:lineRule="auto"/>
              <w:jc w:val="center"/>
              <w:rPr>
                <w:rFonts w:cstheme="minorHAnsi"/>
                <w:b/>
                <w:smallCaps/>
                <w:color w:val="FFFFFF"/>
                <w:sz w:val="20"/>
              </w:rPr>
            </w:pPr>
            <w:r>
              <w:rPr>
                <w:rFonts w:cstheme="minorHAnsi"/>
                <w:b/>
                <w:smallCaps/>
                <w:sz w:val="20"/>
              </w:rPr>
              <w:t xml:space="preserve">Zona </w:t>
            </w:r>
            <w:r>
              <w:rPr>
                <w:rFonts w:cstheme="minorHAnsi"/>
                <w:b/>
                <w:smallCaps/>
                <w:sz w:val="20"/>
              </w:rPr>
              <w:t>ugroženosti</w:t>
            </w:r>
          </w:p>
        </w:tc>
      </w:tr>
      <w:tr w:rsidR="00A07D92">
        <w:trPr>
          <w:trHeight w:val="398"/>
          <w:jc w:val="center"/>
        </w:trPr>
        <w:tc>
          <w:tcPr>
            <w:tcW w:w="1559"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Autospacing="1" w:after="0"/>
              <w:rPr>
                <w:rFonts w:cstheme="minorHAnsi"/>
                <w:b/>
                <w:sz w:val="20"/>
              </w:rPr>
            </w:pPr>
            <w:r>
              <w:rPr>
                <w:rFonts w:cstheme="minorHAnsi"/>
                <w:b/>
                <w:sz w:val="20"/>
              </w:rPr>
              <w:t>Crvena:</w:t>
            </w:r>
          </w:p>
        </w:tc>
        <w:tc>
          <w:tcPr>
            <w:tcW w:w="6380"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rsidR="00A07D92" w:rsidRDefault="00495E63">
            <w:pPr>
              <w:spacing w:after="0" w:line="240" w:lineRule="auto"/>
              <w:rPr>
                <w:rFonts w:cstheme="minorHAnsi"/>
                <w:sz w:val="20"/>
                <w:lang w:bidi="en-US"/>
              </w:rPr>
            </w:pPr>
            <w:r>
              <w:rPr>
                <w:rFonts w:cstheme="minorHAnsi"/>
                <w:sz w:val="20"/>
                <w:lang w:bidi="en-US"/>
              </w:rPr>
              <w:t xml:space="preserve">244 m (1 100 </w:t>
            </w:r>
            <w:proofErr w:type="spellStart"/>
            <w:r>
              <w:rPr>
                <w:rFonts w:cstheme="minorHAnsi"/>
                <w:sz w:val="20"/>
                <w:lang w:bidi="en-US"/>
              </w:rPr>
              <w:t>ppm</w:t>
            </w:r>
            <w:proofErr w:type="spellEnd"/>
            <w:r>
              <w:rPr>
                <w:rFonts w:cstheme="minorHAnsi"/>
                <w:sz w:val="20"/>
                <w:lang w:bidi="en-US"/>
              </w:rPr>
              <w:t xml:space="preserve">;) – zona visoke smrtnosti </w:t>
            </w:r>
          </w:p>
        </w:tc>
      </w:tr>
      <w:tr w:rsidR="00A07D92">
        <w:trPr>
          <w:trHeight w:val="380"/>
          <w:jc w:val="center"/>
        </w:trPr>
        <w:tc>
          <w:tcPr>
            <w:tcW w:w="1559" w:type="dxa"/>
            <w:tcBorders>
              <w:top w:val="single" w:sz="4" w:space="0" w:color="54883D"/>
              <w:left w:val="single" w:sz="4" w:space="0" w:color="54883D"/>
              <w:bottom w:val="single" w:sz="4" w:space="0" w:color="54883D"/>
              <w:right w:val="single" w:sz="4" w:space="0" w:color="54883D"/>
            </w:tcBorders>
            <w:shd w:val="clear" w:color="auto" w:fill="E36C0A" w:themeFill="accent6" w:themeFillShade="BF"/>
            <w:vAlign w:val="center"/>
          </w:tcPr>
          <w:p w:rsidR="00A07D92" w:rsidRDefault="00495E63">
            <w:pPr>
              <w:spacing w:beforeAutospacing="1" w:after="0"/>
              <w:rPr>
                <w:rFonts w:cstheme="minorHAnsi"/>
                <w:b/>
                <w:sz w:val="20"/>
              </w:rPr>
            </w:pPr>
            <w:r>
              <w:rPr>
                <w:rFonts w:cstheme="minorHAnsi"/>
                <w:b/>
                <w:sz w:val="20"/>
              </w:rPr>
              <w:t>Narančasta:</w:t>
            </w:r>
          </w:p>
        </w:tc>
        <w:tc>
          <w:tcPr>
            <w:tcW w:w="6380"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rsidR="00A07D92" w:rsidRDefault="00495E63">
            <w:pPr>
              <w:spacing w:after="0"/>
              <w:rPr>
                <w:rFonts w:cstheme="minorHAnsi"/>
                <w:sz w:val="20"/>
              </w:rPr>
            </w:pPr>
            <w:r>
              <w:rPr>
                <w:rFonts w:cstheme="minorHAnsi"/>
                <w:sz w:val="20"/>
                <w:lang w:bidi="en-US"/>
              </w:rPr>
              <w:t xml:space="preserve">648 m (160 </w:t>
            </w:r>
            <w:proofErr w:type="spellStart"/>
            <w:r>
              <w:rPr>
                <w:rFonts w:cstheme="minorHAnsi"/>
                <w:sz w:val="20"/>
                <w:lang w:bidi="en-US"/>
              </w:rPr>
              <w:t>ppm</w:t>
            </w:r>
            <w:proofErr w:type="spellEnd"/>
            <w:r>
              <w:rPr>
                <w:rFonts w:cstheme="minorHAnsi"/>
                <w:sz w:val="20"/>
                <w:lang w:bidi="en-US"/>
              </w:rPr>
              <w:t>; IDLH</w:t>
            </w:r>
            <w:r>
              <w:rPr>
                <w:rStyle w:val="Sidrofusnote"/>
                <w:rFonts w:cstheme="minorHAnsi"/>
                <w:sz w:val="20"/>
                <w:lang w:bidi="en-US"/>
              </w:rPr>
              <w:footnoteReference w:id="11"/>
            </w:r>
            <w:r>
              <w:rPr>
                <w:rFonts w:cstheme="minorHAnsi"/>
                <w:sz w:val="20"/>
                <w:lang w:bidi="en-US"/>
              </w:rPr>
              <w:t>) – zona trajnih posljedica</w:t>
            </w:r>
          </w:p>
        </w:tc>
      </w:tr>
      <w:tr w:rsidR="00A07D92">
        <w:trPr>
          <w:trHeight w:val="398"/>
          <w:jc w:val="center"/>
        </w:trPr>
        <w:tc>
          <w:tcPr>
            <w:tcW w:w="1559"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Autospacing="1" w:after="0"/>
              <w:rPr>
                <w:rFonts w:cstheme="minorHAnsi"/>
                <w:b/>
                <w:sz w:val="20"/>
              </w:rPr>
            </w:pPr>
            <w:r>
              <w:rPr>
                <w:rFonts w:cstheme="minorHAnsi"/>
                <w:b/>
                <w:sz w:val="20"/>
              </w:rPr>
              <w:t>Žuta:</w:t>
            </w:r>
          </w:p>
        </w:tc>
        <w:tc>
          <w:tcPr>
            <w:tcW w:w="6380"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rsidR="00A07D92" w:rsidRDefault="00495E63">
            <w:pPr>
              <w:spacing w:after="0"/>
              <w:rPr>
                <w:rFonts w:cstheme="minorHAnsi"/>
                <w:sz w:val="20"/>
              </w:rPr>
            </w:pPr>
            <w:r>
              <w:rPr>
                <w:rFonts w:cstheme="minorHAnsi"/>
                <w:sz w:val="20"/>
                <w:lang w:bidi="en-US"/>
              </w:rPr>
              <w:t xml:space="preserve">1 500 m  (30 </w:t>
            </w:r>
            <w:proofErr w:type="spellStart"/>
            <w:r>
              <w:rPr>
                <w:rFonts w:cstheme="minorHAnsi"/>
                <w:sz w:val="20"/>
                <w:lang w:bidi="en-US"/>
              </w:rPr>
              <w:t>ppm</w:t>
            </w:r>
            <w:proofErr w:type="spellEnd"/>
            <w:r>
              <w:rPr>
                <w:rFonts w:cstheme="minorHAnsi"/>
                <w:sz w:val="20"/>
                <w:lang w:bidi="en-US"/>
              </w:rPr>
              <w:t xml:space="preserve">;) – zona privremenih posljedica </w:t>
            </w:r>
          </w:p>
        </w:tc>
      </w:tr>
    </w:tbl>
    <w:p w:rsidR="00A07D92" w:rsidRDefault="00A07D92">
      <w:pPr>
        <w:rPr>
          <w:lang w:bidi="en-US"/>
        </w:rPr>
      </w:pPr>
    </w:p>
    <w:p w:rsidR="00A07D92" w:rsidRDefault="00495E63">
      <w:pPr>
        <w:jc w:val="center"/>
        <w:rPr>
          <w:color w:val="FF0000"/>
        </w:rPr>
      </w:pPr>
      <w:r>
        <w:rPr>
          <w:noProof/>
          <w:lang w:eastAsia="hr-HR"/>
        </w:rPr>
        <w:drawing>
          <wp:inline distT="0" distB="0" distL="0" distR="0">
            <wp:extent cx="5464175" cy="3703955"/>
            <wp:effectExtent l="0" t="0" r="0" b="0"/>
            <wp:docPr id="107" name="Slik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lika11"/>
                    <pic:cNvPicPr>
                      <a:picLocks noChangeAspect="1" noChangeArrowheads="1"/>
                    </pic:cNvPicPr>
                  </pic:nvPicPr>
                  <pic:blipFill>
                    <a:blip r:embed="rId118"/>
                    <a:stretch>
                      <a:fillRect/>
                    </a:stretch>
                  </pic:blipFill>
                  <pic:spPr bwMode="auto">
                    <a:xfrm>
                      <a:off x="0" y="0"/>
                      <a:ext cx="5464175" cy="3703955"/>
                    </a:xfrm>
                    <a:prstGeom prst="rect">
                      <a:avLst/>
                    </a:prstGeom>
                  </pic:spPr>
                </pic:pic>
              </a:graphicData>
            </a:graphic>
          </wp:inline>
        </w:drawing>
      </w:r>
    </w:p>
    <w:p w:rsidR="00A07D92" w:rsidRDefault="00495E63">
      <w:pPr>
        <w:spacing w:after="0"/>
        <w:jc w:val="center"/>
        <w:rPr>
          <w:i/>
          <w:color w:val="54883D"/>
          <w:sz w:val="20"/>
          <w:szCs w:val="18"/>
        </w:rPr>
      </w:pPr>
      <w:r>
        <w:rPr>
          <w:i/>
          <w:color w:val="54883D"/>
          <w:sz w:val="20"/>
          <w:szCs w:val="18"/>
        </w:rPr>
        <w:t xml:space="preserve">Slika </w:t>
      </w:r>
      <w:r>
        <w:rPr>
          <w:i/>
          <w:color w:val="54883D"/>
          <w:sz w:val="20"/>
          <w:szCs w:val="18"/>
        </w:rPr>
        <w:fldChar w:fldCharType="begin"/>
      </w:r>
      <w:r>
        <w:rPr>
          <w:i/>
          <w:sz w:val="20"/>
          <w:szCs w:val="18"/>
        </w:rPr>
        <w:instrText>SEQ Slika \* ARABIC</w:instrText>
      </w:r>
      <w:r>
        <w:rPr>
          <w:i/>
          <w:sz w:val="20"/>
          <w:szCs w:val="18"/>
        </w:rPr>
        <w:fldChar w:fldCharType="separate"/>
      </w:r>
      <w:r>
        <w:rPr>
          <w:i/>
          <w:sz w:val="20"/>
          <w:szCs w:val="18"/>
        </w:rPr>
        <w:t>22</w:t>
      </w:r>
      <w:r>
        <w:rPr>
          <w:i/>
          <w:sz w:val="20"/>
          <w:szCs w:val="18"/>
        </w:rPr>
        <w:fldChar w:fldCharType="end"/>
      </w:r>
      <w:r>
        <w:rPr>
          <w:i/>
          <w:color w:val="54883D"/>
          <w:sz w:val="20"/>
          <w:szCs w:val="18"/>
        </w:rPr>
        <w:t xml:space="preserve">. Zone ugroženosti u slučaju nesreće </w:t>
      </w:r>
      <w:r>
        <w:rPr>
          <w:i/>
          <w:color w:val="54883D"/>
          <w:sz w:val="20"/>
          <w:szCs w:val="18"/>
        </w:rPr>
        <w:t>na lokaciji servisno skladište zone Jadranka d.d.</w:t>
      </w:r>
    </w:p>
    <w:p w:rsidR="00A07D92" w:rsidRDefault="00A07D92">
      <w:pPr>
        <w:rPr>
          <w:lang w:bidi="en-US"/>
        </w:rPr>
      </w:pPr>
    </w:p>
    <w:p w:rsidR="00A07D92" w:rsidRDefault="00495E63">
      <w:pPr>
        <w:rPr>
          <w:lang w:bidi="en-US"/>
        </w:rPr>
      </w:pPr>
      <w:r>
        <w:rPr>
          <w:lang w:bidi="en-US"/>
        </w:rPr>
        <w:t xml:space="preserve">Najgori mogući slučaj pretpostavlja se ispuštanje 3 tone amonijaka direktno iz sustava hlađenja. Do ispuštanja može doći uslijed oštećenja na sustavu. Ispuštanje je trajalo 10 minuta a brzina od 300 </w:t>
      </w:r>
      <w:proofErr w:type="spellStart"/>
      <w:r>
        <w:rPr>
          <w:lang w:bidi="en-US"/>
        </w:rPr>
        <w:t>kh</w:t>
      </w:r>
      <w:proofErr w:type="spellEnd"/>
      <w:r>
        <w:rPr>
          <w:lang w:bidi="en-US"/>
        </w:rPr>
        <w:t>/min</w:t>
      </w:r>
      <w:r>
        <w:rPr>
          <w:lang w:bidi="en-US"/>
        </w:rPr>
        <w:t>.</w:t>
      </w:r>
    </w:p>
    <w:p w:rsidR="00A07D92" w:rsidRDefault="00495E63">
      <w:pPr>
        <w:rPr>
          <w:lang w:bidi="en-US"/>
        </w:rPr>
      </w:pPr>
      <w:r>
        <w:rPr>
          <w:lang w:bidi="en-US"/>
        </w:rPr>
        <w:t xml:space="preserve">Na udaljenosti od 244 metara postignuta je koncentracija amonijaka od 1100 </w:t>
      </w:r>
      <w:proofErr w:type="spellStart"/>
      <w:r>
        <w:rPr>
          <w:lang w:bidi="en-US"/>
        </w:rPr>
        <w:t>ppm</w:t>
      </w:r>
      <w:proofErr w:type="spellEnd"/>
      <w:r>
        <w:rPr>
          <w:lang w:bidi="en-US"/>
        </w:rPr>
        <w:t xml:space="preserve">-a u 60 minuta (smrtna koncentracija amonijaka u zraku), na udaljenosti od 648 metara 160 </w:t>
      </w:r>
      <w:proofErr w:type="spellStart"/>
      <w:r>
        <w:rPr>
          <w:lang w:bidi="en-US"/>
        </w:rPr>
        <w:t>ppm</w:t>
      </w:r>
      <w:proofErr w:type="spellEnd"/>
      <w:r>
        <w:rPr>
          <w:lang w:bidi="en-US"/>
        </w:rPr>
        <w:t>-a u 60 minuta (ozbiljne, dugotrajne posljedice na zdravlje ljudi) i na udaljenosti</w:t>
      </w:r>
      <w:r>
        <w:rPr>
          <w:lang w:bidi="en-US"/>
        </w:rPr>
        <w:t xml:space="preserve"> od 1,5 kilometara od mjesta akcidenta koncentracija amonijaka 30 </w:t>
      </w:r>
      <w:proofErr w:type="spellStart"/>
      <w:r>
        <w:rPr>
          <w:lang w:bidi="en-US"/>
        </w:rPr>
        <w:t>ppm</w:t>
      </w:r>
      <w:proofErr w:type="spellEnd"/>
      <w:r>
        <w:rPr>
          <w:lang w:bidi="en-US"/>
        </w:rPr>
        <w:t>-a u 60 minuta od odvijanja akcidenta (bez značajnih posljedica po zdravlje).</w:t>
      </w:r>
    </w:p>
    <w:p w:rsidR="00A07D92" w:rsidRDefault="00A07D92">
      <w:pPr>
        <w:rPr>
          <w:lang w:bidi="en-US"/>
        </w:rPr>
      </w:pPr>
    </w:p>
    <w:p w:rsidR="00A07D92" w:rsidRDefault="00495E63">
      <w:pPr>
        <w:rPr>
          <w:i/>
          <w:iCs/>
          <w:color w:val="54883D"/>
        </w:rPr>
      </w:pPr>
      <w:r>
        <w:rPr>
          <w:i/>
          <w:iCs/>
          <w:color w:val="54883D"/>
        </w:rPr>
        <w:lastRenderedPageBreak/>
        <w:t>Posljedice</w:t>
      </w:r>
    </w:p>
    <w:p w:rsidR="00A07D92" w:rsidRDefault="00495E63">
      <w:pPr>
        <w:rPr>
          <w:u w:val="single"/>
        </w:rPr>
      </w:pPr>
      <w:r>
        <w:rPr>
          <w:u w:val="single"/>
        </w:rPr>
        <w:t>Život i zdravlje ljudi</w:t>
      </w:r>
    </w:p>
    <w:p w:rsidR="00A07D92" w:rsidRDefault="00495E63">
      <w:r>
        <w:t>U slučaju najgoreg mogućeg scenarija (čija vjerojatnost je malena) istjeca</w:t>
      </w:r>
      <w:r>
        <w:t>nja i ispuštanja 3 tone amonijaka i širenje toksičnog oblaka ugroženo bi bilo oko 6000 osoba (zona ugroženosti obuhvaćala bi osnovnu školu i vrtić).</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56</w:t>
      </w:r>
      <w:r>
        <w:rPr>
          <w:rFonts w:eastAsia="Calibri"/>
          <w:bCs/>
          <w:sz w:val="20"/>
          <w:szCs w:val="18"/>
        </w:rPr>
        <w:fldChar w:fldCharType="end"/>
      </w:r>
      <w:r>
        <w:rPr>
          <w:rFonts w:eastAsia="Calibri"/>
          <w:bCs/>
          <w:color w:val="54883D"/>
          <w:sz w:val="20"/>
          <w:szCs w:val="18"/>
          <w:lang w:bidi="en-US"/>
        </w:rPr>
        <w:t xml:space="preserve">.Vrijednost kriterija za posljedice na život i zdravlje ljudi po </w:t>
      </w:r>
      <w:r>
        <w:rPr>
          <w:rFonts w:eastAsia="Calibri"/>
          <w:bCs/>
          <w:color w:val="54883D"/>
          <w:sz w:val="20"/>
          <w:szCs w:val="18"/>
          <w:lang w:bidi="en-US"/>
        </w:rPr>
        <w:t>kategorijama – industrijske nesreće</w:t>
      </w:r>
    </w:p>
    <w:tbl>
      <w:tblPr>
        <w:tblStyle w:val="ivopisnatablicareetke6-isticanje3121"/>
        <w:tblW w:w="8332" w:type="dxa"/>
        <w:jc w:val="center"/>
        <w:tblLook w:val="04A0" w:firstRow="1" w:lastRow="0" w:firstColumn="1" w:lastColumn="0" w:noHBand="0" w:noVBand="1"/>
      </w:tblPr>
      <w:tblGrid>
        <w:gridCol w:w="1528"/>
        <w:gridCol w:w="2566"/>
        <w:gridCol w:w="2252"/>
        <w:gridCol w:w="1986"/>
      </w:tblGrid>
      <w:tr w:rsidR="00A07D92" w:rsidTr="00A07D92">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BROJ UGROŽENIH OSOBA %</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&lt; 0,001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07D92" w:rsidTr="00A07D92">
        <w:trPr>
          <w:trHeight w:val="243"/>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0,001 – 0,0046</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0,0047 – 0,011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0,012 – 0,035</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0,036 &gt;</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bl>
    <w:p w:rsidR="00A07D92" w:rsidRDefault="00A07D92">
      <w:pPr>
        <w:rPr>
          <w:u w:val="single"/>
        </w:rPr>
      </w:pPr>
    </w:p>
    <w:p w:rsidR="00A07D92" w:rsidRDefault="00495E63">
      <w:pPr>
        <w:rPr>
          <w:u w:val="single"/>
        </w:rPr>
      </w:pPr>
      <w:r>
        <w:rPr>
          <w:u w:val="single"/>
        </w:rPr>
        <w:t>Gospodarstvo</w:t>
      </w:r>
    </w:p>
    <w:p w:rsidR="00A07D92" w:rsidRDefault="00495E63">
      <w:pPr>
        <w:rPr>
          <w:iCs/>
          <w:color w:val="auto"/>
        </w:rPr>
      </w:pPr>
      <w:r>
        <w:rPr>
          <w:rStyle w:val="Jakoisticanje"/>
          <w:i w:val="0"/>
          <w:color w:val="auto"/>
        </w:rPr>
        <w:t>U slučaju navedenog scenarija došlo bi do ozbiljnih oštećenja na lokaciji tvrtke. Za očekivati je da bi došlo do značajne materijalne štete na objektima operatera te okolnim stambenim i poslovnim objektima koji bi na neko vrijeme prekinuli s radom. Očekuje</w:t>
      </w:r>
      <w:r>
        <w:rPr>
          <w:rStyle w:val="Jakoisticanje"/>
          <w:i w:val="0"/>
          <w:color w:val="auto"/>
        </w:rPr>
        <w:t xml:space="preserve"> se materijalna šteta na stambenim/poslovnim objektima koji se nalaze u zonama ugroženosti. </w:t>
      </w:r>
    </w:p>
    <w:p w:rsidR="00A07D92" w:rsidRDefault="00495E63">
      <w:pPr>
        <w:jc w:val="center"/>
        <w:rPr>
          <w:iCs/>
          <w:color w:val="54883D"/>
          <w:sz w:val="20"/>
        </w:rPr>
      </w:pPr>
      <w:r>
        <w:rPr>
          <w:iCs/>
          <w:color w:val="54883D"/>
          <w:sz w:val="20"/>
        </w:rPr>
        <w:t xml:space="preserve">Tablica </w:t>
      </w:r>
      <w:r>
        <w:rPr>
          <w:iCs/>
          <w:color w:val="54883D"/>
          <w:sz w:val="20"/>
        </w:rPr>
        <w:fldChar w:fldCharType="begin"/>
      </w:r>
      <w:r>
        <w:rPr>
          <w:iCs/>
          <w:sz w:val="20"/>
        </w:rPr>
        <w:instrText>SEQ Tabela \* ARABIC</w:instrText>
      </w:r>
      <w:r>
        <w:rPr>
          <w:iCs/>
          <w:sz w:val="20"/>
        </w:rPr>
        <w:fldChar w:fldCharType="separate"/>
      </w:r>
      <w:r>
        <w:rPr>
          <w:iCs/>
          <w:sz w:val="20"/>
        </w:rPr>
        <w:t>57</w:t>
      </w:r>
      <w:r>
        <w:rPr>
          <w:iCs/>
          <w:sz w:val="20"/>
        </w:rPr>
        <w:fldChar w:fldCharType="end"/>
      </w:r>
      <w:r>
        <w:rPr>
          <w:iCs/>
          <w:color w:val="54883D"/>
          <w:sz w:val="20"/>
        </w:rPr>
        <w:t>.Vrijednost kriterija za posljedice na gospodarstvo po kategorijama – industrijske nesreće</w:t>
      </w:r>
    </w:p>
    <w:tbl>
      <w:tblPr>
        <w:tblStyle w:val="ivopisnatablicareetke6-isticanje333"/>
        <w:tblW w:w="9052" w:type="dxa"/>
        <w:jc w:val="center"/>
        <w:tblLook w:val="04A0" w:firstRow="1" w:lastRow="0" w:firstColumn="1" w:lastColumn="0" w:noHBand="0" w:noVBand="1"/>
      </w:tblPr>
      <w:tblGrid>
        <w:gridCol w:w="1528"/>
        <w:gridCol w:w="2294"/>
        <w:gridCol w:w="3402"/>
        <w:gridCol w:w="1828"/>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82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w:t>
            </w:r>
            <w:r>
              <w:rPr>
                <w:color w:val="000000"/>
                <w:sz w:val="20"/>
                <w:szCs w:val="20"/>
              </w:rPr>
              <w:t>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1.</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2.</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3.</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4.</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5.</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spacing w:after="0"/>
        <w:rPr>
          <w:u w:val="single"/>
        </w:rPr>
      </w:pPr>
    </w:p>
    <w:p w:rsidR="00A07D92" w:rsidRDefault="00495E63">
      <w:pPr>
        <w:spacing w:after="0"/>
        <w:rPr>
          <w:u w:val="single"/>
        </w:rPr>
      </w:pPr>
      <w:r>
        <w:rPr>
          <w:u w:val="single"/>
        </w:rPr>
        <w:t>Društvena stabilnost i politika</w:t>
      </w:r>
    </w:p>
    <w:p w:rsidR="00A07D92" w:rsidRDefault="00495E63">
      <w:pPr>
        <w:rPr>
          <w:rFonts w:eastAsiaTheme="minorHAnsi"/>
          <w:b/>
          <w:u w:val="single"/>
        </w:rPr>
      </w:pPr>
      <w:r>
        <w:rPr>
          <w:rFonts w:eastAsiaTheme="minorHAnsi"/>
          <w:b/>
          <w:u w:val="single"/>
        </w:rPr>
        <w:t xml:space="preserve">Posljedice po kritičnu </w:t>
      </w:r>
      <w:r>
        <w:rPr>
          <w:rFonts w:eastAsiaTheme="minorHAnsi"/>
          <w:b/>
          <w:u w:val="single"/>
        </w:rPr>
        <w:t>infrastrukturu:</w:t>
      </w:r>
    </w:p>
    <w:p w:rsidR="00A07D92" w:rsidRDefault="00495E63">
      <w:pPr>
        <w:spacing w:before="120" w:after="120"/>
        <w:ind w:right="74"/>
        <w:rPr>
          <w:i/>
          <w:iCs/>
          <w:color w:val="54883D"/>
        </w:rPr>
      </w:pPr>
      <w:r>
        <w:rPr>
          <w:i/>
          <w:iCs/>
          <w:color w:val="54883D"/>
        </w:rPr>
        <w:t>Proizvodnja, skladištenje i prijevoz opasnih tvari</w:t>
      </w:r>
    </w:p>
    <w:p w:rsidR="00A07D92" w:rsidRDefault="00495E63">
      <w:pPr>
        <w:spacing w:before="120" w:after="120"/>
        <w:ind w:right="74"/>
      </w:pPr>
      <w:r>
        <w:t>Od ove vrste opasnosti objekti u kojima se odvijaju radnje s opasnim tvarima ne bi bili ugroženi. Na kritičnim cestovnim prometnicama moglo bi doći do zatvaranja prometa.</w:t>
      </w:r>
    </w:p>
    <w:p w:rsidR="00A07D92" w:rsidRDefault="00495E63">
      <w:pPr>
        <w:spacing w:before="120" w:after="120"/>
        <w:ind w:right="74"/>
        <w:rPr>
          <w:i/>
          <w:iCs/>
          <w:color w:val="54883D"/>
        </w:rPr>
      </w:pPr>
      <w:r>
        <w:rPr>
          <w:i/>
          <w:iCs/>
          <w:color w:val="54883D"/>
        </w:rPr>
        <w:t>Promet</w:t>
      </w:r>
    </w:p>
    <w:p w:rsidR="00A07D92" w:rsidRDefault="00495E63">
      <w:pPr>
        <w:spacing w:after="0"/>
        <w:rPr>
          <w:szCs w:val="20"/>
        </w:rPr>
      </w:pPr>
      <w:r>
        <w:rPr>
          <w:szCs w:val="20"/>
        </w:rPr>
        <w:t>Ovisno o ra</w:t>
      </w:r>
      <w:r>
        <w:rPr>
          <w:szCs w:val="20"/>
        </w:rPr>
        <w:t>zmjerima katastrofe, odnosno vrsti i količini opasnih tvari koje se prevoze, može doći do prekida prometa kao i do oštećenja samih prometnica na kojima bi eventualno došlo do nesreće.</w:t>
      </w:r>
    </w:p>
    <w:p w:rsidR="00A07D92" w:rsidRDefault="00495E63">
      <w:pPr>
        <w:spacing w:after="0"/>
        <w:rPr>
          <w:i/>
          <w:iCs/>
          <w:color w:val="54883D"/>
          <w:szCs w:val="20"/>
        </w:rPr>
      </w:pPr>
      <w:r>
        <w:rPr>
          <w:i/>
          <w:iCs/>
          <w:color w:val="54883D"/>
          <w:szCs w:val="20"/>
        </w:rPr>
        <w:t xml:space="preserve">Nacionalni spomenici </w:t>
      </w:r>
    </w:p>
    <w:p w:rsidR="00A07D92" w:rsidRDefault="00495E63">
      <w:pPr>
        <w:spacing w:after="0"/>
        <w:rPr>
          <w:color w:val="auto"/>
          <w:szCs w:val="20"/>
        </w:rPr>
      </w:pPr>
      <w:r>
        <w:rPr>
          <w:color w:val="auto"/>
          <w:szCs w:val="20"/>
        </w:rPr>
        <w:lastRenderedPageBreak/>
        <w:t>Ovisno o veličini tehničko-tehnološke nesreće post</w:t>
      </w:r>
      <w:r>
        <w:rPr>
          <w:color w:val="auto"/>
          <w:szCs w:val="20"/>
        </w:rPr>
        <w:t>oji mogućnost ugrožavanja objekata na području znanosti, spomenika i drugih nacionalnih vrijednosti.</w:t>
      </w:r>
    </w:p>
    <w:p w:rsidR="00A07D92" w:rsidRDefault="00A07D92">
      <w:pPr>
        <w:spacing w:before="0" w:after="0"/>
        <w:rPr>
          <w:rFonts w:eastAsia="Calibri"/>
          <w:bCs/>
          <w:color w:val="54883D"/>
          <w:sz w:val="20"/>
          <w:szCs w:val="18"/>
          <w:lang w:bidi="en-US"/>
        </w:rPr>
      </w:pP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58</w:t>
      </w:r>
      <w:r>
        <w:rPr>
          <w:rFonts w:eastAsia="Calibri"/>
          <w:bCs/>
          <w:sz w:val="20"/>
          <w:szCs w:val="18"/>
        </w:rPr>
        <w:fldChar w:fldCharType="end"/>
      </w:r>
      <w:r>
        <w:rPr>
          <w:rFonts w:eastAsia="Calibri"/>
          <w:bCs/>
          <w:color w:val="54883D"/>
          <w:sz w:val="20"/>
          <w:szCs w:val="18"/>
          <w:lang w:bidi="en-US"/>
        </w:rPr>
        <w:t>.Vrijednost kriterija za posljedice na društvenu stabilnost i politiku</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 oštećena kritična infrastruktura – industrijske </w:t>
      </w:r>
      <w:r>
        <w:rPr>
          <w:rFonts w:eastAsia="Calibri"/>
          <w:bCs/>
          <w:color w:val="54883D"/>
          <w:sz w:val="20"/>
          <w:szCs w:val="18"/>
          <w:lang w:bidi="en-US"/>
        </w:rPr>
        <w:t>nesreće</w:t>
      </w:r>
    </w:p>
    <w:tbl>
      <w:tblPr>
        <w:tblStyle w:val="ivopisnatablicareetke6-isticanje333"/>
        <w:tblW w:w="8910" w:type="dxa"/>
        <w:jc w:val="center"/>
        <w:tblLook w:val="04A0" w:firstRow="1" w:lastRow="0" w:firstColumn="1" w:lastColumn="0" w:noHBand="0" w:noVBand="1"/>
      </w:tblPr>
      <w:tblGrid>
        <w:gridCol w:w="1528"/>
        <w:gridCol w:w="2294"/>
        <w:gridCol w:w="3259"/>
        <w:gridCol w:w="182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8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1.</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2.</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3.</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4.</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5.</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rPr>
          <w:rFonts w:eastAsiaTheme="minorHAnsi"/>
          <w:b/>
          <w:u w:val="single"/>
        </w:rPr>
      </w:pPr>
    </w:p>
    <w:p w:rsidR="00A07D92" w:rsidRDefault="00495E63">
      <w:pPr>
        <w:rPr>
          <w:rFonts w:eastAsiaTheme="minorHAnsi"/>
          <w:b/>
          <w:u w:val="single"/>
        </w:rPr>
      </w:pPr>
      <w:r>
        <w:rPr>
          <w:rFonts w:eastAsiaTheme="minorHAnsi"/>
          <w:b/>
          <w:u w:val="single"/>
        </w:rPr>
        <w:t xml:space="preserve">Posljedice po </w:t>
      </w:r>
      <w:r>
        <w:rPr>
          <w:rFonts w:eastAsiaTheme="minorHAnsi"/>
          <w:b/>
          <w:u w:val="single"/>
        </w:rPr>
        <w:t>građevine javnog društvenog značaja:</w:t>
      </w:r>
    </w:p>
    <w:p w:rsidR="00A07D92" w:rsidRDefault="00495E63">
      <w:pPr>
        <w:spacing w:before="0" w:after="0"/>
        <w:rPr>
          <w:rFonts w:eastAsia="Calibri"/>
          <w:bCs/>
          <w:color w:val="54883D"/>
          <w:sz w:val="20"/>
          <w:szCs w:val="18"/>
          <w:lang w:bidi="en-US"/>
        </w:rPr>
      </w:pPr>
      <w:r>
        <w:t xml:space="preserve">U slučaju tehničko-tehnološke nesreće sa opasnim tvarima neće doći do </w:t>
      </w:r>
      <w:proofErr w:type="spellStart"/>
      <w:r>
        <w:t>posljeldica</w:t>
      </w:r>
      <w:proofErr w:type="spellEnd"/>
      <w:r>
        <w:t xml:space="preserve"> na građevinama javnog društvenog značaja te se ne očekuje zastoj u obavljanju djelatnosti navedenih građevina/ustanova.</w:t>
      </w:r>
    </w:p>
    <w:p w:rsidR="00A07D92" w:rsidRDefault="00A07D92">
      <w:pPr>
        <w:spacing w:before="0" w:after="0"/>
        <w:jc w:val="center"/>
        <w:rPr>
          <w:rFonts w:eastAsia="Calibri"/>
          <w:bCs/>
          <w:color w:val="54883D"/>
          <w:sz w:val="20"/>
          <w:szCs w:val="18"/>
          <w:lang w:bidi="en-US"/>
        </w:rPr>
      </w:pP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w:instrText>
      </w:r>
      <w:r>
        <w:rPr>
          <w:rFonts w:eastAsia="Calibri"/>
          <w:bCs/>
          <w:sz w:val="20"/>
          <w:szCs w:val="18"/>
        </w:rPr>
        <w:instrText>la \* ARABIC</w:instrText>
      </w:r>
      <w:r>
        <w:rPr>
          <w:rFonts w:eastAsia="Calibri"/>
          <w:bCs/>
          <w:sz w:val="20"/>
          <w:szCs w:val="18"/>
        </w:rPr>
        <w:fldChar w:fldCharType="separate"/>
      </w:r>
      <w:r>
        <w:rPr>
          <w:rFonts w:eastAsia="Calibri"/>
          <w:bCs/>
          <w:sz w:val="20"/>
          <w:szCs w:val="18"/>
        </w:rPr>
        <w:t>59</w:t>
      </w:r>
      <w:r>
        <w:rPr>
          <w:rFonts w:eastAsia="Calibri"/>
          <w:bCs/>
          <w:sz w:val="20"/>
          <w:szCs w:val="18"/>
        </w:rPr>
        <w:fldChar w:fldCharType="end"/>
      </w:r>
      <w:r>
        <w:rPr>
          <w:rFonts w:eastAsia="Calibri"/>
          <w:bCs/>
          <w:color w:val="54883D"/>
          <w:sz w:val="20"/>
          <w:szCs w:val="18"/>
          <w:lang w:bidi="en-US"/>
        </w:rPr>
        <w:t xml:space="preserve">..Vrijednost kriterija za posljedice na društvenu stabilnost i politiku </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 - štete/gubitci na ustanovama/građevinama javnog društvenog značaja – industrijske nesreće</w:t>
      </w:r>
    </w:p>
    <w:tbl>
      <w:tblPr>
        <w:tblStyle w:val="ivopisnatablicareetke6-isticanje333"/>
        <w:tblW w:w="8910" w:type="dxa"/>
        <w:jc w:val="center"/>
        <w:tblLook w:val="04A0" w:firstRow="1" w:lastRow="0" w:firstColumn="1" w:lastColumn="0" w:noHBand="0" w:noVBand="1"/>
      </w:tblPr>
      <w:tblGrid>
        <w:gridCol w:w="1528"/>
        <w:gridCol w:w="2294"/>
        <w:gridCol w:w="3259"/>
        <w:gridCol w:w="182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8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1.</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 xml:space="preserve">91.926,61 – </w:t>
            </w:r>
            <w:r>
              <w:rPr>
                <w:color w:val="auto"/>
                <w:sz w:val="20"/>
                <w:szCs w:val="20"/>
              </w:rPr>
              <w:t>183.853,22</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2.</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3.</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4.</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5.</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spacing w:before="0" w:after="0"/>
        <w:jc w:val="left"/>
        <w:rPr>
          <w:rFonts w:eastAsiaTheme="minorHAnsi"/>
          <w:b/>
          <w:u w:val="single"/>
        </w:rPr>
      </w:pPr>
    </w:p>
    <w:p w:rsidR="00A07D92" w:rsidRDefault="00A07D92">
      <w:pPr>
        <w:spacing w:before="0" w:after="200"/>
        <w:jc w:val="center"/>
        <w:rPr>
          <w:rFonts w:eastAsia="Calibri"/>
          <w:bCs/>
          <w:color w:val="54883D"/>
          <w:sz w:val="20"/>
          <w:szCs w:val="18"/>
          <w:lang w:bidi="en-US"/>
        </w:rPr>
      </w:pPr>
    </w:p>
    <w:p w:rsidR="00A07D92" w:rsidRDefault="00495E63">
      <w:pPr>
        <w:spacing w:before="0" w:after="20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60</w:t>
      </w:r>
      <w:r>
        <w:rPr>
          <w:rFonts w:eastAsia="Calibri"/>
          <w:bCs/>
          <w:sz w:val="20"/>
          <w:szCs w:val="18"/>
        </w:rPr>
        <w:fldChar w:fldCharType="end"/>
      </w:r>
      <w:r>
        <w:rPr>
          <w:rFonts w:eastAsia="Calibri"/>
          <w:bCs/>
          <w:color w:val="54883D"/>
          <w:sz w:val="20"/>
          <w:szCs w:val="18"/>
          <w:lang w:bidi="en-US"/>
        </w:rPr>
        <w:t xml:space="preserve">.Vrijednost kriterija za društvenu stabilnost i politiku </w:t>
      </w:r>
      <w:r>
        <w:rPr>
          <w:rFonts w:eastAsia="Calibri"/>
          <w:bCs/>
          <w:color w:val="54883D"/>
          <w:sz w:val="20"/>
          <w:szCs w:val="18"/>
          <w:lang w:bidi="en-US"/>
        </w:rPr>
        <w:t>- zbirno – industrijske nesreće</w:t>
      </w:r>
    </w:p>
    <w:tbl>
      <w:tblPr>
        <w:tblStyle w:val="ivopisnatablicareetke6-isticanje310"/>
        <w:tblW w:w="7923" w:type="dxa"/>
        <w:jc w:val="center"/>
        <w:tblLook w:val="04A0" w:firstRow="1" w:lastRow="0" w:firstColumn="1" w:lastColumn="0" w:noHBand="0" w:noVBand="1"/>
      </w:tblPr>
      <w:tblGrid>
        <w:gridCol w:w="1557"/>
        <w:gridCol w:w="2108"/>
        <w:gridCol w:w="2834"/>
        <w:gridCol w:w="1424"/>
      </w:tblGrid>
      <w:tr w:rsidR="00A07D92" w:rsidTr="00A07D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rPr>
                <w:sz w:val="20"/>
              </w:rPr>
            </w:pPr>
            <w:r>
              <w:rPr>
                <w:color w:val="76923C" w:themeColor="accent3" w:themeShade="BF"/>
                <w:sz w:val="20"/>
              </w:rPr>
              <w:t>KATEGORIJA</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KRITIČNA INFRASTRUKTURA</w:t>
            </w: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USTANOVE/GRAĐEVINE JAVNOG DRUŠTVENOG ZNAČAJA</w:t>
            </w: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1.</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r>
              <w:rPr>
                <w:b/>
                <w:color w:val="76923C" w:themeColor="accent3" w:themeShade="BF"/>
                <w:sz w:val="20"/>
              </w:rPr>
              <w:t>x</w:t>
            </w: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2.</w:t>
            </w:r>
          </w:p>
        </w:tc>
        <w:tc>
          <w:tcPr>
            <w:tcW w:w="21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themeColor="accent3" w:themeShade="BF"/>
                <w:sz w:val="20"/>
              </w:rPr>
              <w:t>x</w:t>
            </w:r>
          </w:p>
        </w:tc>
        <w:tc>
          <w:tcPr>
            <w:tcW w:w="28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themeColor="accent3" w:themeShade="BF"/>
                <w:sz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3.</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4.</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5.</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r>
    </w:tbl>
    <w:p w:rsidR="00A07D92" w:rsidRDefault="00A07D92">
      <w:pPr>
        <w:rPr>
          <w:i/>
          <w:iCs/>
          <w:color w:val="54883D"/>
        </w:rPr>
      </w:pPr>
    </w:p>
    <w:p w:rsidR="00A07D92" w:rsidRDefault="00495E63">
      <w:pPr>
        <w:rPr>
          <w:i/>
          <w:iCs/>
          <w:color w:val="54883D"/>
        </w:rPr>
      </w:pPr>
      <w:r>
        <w:rPr>
          <w:i/>
          <w:iCs/>
          <w:color w:val="54883D"/>
        </w:rPr>
        <w:t>Vjerojatnost događaja</w:t>
      </w:r>
    </w:p>
    <w:p w:rsidR="00A07D92" w:rsidRDefault="00495E63">
      <w:r>
        <w:t xml:space="preserve">S obzirom na </w:t>
      </w:r>
      <w:proofErr w:type="spellStart"/>
      <w:r>
        <w:t>razmatrajuće</w:t>
      </w:r>
      <w:proofErr w:type="spellEnd"/>
      <w:r>
        <w:t xml:space="preserve"> podatke, izračunata je vjerojatnost pojavljivanja ovog događaja prema IAEA – TECDOC-727 metodi i </w:t>
      </w:r>
      <w:bookmarkStart w:id="300" w:name="_Hlk131582673"/>
      <w:r>
        <w:t>Priručniku za razvrstavanje i utvrđivanje prioriteta među rizicima izazvanim velikim nesrećama u procesnoj i srodnim industrijama</w:t>
      </w:r>
      <w:bookmarkEnd w:id="300"/>
      <w:r>
        <w:t>. Ra</w:t>
      </w:r>
      <w:r>
        <w:t xml:space="preserve">čunanje </w:t>
      </w:r>
      <w:r>
        <w:lastRenderedPageBreak/>
        <w:t xml:space="preserve">vjerojatnosti nekog događaja (promet opasnih materijala) provodi se pomoću zbrajanja logaritama: </w:t>
      </w:r>
    </w:p>
    <w:p w:rsidR="00A07D92" w:rsidRDefault="00495E63">
      <w:pPr>
        <w:spacing w:before="120" w:after="120"/>
        <w:rPr>
          <w:b/>
        </w:rPr>
      </w:pPr>
      <w:r>
        <w:rPr>
          <w:b/>
        </w:rPr>
        <w:t>N</w:t>
      </w:r>
      <w:r>
        <w:rPr>
          <w:b/>
          <w:vertAlign w:val="subscript"/>
        </w:rPr>
        <w:t>p,t</w:t>
      </w:r>
      <w:r>
        <w:rPr>
          <w:b/>
        </w:rPr>
        <w:t>=N</w:t>
      </w:r>
      <w:r>
        <w:rPr>
          <w:b/>
          <w:vertAlign w:val="superscript"/>
        </w:rPr>
        <w:t>*</w:t>
      </w:r>
      <w:r>
        <w:rPr>
          <w:b/>
          <w:vertAlign w:val="subscript"/>
        </w:rPr>
        <w:t>p,t</w:t>
      </w:r>
      <w:r>
        <w:rPr>
          <w:b/>
        </w:rPr>
        <w:t xml:space="preserve"> + </w:t>
      </w:r>
      <w:proofErr w:type="spellStart"/>
      <w:r>
        <w:rPr>
          <w:b/>
        </w:rPr>
        <w:t>n</w:t>
      </w:r>
      <w:r>
        <w:rPr>
          <w:b/>
          <w:vertAlign w:val="subscript"/>
        </w:rPr>
        <w:t>ui</w:t>
      </w:r>
      <w:proofErr w:type="spellEnd"/>
      <w:r>
        <w:rPr>
          <w:b/>
        </w:rPr>
        <w:t>+ n</w:t>
      </w:r>
      <w:r>
        <w:rPr>
          <w:b/>
          <w:vertAlign w:val="subscript"/>
        </w:rPr>
        <w:t>0</w:t>
      </w:r>
      <w:r>
        <w:rPr>
          <w:b/>
        </w:rPr>
        <w:t xml:space="preserve">+ </w:t>
      </w:r>
      <w:proofErr w:type="spellStart"/>
      <w:r>
        <w:rPr>
          <w:b/>
        </w:rPr>
        <w:t>n</w:t>
      </w:r>
      <w:r>
        <w:rPr>
          <w:b/>
          <w:vertAlign w:val="subscript"/>
        </w:rPr>
        <w:t>n</w:t>
      </w:r>
      <w:proofErr w:type="spellEnd"/>
      <w:r>
        <w:rPr>
          <w:b/>
        </w:rPr>
        <w:t xml:space="preserve">, </w:t>
      </w:r>
    </w:p>
    <w:p w:rsidR="00A07D92" w:rsidRDefault="00495E63">
      <w:pPr>
        <w:spacing w:before="120" w:after="120"/>
        <w:rPr>
          <w:b/>
        </w:rPr>
      </w:pPr>
      <w:r>
        <w:rPr>
          <w:b/>
        </w:rPr>
        <w:t xml:space="preserve">N = | log </w:t>
      </w:r>
      <w:r>
        <w:rPr>
          <w:b/>
          <w:vertAlign w:val="subscript"/>
        </w:rPr>
        <w:t>10</w:t>
      </w:r>
      <w:r>
        <w:rPr>
          <w:b/>
        </w:rPr>
        <w:t xml:space="preserve"> P |</w:t>
      </w:r>
    </w:p>
    <w:p w:rsidR="00A07D92" w:rsidRDefault="00495E63">
      <w:pPr>
        <w:spacing w:before="120" w:after="120"/>
      </w:pPr>
      <w:r>
        <w:t xml:space="preserve">gdje je </w:t>
      </w:r>
    </w:p>
    <w:p w:rsidR="00A07D92" w:rsidRDefault="00495E63">
      <w:pPr>
        <w:spacing w:before="120" w:after="120"/>
        <w:rPr>
          <w:color w:val="000000"/>
          <w:lang w:bidi="en-US"/>
        </w:rPr>
      </w:pPr>
      <w:r>
        <w:rPr>
          <w:b/>
          <w:color w:val="000000"/>
          <w:lang w:bidi="en-US"/>
        </w:rPr>
        <w:t>N*</w:t>
      </w:r>
      <w:r>
        <w:rPr>
          <w:b/>
          <w:color w:val="000000"/>
          <w:vertAlign w:val="subscript"/>
          <w:lang w:bidi="en-US"/>
        </w:rPr>
        <w:t>p,t</w:t>
      </w:r>
      <w:r>
        <w:rPr>
          <w:color w:val="000000"/>
          <w:lang w:bidi="en-US"/>
        </w:rPr>
        <w:t>= prosječni broj vjerojatnosti za postrojenje i tvar;</w:t>
      </w:r>
    </w:p>
    <w:p w:rsidR="00A07D92" w:rsidRDefault="00495E63">
      <w:pPr>
        <w:spacing w:before="120" w:after="120"/>
        <w:rPr>
          <w:color w:val="000000"/>
          <w:lang w:bidi="en-US"/>
        </w:rPr>
      </w:pPr>
      <w:proofErr w:type="spellStart"/>
      <w:r>
        <w:rPr>
          <w:b/>
          <w:color w:val="000000"/>
          <w:lang w:bidi="en-US"/>
        </w:rPr>
        <w:t>n</w:t>
      </w:r>
      <w:r>
        <w:rPr>
          <w:b/>
          <w:color w:val="000000"/>
          <w:vertAlign w:val="subscript"/>
          <w:lang w:bidi="en-US"/>
        </w:rPr>
        <w:t>ui</w:t>
      </w:r>
      <w:proofErr w:type="spellEnd"/>
      <w:r>
        <w:rPr>
          <w:color w:val="000000"/>
          <w:lang w:bidi="en-US"/>
        </w:rPr>
        <w:t>= korekcijski parametar broja vjero</w:t>
      </w:r>
      <w:r>
        <w:rPr>
          <w:color w:val="000000"/>
          <w:lang w:bidi="en-US"/>
        </w:rPr>
        <w:t xml:space="preserve">jatnosti za učestalost radnji utovara/istovara; </w:t>
      </w:r>
    </w:p>
    <w:p w:rsidR="00A07D92" w:rsidRDefault="00495E63">
      <w:pPr>
        <w:spacing w:before="120" w:after="120"/>
        <w:rPr>
          <w:color w:val="000000"/>
          <w:lang w:bidi="en-US"/>
        </w:rPr>
      </w:pPr>
      <w:r>
        <w:rPr>
          <w:b/>
          <w:color w:val="000000"/>
          <w:lang w:bidi="en-US"/>
        </w:rPr>
        <w:t>n</w:t>
      </w:r>
      <w:r>
        <w:rPr>
          <w:b/>
          <w:color w:val="000000"/>
          <w:vertAlign w:val="subscript"/>
          <w:lang w:bidi="en-US"/>
        </w:rPr>
        <w:t>0</w:t>
      </w:r>
      <w:r>
        <w:rPr>
          <w:color w:val="000000"/>
          <w:lang w:bidi="en-US"/>
        </w:rPr>
        <w:t xml:space="preserve"> = korekcijski parametar broja vjerojatnosti za organizacijsku i upravljačku sigurnost;</w:t>
      </w:r>
    </w:p>
    <w:p w:rsidR="00A07D92" w:rsidRDefault="00495E63">
      <w:pPr>
        <w:spacing w:before="120" w:after="120"/>
        <w:rPr>
          <w:color w:val="000000"/>
          <w:lang w:bidi="en-US"/>
        </w:rPr>
      </w:pPr>
      <w:proofErr w:type="spellStart"/>
      <w:r>
        <w:rPr>
          <w:b/>
          <w:color w:val="000000"/>
          <w:lang w:bidi="en-US"/>
        </w:rPr>
        <w:t>n</w:t>
      </w:r>
      <w:r>
        <w:rPr>
          <w:b/>
          <w:color w:val="000000"/>
          <w:vertAlign w:val="subscript"/>
          <w:lang w:bidi="en-US"/>
        </w:rPr>
        <w:t>n</w:t>
      </w:r>
      <w:proofErr w:type="spellEnd"/>
      <w:r>
        <w:rPr>
          <w:color w:val="000000"/>
          <w:lang w:bidi="en-US"/>
        </w:rPr>
        <w:t xml:space="preserve">= korekcijski parametar broja vjerojatnosti za smjer vjetra prema naseljenom području; </w:t>
      </w:r>
    </w:p>
    <w:p w:rsidR="00A07D92" w:rsidRDefault="00495E63">
      <w:pPr>
        <w:spacing w:before="120" w:after="120"/>
      </w:pPr>
      <w:r>
        <w:t>N - broj vjerojatnosti</w:t>
      </w:r>
    </w:p>
    <w:p w:rsidR="00A07D92" w:rsidRDefault="00495E63">
      <w:pPr>
        <w:spacing w:before="120" w:after="120"/>
      </w:pPr>
      <w:r>
        <w:t xml:space="preserve">P - </w:t>
      </w:r>
      <w:r>
        <w:t>vrijednost učestalosti</w:t>
      </w:r>
    </w:p>
    <w:p w:rsidR="00A07D92" w:rsidRDefault="00495E63">
      <w:pPr>
        <w:spacing w:before="120" w:after="120"/>
      </w:pPr>
      <w:r>
        <w:t xml:space="preserve">Vjerojatnost pojavljivanja ovog događaja: </w:t>
      </w:r>
    </w:p>
    <w:p w:rsidR="00A07D92" w:rsidRDefault="00495E63">
      <w:pPr>
        <w:spacing w:before="120" w:after="120"/>
        <w:rPr>
          <w:rFonts w:eastAsiaTheme="minorEastAsia"/>
          <w:b/>
          <w:color w:val="auto"/>
          <w:szCs w:val="22"/>
          <w:lang w:eastAsia="hr-HR"/>
        </w:rPr>
      </w:pPr>
      <w:r>
        <w:rPr>
          <w:rFonts w:eastAsiaTheme="minorEastAsia"/>
          <w:b/>
          <w:color w:val="auto"/>
          <w:szCs w:val="22"/>
          <w:lang w:eastAsia="hr-HR"/>
        </w:rPr>
        <w:t>N</w:t>
      </w:r>
      <w:r>
        <w:rPr>
          <w:rFonts w:eastAsiaTheme="minorEastAsia"/>
          <w:b/>
          <w:color w:val="auto"/>
          <w:szCs w:val="22"/>
          <w:vertAlign w:val="subscript"/>
          <w:lang w:eastAsia="hr-HR"/>
        </w:rPr>
        <w:t xml:space="preserve">p,t </w:t>
      </w:r>
      <w:r>
        <w:rPr>
          <w:rFonts w:eastAsiaTheme="minorEastAsia"/>
          <w:b/>
          <w:color w:val="auto"/>
          <w:szCs w:val="22"/>
          <w:lang w:eastAsia="hr-HR"/>
        </w:rPr>
        <w:t>= 8 - 1 + 0 + 0 = 7</w:t>
      </w:r>
    </w:p>
    <w:p w:rsidR="00A07D92" w:rsidRDefault="00495E63">
      <w:pPr>
        <w:spacing w:before="120" w:after="120"/>
        <w:rPr>
          <w:rFonts w:eastAsiaTheme="minorEastAsia"/>
          <w:b/>
          <w:color w:val="auto"/>
          <w:szCs w:val="22"/>
          <w:vertAlign w:val="superscript"/>
          <w:lang w:eastAsia="hr-HR"/>
        </w:rPr>
      </w:pPr>
      <w:r>
        <w:rPr>
          <w:rFonts w:eastAsiaTheme="minorEastAsia"/>
          <w:b/>
          <w:color w:val="auto"/>
          <w:szCs w:val="22"/>
          <w:lang w:eastAsia="hr-HR"/>
        </w:rPr>
        <w:t>N</w:t>
      </w:r>
      <w:r>
        <w:rPr>
          <w:rFonts w:eastAsiaTheme="minorEastAsia"/>
          <w:b/>
          <w:color w:val="auto"/>
          <w:szCs w:val="22"/>
          <w:vertAlign w:val="subscript"/>
          <w:lang w:eastAsia="hr-HR"/>
        </w:rPr>
        <w:t>p,t</w:t>
      </w:r>
      <w:r>
        <w:rPr>
          <w:rFonts w:eastAsiaTheme="minorEastAsia"/>
          <w:b/>
          <w:color w:val="auto"/>
          <w:szCs w:val="22"/>
          <w:lang w:eastAsia="hr-HR"/>
        </w:rPr>
        <w:t>, (broj nesreća godišnje) = 1x10</w:t>
      </w:r>
      <w:r>
        <w:rPr>
          <w:rFonts w:eastAsiaTheme="minorEastAsia"/>
          <w:b/>
          <w:color w:val="auto"/>
          <w:szCs w:val="22"/>
          <w:vertAlign w:val="superscript"/>
          <w:lang w:eastAsia="hr-HR"/>
        </w:rPr>
        <w:t>-7</w:t>
      </w:r>
    </w:p>
    <w:p w:rsidR="00A07D92" w:rsidRDefault="00495E63">
      <w:pPr>
        <w:spacing w:before="240" w:after="240"/>
        <w:ind w:right="-2"/>
      </w:pPr>
      <w:r>
        <w:t>Slijedom navedenog iz dobivene jednadžbe dobiven je broj od 1x10</w:t>
      </w:r>
      <w:r>
        <w:rPr>
          <w:vertAlign w:val="superscript"/>
        </w:rPr>
        <w:t>-7</w:t>
      </w:r>
      <w:r>
        <w:t xml:space="preserve"> što predstavlja da na 1 000 </w:t>
      </w:r>
      <w:proofErr w:type="spellStart"/>
      <w:r>
        <w:t>000</w:t>
      </w:r>
      <w:proofErr w:type="spellEnd"/>
      <w:r>
        <w:t xml:space="preserve"> slučajeva se desi 1 događaj.</w:t>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61</w:t>
      </w:r>
      <w:r>
        <w:rPr>
          <w:rFonts w:eastAsia="Calibri"/>
          <w:bCs/>
          <w:sz w:val="20"/>
          <w:szCs w:val="18"/>
        </w:rPr>
        <w:fldChar w:fldCharType="end"/>
      </w:r>
      <w:r>
        <w:rPr>
          <w:rFonts w:eastAsia="Calibri"/>
          <w:bCs/>
          <w:color w:val="54883D"/>
          <w:sz w:val="20"/>
          <w:szCs w:val="18"/>
          <w:lang w:bidi="en-US"/>
        </w:rPr>
        <w:t>.Vjerojatnost / frekvencija – industrijske nesreće</w:t>
      </w:r>
    </w:p>
    <w:p w:rsidR="00A07D92" w:rsidRDefault="00A07D92">
      <w:pPr>
        <w:spacing w:before="0" w:after="0"/>
        <w:jc w:val="center"/>
        <w:rPr>
          <w:rFonts w:eastAsia="Calibri"/>
          <w:bCs/>
          <w:color w:val="54883D"/>
          <w:sz w:val="20"/>
          <w:szCs w:val="18"/>
          <w:lang w:bidi="en-US"/>
        </w:rPr>
      </w:pPr>
    </w:p>
    <w:tbl>
      <w:tblPr>
        <w:tblStyle w:val="ivopisnatablicareetke6-isticanje310"/>
        <w:tblW w:w="9634" w:type="dxa"/>
        <w:tblLook w:val="04A0" w:firstRow="1" w:lastRow="0" w:firstColumn="1" w:lastColumn="0" w:noHBand="0" w:noVBand="1"/>
      </w:tblPr>
      <w:tblGrid>
        <w:gridCol w:w="1554"/>
        <w:gridCol w:w="1701"/>
        <w:gridCol w:w="1841"/>
        <w:gridCol w:w="2977"/>
        <w:gridCol w:w="1561"/>
      </w:tblGrid>
      <w:tr w:rsidR="00A07D92" w:rsidTr="00A07D92">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szCs w:val="20"/>
              </w:rPr>
            </w:pPr>
            <w:r>
              <w:rPr>
                <w:color w:val="76923C" w:themeColor="accent3" w:themeShade="BF"/>
                <w:sz w:val="20"/>
                <w:szCs w:val="20"/>
              </w:rPr>
              <w:t>KATEGORIJA</w:t>
            </w:r>
          </w:p>
        </w:tc>
        <w:tc>
          <w:tcPr>
            <w:tcW w:w="8080" w:type="dxa"/>
            <w:gridSpan w:val="4"/>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VJEROJATNOST / FREKVENCIJA</w:t>
            </w:r>
          </w:p>
        </w:tc>
      </w:tr>
      <w:tr w:rsidR="00A07D92" w:rsidTr="00A07D92">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4"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rPr>
                <w:color w:val="76923C" w:themeColor="accent3" w:themeShade="BF"/>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KVALITATIVNO</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VJEROJATNOST</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FREKVENCIJA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ODABRANO</w:t>
            </w: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1</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 1 %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Pr>
                <w:b/>
                <w:color w:val="76923C" w:themeColor="accent3" w:themeShade="BF"/>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2</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3</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4</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70"/>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5</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szCs w:val="20"/>
              </w:rPr>
            </w:pPr>
          </w:p>
        </w:tc>
      </w:tr>
    </w:tbl>
    <w:p w:rsidR="00A07D92" w:rsidRDefault="00A07D92">
      <w:pPr>
        <w:rPr>
          <w:lang w:bidi="en-US"/>
        </w:rPr>
      </w:pPr>
    </w:p>
    <w:p w:rsidR="00A07D92" w:rsidRDefault="00A07D92">
      <w:pPr>
        <w:rPr>
          <w:lang w:bidi="en-US"/>
        </w:rPr>
      </w:pPr>
    </w:p>
    <w:p w:rsidR="00A07D92" w:rsidRDefault="00495E63">
      <w:pPr>
        <w:keepNext/>
        <w:keepLines/>
        <w:spacing w:before="40"/>
        <w:outlineLvl w:val="2"/>
        <w:rPr>
          <w:rFonts w:cstheme="majorBidi"/>
          <w:iCs/>
          <w:color w:val="54883D"/>
          <w:sz w:val="28"/>
          <w:lang w:bidi="en-US"/>
        </w:rPr>
      </w:pPr>
      <w:r>
        <w:rPr>
          <w:rFonts w:cstheme="majorBidi"/>
          <w:iCs/>
          <w:color w:val="54883D"/>
          <w:sz w:val="28"/>
          <w:lang w:bidi="en-US"/>
        </w:rPr>
        <w:t xml:space="preserve"> </w:t>
      </w:r>
      <w:bookmarkStart w:id="301" w:name="_Toc136522858"/>
      <w:r>
        <w:rPr>
          <w:rFonts w:cstheme="majorBidi"/>
          <w:iCs/>
          <w:color w:val="54883D"/>
          <w:sz w:val="28"/>
          <w:lang w:bidi="en-US"/>
        </w:rPr>
        <w:t xml:space="preserve">6.5.7 Podaci, izvori i </w:t>
      </w:r>
      <w:r>
        <w:rPr>
          <w:rFonts w:cstheme="majorBidi"/>
          <w:iCs/>
          <w:color w:val="54883D"/>
          <w:sz w:val="28"/>
          <w:lang w:bidi="en-US"/>
        </w:rPr>
        <w:t>metode proračuna</w:t>
      </w:r>
      <w:bookmarkEnd w:id="301"/>
    </w:p>
    <w:p w:rsidR="00A07D92" w:rsidRDefault="00495E63">
      <w:r>
        <w:t>Prilikom izračuna zona ugroženosti i procjene rizika korišteni su podaci iz:</w:t>
      </w:r>
    </w:p>
    <w:p w:rsidR="00A07D92" w:rsidRDefault="00495E63">
      <w:pPr>
        <w:numPr>
          <w:ilvl w:val="0"/>
          <w:numId w:val="5"/>
        </w:numPr>
        <w:spacing w:before="120" w:after="120"/>
        <w:ind w:left="284" w:hanging="142"/>
        <w:contextualSpacing/>
        <w:rPr>
          <w:color w:val="auto"/>
        </w:rPr>
      </w:pPr>
      <w:r>
        <w:rPr>
          <w:color w:val="auto"/>
        </w:rPr>
        <w:t>Procjena ugroženosti stanovništva, materijalnih i kulturnih dobara te okoliša od katastrofa i velikih nesreća, Grad Mali Lošinj 2015.,</w:t>
      </w:r>
    </w:p>
    <w:p w:rsidR="00A07D92" w:rsidRDefault="00495E63">
      <w:pPr>
        <w:numPr>
          <w:ilvl w:val="0"/>
          <w:numId w:val="5"/>
        </w:numPr>
        <w:spacing w:before="120" w:after="120"/>
        <w:ind w:left="284" w:hanging="142"/>
        <w:contextualSpacing/>
        <w:rPr>
          <w:color w:val="auto"/>
        </w:rPr>
      </w:pPr>
      <w:r>
        <w:rPr>
          <w:color w:val="auto"/>
        </w:rPr>
        <w:t xml:space="preserve">Procjena ugroženosti od </w:t>
      </w:r>
      <w:r>
        <w:rPr>
          <w:color w:val="auto"/>
        </w:rPr>
        <w:t>požara i tehnoloških eksplozija Grad Mali Lošinj, 2020.,</w:t>
      </w:r>
    </w:p>
    <w:p w:rsidR="00A07D92" w:rsidRDefault="00495E63">
      <w:pPr>
        <w:numPr>
          <w:ilvl w:val="0"/>
          <w:numId w:val="5"/>
        </w:numPr>
        <w:spacing w:before="120" w:after="120"/>
        <w:ind w:left="284" w:hanging="142"/>
        <w:contextualSpacing/>
        <w:rPr>
          <w:color w:val="auto"/>
        </w:rPr>
      </w:pPr>
      <w:r>
        <w:rPr>
          <w:color w:val="auto"/>
        </w:rPr>
        <w:t>Uredba o sprječavanju velikih nesreća koje uključuju opasne tvari (NN 44/14, NN 31/17, NN 45/17,)</w:t>
      </w:r>
    </w:p>
    <w:p w:rsidR="00A07D92" w:rsidRDefault="00495E63">
      <w:pPr>
        <w:numPr>
          <w:ilvl w:val="0"/>
          <w:numId w:val="5"/>
        </w:numPr>
        <w:spacing w:before="120" w:after="120"/>
        <w:ind w:left="284" w:hanging="142"/>
        <w:contextualSpacing/>
        <w:rPr>
          <w:color w:val="auto"/>
        </w:rPr>
      </w:pPr>
      <w:r>
        <w:rPr>
          <w:color w:val="auto"/>
        </w:rPr>
        <w:t>Grada Malog Lošinja</w:t>
      </w:r>
    </w:p>
    <w:p w:rsidR="00A07D92" w:rsidRDefault="00495E63">
      <w:pPr>
        <w:numPr>
          <w:ilvl w:val="0"/>
          <w:numId w:val="5"/>
        </w:numPr>
        <w:spacing w:before="120" w:after="120"/>
        <w:ind w:left="284" w:hanging="142"/>
        <w:contextualSpacing/>
        <w:rPr>
          <w:color w:val="auto"/>
        </w:rPr>
      </w:pPr>
      <w:r>
        <w:rPr>
          <w:color w:val="auto"/>
        </w:rPr>
        <w:t xml:space="preserve">Procjene rizika od velikih nesreća za Grad Mali Lošinj, 2018., </w:t>
      </w:r>
    </w:p>
    <w:p w:rsidR="00A07D92" w:rsidRDefault="00495E63">
      <w:pPr>
        <w:numPr>
          <w:ilvl w:val="0"/>
          <w:numId w:val="5"/>
        </w:numPr>
        <w:spacing w:before="120" w:after="120"/>
        <w:ind w:left="284" w:hanging="142"/>
        <w:contextualSpacing/>
        <w:rPr>
          <w:color w:val="auto"/>
        </w:rPr>
      </w:pPr>
      <w:r>
        <w:rPr>
          <w:color w:val="auto"/>
        </w:rPr>
        <w:t>Procjene rizika o</w:t>
      </w:r>
      <w:r>
        <w:rPr>
          <w:color w:val="auto"/>
        </w:rPr>
        <w:t xml:space="preserve">d katastrofa za Republiku Hrvatsku, </w:t>
      </w:r>
    </w:p>
    <w:p w:rsidR="00A07D92" w:rsidRDefault="00495E63">
      <w:pPr>
        <w:numPr>
          <w:ilvl w:val="0"/>
          <w:numId w:val="5"/>
        </w:numPr>
        <w:spacing w:before="120" w:after="120"/>
        <w:ind w:left="284" w:hanging="142"/>
        <w:contextualSpacing/>
        <w:rPr>
          <w:color w:val="auto"/>
        </w:rPr>
      </w:pPr>
      <w:r>
        <w:lastRenderedPageBreak/>
        <w:t>Priručniku za razvrstavanje i utvrđivanje prioriteta među rizicima izazvanim velikim nesrećama u procesnoj i srodnim industrijama (Beč,1993.)</w:t>
      </w:r>
    </w:p>
    <w:p w:rsidR="00A07D92" w:rsidRDefault="00495E63">
      <w:pPr>
        <w:spacing w:before="0" w:after="200"/>
        <w:jc w:val="left"/>
        <w:rPr>
          <w:color w:val="auto"/>
        </w:rPr>
      </w:pPr>
      <w:r>
        <w:br w:type="page"/>
      </w:r>
    </w:p>
    <w:p w:rsidR="00A07D92" w:rsidRDefault="00495E63">
      <w:pPr>
        <w:keepNext/>
        <w:keepLines/>
        <w:tabs>
          <w:tab w:val="left" w:pos="0"/>
        </w:tabs>
        <w:spacing w:before="40"/>
        <w:outlineLvl w:val="2"/>
        <w:rPr>
          <w:rFonts w:cstheme="majorBidi"/>
          <w:color w:val="54883D"/>
          <w:sz w:val="28"/>
          <w:lang w:bidi="en-US"/>
        </w:rPr>
      </w:pPr>
      <w:bookmarkStart w:id="302" w:name="_Toc136522859"/>
      <w:bookmarkStart w:id="303" w:name="_Toc13472055"/>
      <w:bookmarkStart w:id="304" w:name="_Toc10450177"/>
      <w:bookmarkStart w:id="305" w:name="_Toc511137133"/>
      <w:bookmarkStart w:id="306" w:name="_Toc507493176"/>
      <w:r>
        <w:rPr>
          <w:rFonts w:cstheme="majorBidi"/>
          <w:color w:val="54883D"/>
          <w:sz w:val="28"/>
          <w:lang w:bidi="en-US"/>
        </w:rPr>
        <w:lastRenderedPageBreak/>
        <w:t>6.5.8 Matrice rizika</w:t>
      </w:r>
      <w:bookmarkEnd w:id="302"/>
      <w:bookmarkEnd w:id="303"/>
      <w:bookmarkEnd w:id="304"/>
      <w:bookmarkEnd w:id="305"/>
      <w:bookmarkEnd w:id="306"/>
    </w:p>
    <w:p w:rsidR="00A07D92" w:rsidRDefault="00495E63">
      <w:r>
        <w:t>Rizik: Tehničko-tehnološke nesreće s opasnim tvarima</w:t>
      </w:r>
    </w:p>
    <w:p w:rsidR="00A07D92" w:rsidRDefault="00495E63">
      <w:pPr>
        <w:jc w:val="left"/>
      </w:pPr>
      <w:r>
        <w:rPr>
          <w:noProof/>
          <w:lang w:eastAsia="hr-HR"/>
        </w:rPr>
        <mc:AlternateContent>
          <mc:Choice Requires="wps">
            <w:drawing>
              <wp:anchor distT="0" distB="0" distL="0" distR="0" simplePos="0" relativeHeight="47" behindDoc="0" locked="0" layoutInCell="1" allowOverlap="1" wp14:anchorId="1595D90E">
                <wp:simplePos x="0" y="0"/>
                <wp:positionH relativeFrom="column">
                  <wp:posOffset>1289685</wp:posOffset>
                </wp:positionH>
                <wp:positionV relativeFrom="paragraph">
                  <wp:posOffset>1997075</wp:posOffset>
                </wp:positionV>
                <wp:extent cx="314960" cy="253365"/>
                <wp:effectExtent l="19050" t="0" r="28575" b="13970"/>
                <wp:wrapNone/>
                <wp:docPr id="108" name="Hexagon 96"/>
                <wp:cNvGraphicFramePr/>
                <a:graphic xmlns:a="http://schemas.openxmlformats.org/drawingml/2006/main">
                  <a:graphicData uri="http://schemas.microsoft.com/office/word/2010/wordprocessingShape">
                    <wps:wsp>
                      <wps:cNvSpPr/>
                      <wps:spPr>
                        <a:xfrm>
                          <a:off x="0" y="0"/>
                          <a:ext cx="314280" cy="252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96" fillcolor="#4f81bd" stroked="t" style="position:absolute;margin-left:101.55pt;margin-top:157.25pt;width:24.7pt;height:19.85pt" wp14:anchorId="1595D90E" type="shapetype_9">
                <w10:wrap type="none"/>
                <v:fill o:detectmouseclick="t" type="solid" color2="#b07e42"/>
                <v:stroke color="#4f81bd" weight="9360" joinstyle="miter" endcap="flat"/>
              </v:shape>
            </w:pict>
          </mc:Fallback>
        </mc:AlternateContent>
      </w:r>
      <w:r>
        <w:t>Naziv scenarija: Nesreća nastala u postrojenju servisno skladište zone Jadranka d.d.</w:t>
      </w:r>
      <w:r>
        <w:rPr>
          <w:noProof/>
          <w:lang w:eastAsia="hr-HR"/>
        </w:rPr>
        <w:drawing>
          <wp:inline distT="0" distB="0" distL="0" distR="0">
            <wp:extent cx="5210175" cy="4443730"/>
            <wp:effectExtent l="0" t="0" r="0" b="0"/>
            <wp:docPr id="10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1"/>
                    <pic:cNvPicPr>
                      <a:picLocks noChangeAspect="1" noChangeArrowheads="1"/>
                    </pic:cNvPicPr>
                  </pic:nvPicPr>
                  <pic:blipFill>
                    <a:blip r:embed="rId98"/>
                    <a:stretch>
                      <a:fillRect/>
                    </a:stretch>
                  </pic:blipFill>
                  <pic:spPr bwMode="auto">
                    <a:xfrm>
                      <a:off x="0" y="0"/>
                      <a:ext cx="5210175" cy="4443730"/>
                    </a:xfrm>
                    <a:prstGeom prst="rect">
                      <a:avLst/>
                    </a:prstGeom>
                  </pic:spPr>
                </pic:pic>
              </a:graphicData>
            </a:graphic>
          </wp:inline>
        </w:drawing>
      </w:r>
    </w:p>
    <w:p w:rsidR="00A07D92" w:rsidRDefault="00A07D92">
      <w:pPr>
        <w:jc w:val="left"/>
        <w:rPr>
          <w:b/>
        </w:rPr>
      </w:pPr>
    </w:p>
    <w:p w:rsidR="00A07D92" w:rsidRDefault="00A07D92">
      <w:pPr>
        <w:jc w:val="left"/>
      </w:pPr>
    </w:p>
    <w:p w:rsidR="00A07D92" w:rsidRDefault="00495E63">
      <w:pPr>
        <w:jc w:val="center"/>
        <w:rPr>
          <w:b/>
          <w:sz w:val="20"/>
        </w:rPr>
      </w:pPr>
      <w:r>
        <w:rPr>
          <w:b/>
          <w:sz w:val="20"/>
        </w:rPr>
        <w:t>Život i zdravlje ljudi</w:t>
      </w:r>
      <w:r>
        <w:rPr>
          <w:b/>
          <w:sz w:val="20"/>
        </w:rPr>
        <w:tab/>
      </w:r>
      <w:r>
        <w:rPr>
          <w:b/>
          <w:sz w:val="20"/>
        </w:rPr>
        <w:tab/>
        <w:t xml:space="preserve">       Gospodarstvo</w:t>
      </w:r>
      <w:r>
        <w:rPr>
          <w:b/>
          <w:sz w:val="20"/>
        </w:rPr>
        <w:tab/>
        <w:t xml:space="preserve">          Društvena stabilnost i politika</w:t>
      </w:r>
    </w:p>
    <w:p w:rsidR="00A07D92" w:rsidRDefault="00495E63">
      <w:r>
        <w:rPr>
          <w:noProof/>
          <w:lang w:eastAsia="hr-HR"/>
        </w:rPr>
        <mc:AlternateContent>
          <mc:Choice Requires="wps">
            <w:drawing>
              <wp:anchor distT="0" distB="0" distL="0" distR="0" simplePos="0" relativeHeight="48" behindDoc="0" locked="0" layoutInCell="1" allowOverlap="1" wp14:anchorId="10601634">
                <wp:simplePos x="0" y="0"/>
                <wp:positionH relativeFrom="column">
                  <wp:posOffset>467360</wp:posOffset>
                </wp:positionH>
                <wp:positionV relativeFrom="paragraph">
                  <wp:posOffset>687070</wp:posOffset>
                </wp:positionV>
                <wp:extent cx="111760" cy="91440"/>
                <wp:effectExtent l="19050" t="0" r="41275" b="23495"/>
                <wp:wrapNone/>
                <wp:docPr id="110" name="Hexagon 100"/>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100" fillcolor="#4f81bd" stroked="t" style="position:absolute;margin-left:36.8pt;margin-top:54.1pt;width:8.7pt;height:7.1pt" wp14:anchorId="10601634"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49" behindDoc="0" locked="0" layoutInCell="1" allowOverlap="1" wp14:anchorId="31D614FC">
                <wp:simplePos x="0" y="0"/>
                <wp:positionH relativeFrom="column">
                  <wp:posOffset>2320925</wp:posOffset>
                </wp:positionH>
                <wp:positionV relativeFrom="paragraph">
                  <wp:posOffset>669290</wp:posOffset>
                </wp:positionV>
                <wp:extent cx="111760" cy="91440"/>
                <wp:effectExtent l="19050" t="0" r="41275" b="23495"/>
                <wp:wrapNone/>
                <wp:docPr id="111" name="Hexagon 99"/>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99" fillcolor="#4f81bd" stroked="t" style="position:absolute;margin-left:182.75pt;margin-top:52.7pt;width:8.7pt;height:7.1pt" wp14:anchorId="31D614FC"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50" behindDoc="0" locked="0" layoutInCell="1" allowOverlap="1" wp14:anchorId="2EC119AA">
                <wp:simplePos x="0" y="0"/>
                <wp:positionH relativeFrom="column">
                  <wp:posOffset>4227830</wp:posOffset>
                </wp:positionH>
                <wp:positionV relativeFrom="paragraph">
                  <wp:posOffset>893445</wp:posOffset>
                </wp:positionV>
                <wp:extent cx="111760" cy="91440"/>
                <wp:effectExtent l="19050" t="0" r="41275" b="23495"/>
                <wp:wrapNone/>
                <wp:docPr id="112" name="Hexagon 97"/>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97" fillcolor="#4f81bd" stroked="t" style="position:absolute;margin-left:332.9pt;margin-top:70.35pt;width:8.7pt;height:7.1pt" wp14:anchorId="2EC119AA" type="shapetype_9">
                <w10:wrap type="none"/>
                <v:fill o:detectmouseclick="t" type="solid" color2="#b07e42"/>
                <v:stroke color="#4f81bd" weight="9360" joinstyle="miter" endcap="flat"/>
              </v:shape>
            </w:pict>
          </mc:Fallback>
        </mc:AlternateContent>
      </w:r>
      <w:r>
        <w:rPr>
          <w:noProof/>
          <w:lang w:eastAsia="hr-HR"/>
        </w:rPr>
        <w:drawing>
          <wp:inline distT="0" distB="0" distL="0" distR="0">
            <wp:extent cx="1828800" cy="1554480"/>
            <wp:effectExtent l="0" t="0" r="0" b="0"/>
            <wp:docPr id="113"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02"/>
                    <pic:cNvPicPr>
                      <a:picLocks noChangeAspect="1" noChangeArrowheads="1"/>
                    </pic:cNvPicPr>
                  </pic:nvPicPr>
                  <pic:blipFill>
                    <a:blip r:embed="rId99"/>
                    <a:stretch>
                      <a:fillRect/>
                    </a:stretch>
                  </pic:blipFill>
                  <pic:spPr bwMode="auto">
                    <a:xfrm>
                      <a:off x="0" y="0"/>
                      <a:ext cx="1828800" cy="1554480"/>
                    </a:xfrm>
                    <a:prstGeom prst="rect">
                      <a:avLst/>
                    </a:prstGeom>
                  </pic:spPr>
                </pic:pic>
              </a:graphicData>
            </a:graphic>
          </wp:inline>
        </w:drawing>
      </w:r>
      <w:r>
        <w:rPr>
          <w:noProof/>
          <w:lang w:eastAsia="hr-HR"/>
        </w:rPr>
        <w:drawing>
          <wp:inline distT="0" distB="0" distL="0" distR="0">
            <wp:extent cx="1905000" cy="1619250"/>
            <wp:effectExtent l="0" t="0" r="0" b="0"/>
            <wp:docPr id="11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03"/>
                    <pic:cNvPicPr>
                      <a:picLocks noChangeAspect="1" noChangeArrowheads="1"/>
                    </pic:cNvPicPr>
                  </pic:nvPicPr>
                  <pic:blipFill>
                    <a:blip r:embed="rId100"/>
                    <a:stretch>
                      <a:fillRect/>
                    </a:stretch>
                  </pic:blipFill>
                  <pic:spPr bwMode="auto">
                    <a:xfrm>
                      <a:off x="0" y="0"/>
                      <a:ext cx="1905000" cy="1619250"/>
                    </a:xfrm>
                    <a:prstGeom prst="rect">
                      <a:avLst/>
                    </a:prstGeom>
                  </pic:spPr>
                </pic:pic>
              </a:graphicData>
            </a:graphic>
          </wp:inline>
        </w:drawing>
      </w:r>
      <w:r>
        <w:rPr>
          <w:noProof/>
          <w:lang w:eastAsia="hr-HR"/>
        </w:rPr>
        <w:drawing>
          <wp:inline distT="0" distB="0" distL="0" distR="0">
            <wp:extent cx="1906270" cy="1620520"/>
            <wp:effectExtent l="0" t="0" r="0" b="0"/>
            <wp:docPr id="11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04"/>
                    <pic:cNvPicPr>
                      <a:picLocks noChangeAspect="1" noChangeArrowheads="1"/>
                    </pic:cNvPicPr>
                  </pic:nvPicPr>
                  <pic:blipFill>
                    <a:blip r:embed="rId101"/>
                    <a:stretch>
                      <a:fillRect/>
                    </a:stretch>
                  </pic:blipFill>
                  <pic:spPr bwMode="auto">
                    <a:xfrm>
                      <a:off x="0" y="0"/>
                      <a:ext cx="1906270" cy="1620520"/>
                    </a:xfrm>
                    <a:prstGeom prst="rect">
                      <a:avLst/>
                    </a:prstGeom>
                  </pic:spPr>
                </pic:pic>
              </a:graphicData>
            </a:graphic>
          </wp:inline>
        </w:drawing>
      </w:r>
    </w:p>
    <w:p w:rsidR="00A07D92" w:rsidRDefault="00A07D92"/>
    <w:p w:rsidR="00A07D92" w:rsidRDefault="00A07D92"/>
    <w:p w:rsidR="00A07D92" w:rsidRDefault="00A07D92"/>
    <w:p w:rsidR="00A07D92" w:rsidRDefault="00495E63">
      <w:pPr>
        <w:rPr>
          <w:u w:val="single"/>
        </w:rPr>
      </w:pPr>
      <w:r>
        <w:rPr>
          <w:u w:val="single"/>
        </w:rPr>
        <w:lastRenderedPageBreak/>
        <w:t>METODOLOGIJA I NEPOUZDANOST</w:t>
      </w:r>
    </w:p>
    <w:tbl>
      <w:tblPr>
        <w:tblStyle w:val="Reetkatablice"/>
        <w:tblW w:w="9634" w:type="dxa"/>
        <w:tblLook w:val="04A0" w:firstRow="1" w:lastRow="0" w:firstColumn="1" w:lastColumn="0" w:noHBand="0" w:noVBand="1"/>
      </w:tblPr>
      <w:tblGrid>
        <w:gridCol w:w="2241"/>
        <w:gridCol w:w="984"/>
        <w:gridCol w:w="6409"/>
      </w:tblGrid>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highlight w:val="yellow"/>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highlight w:val="yellow"/>
              </w:rPr>
            </w:pPr>
            <w:r>
              <w:rPr>
                <w:rFonts w:ascii="Times New Roman" w:hAnsi="Times New Roman" w:cs="Times New Roman"/>
                <w:sz w:val="20"/>
                <w:lang w:eastAsia="hr-HR"/>
              </w:rPr>
              <w:t xml:space="preserve">Ne postoji dovoljna količina statističkih, </w:t>
            </w:r>
            <w:r>
              <w:rPr>
                <w:rFonts w:ascii="Times New Roman" w:hAnsi="Times New Roman" w:cs="Times New Roman"/>
                <w:sz w:val="20"/>
                <w:lang w:eastAsia="hr-HR"/>
              </w:rPr>
              <w:t>iskustva stručnjaka i ostalih podataka te pouzdana metodologija procjene posljedica zbog čega se očekuju značajnije greške</w:t>
            </w: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Vrlo visoka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4</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468"/>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Visoka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3</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X</w:t>
            </w:r>
          </w:p>
        </w:tc>
      </w:tr>
      <w:tr w:rsidR="00A07D92">
        <w:trPr>
          <w:trHeight w:val="306"/>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2</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Vrlo 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line="240" w:lineRule="auto"/>
              <w:jc w:val="center"/>
              <w:rPr>
                <w:sz w:val="20"/>
              </w:rPr>
            </w:pPr>
            <w:r>
              <w:rPr>
                <w:rFonts w:ascii="Times New Roman" w:hAnsi="Times New Roman" w:cs="Times New Roman"/>
                <w:sz w:val="20"/>
                <w:lang w:eastAsia="hr-HR"/>
              </w:rPr>
              <w:t>1</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highlight w:val="yellow"/>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highlight w:val="yellow"/>
              </w:rPr>
            </w:pPr>
            <w:r>
              <w:rPr>
                <w:rFonts w:ascii="Times New Roman" w:hAnsi="Times New Roman" w:cs="Times New Roman"/>
                <w:sz w:val="20"/>
                <w:lang w:eastAsia="hr-HR"/>
              </w:rPr>
              <w:t xml:space="preserve">Postoji dovoljna količina </w:t>
            </w:r>
            <w:r>
              <w:rPr>
                <w:rFonts w:ascii="Times New Roman" w:hAnsi="Times New Roman" w:cs="Times New Roman"/>
                <w:sz w:val="20"/>
                <w:lang w:eastAsia="hr-HR"/>
              </w:rPr>
              <w:t>statističkih podataka, iskustva stručnjaka i pouzdana metodologija procjene zbog čega je pojavljivanje grešaka vrlo malo vjerojatno</w:t>
            </w:r>
          </w:p>
        </w:tc>
      </w:tr>
    </w:tbl>
    <w:p w:rsidR="00A07D92" w:rsidRDefault="00A07D92">
      <w:pPr>
        <w:spacing w:before="0" w:after="0"/>
        <w:ind w:firstLine="708"/>
      </w:pPr>
    </w:p>
    <w:p w:rsidR="00A07D92" w:rsidRDefault="00495E63">
      <w:pPr>
        <w:keepNext/>
        <w:keepLines/>
        <w:tabs>
          <w:tab w:val="left" w:pos="0"/>
        </w:tabs>
        <w:spacing w:before="40"/>
        <w:outlineLvl w:val="2"/>
        <w:rPr>
          <w:rFonts w:cstheme="majorBidi"/>
          <w:color w:val="54883D"/>
          <w:sz w:val="28"/>
          <w:lang w:bidi="en-US"/>
        </w:rPr>
      </w:pPr>
      <w:bookmarkStart w:id="307" w:name="_Toc136522860"/>
      <w:bookmarkStart w:id="308" w:name="_Toc13472056"/>
      <w:bookmarkStart w:id="309" w:name="_Toc10450178"/>
      <w:bookmarkStart w:id="310" w:name="_Toc5969818"/>
      <w:r>
        <w:rPr>
          <w:rFonts w:cstheme="majorBidi"/>
          <w:color w:val="54883D"/>
          <w:sz w:val="28"/>
          <w:lang w:bidi="en-US"/>
        </w:rPr>
        <w:t>6.5.9 Karte</w:t>
      </w:r>
      <w:bookmarkEnd w:id="307"/>
      <w:bookmarkEnd w:id="308"/>
      <w:bookmarkEnd w:id="309"/>
      <w:bookmarkEnd w:id="310"/>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t>6.5.9.1 Karte prijetnji</w:t>
      </w:r>
    </w:p>
    <w:p w:rsidR="00A07D92" w:rsidRDefault="00495E63">
      <w:pPr>
        <w:spacing w:after="0"/>
        <w:rPr>
          <w:iCs/>
          <w:color w:val="54883D"/>
        </w:rPr>
      </w:pPr>
      <w:r>
        <w:rPr>
          <w:iCs/>
          <w:color w:val="54883D"/>
        </w:rPr>
        <w:t xml:space="preserve">Karta prijetnji – tehničko – tehnološke nesreće na području Grada Malog Lošinja </w:t>
      </w:r>
    </w:p>
    <w:p w:rsidR="00A07D92" w:rsidRDefault="00A07D92">
      <w:pPr>
        <w:spacing w:after="0"/>
        <w:rPr>
          <w:iCs/>
          <w:color w:val="54883D"/>
        </w:rPr>
      </w:pPr>
    </w:p>
    <w:p w:rsidR="00A07D92" w:rsidRDefault="00495E63">
      <w:pPr>
        <w:keepNext/>
        <w:keepLines/>
        <w:spacing w:before="40" w:after="0"/>
        <w:outlineLvl w:val="3"/>
        <w:rPr>
          <w:rFonts w:eastAsiaTheme="majorEastAsia" w:cstheme="majorBidi"/>
          <w:iCs/>
          <w:color w:val="54883D"/>
          <w:lang w:bidi="en-US"/>
        </w:rPr>
      </w:pPr>
      <w:r>
        <w:rPr>
          <w:rFonts w:eastAsiaTheme="majorEastAsia" w:cstheme="majorBidi"/>
          <w:iCs/>
          <w:color w:val="54883D"/>
          <w:lang w:bidi="en-US"/>
        </w:rPr>
        <w:t>6.5.9.2 Karta rizika</w:t>
      </w:r>
    </w:p>
    <w:tbl>
      <w:tblPr>
        <w:tblStyle w:val="Reetkatablice"/>
        <w:tblpPr w:leftFromText="180" w:rightFromText="180" w:vertAnchor="text" w:horzAnchor="page" w:tblpX="9360" w:tblpY="1365"/>
        <w:tblW w:w="1980" w:type="dxa"/>
        <w:tblLook w:val="04A0" w:firstRow="1" w:lastRow="0" w:firstColumn="1" w:lastColumn="0" w:noHBand="0" w:noVBand="1"/>
      </w:tblPr>
      <w:tblGrid>
        <w:gridCol w:w="845"/>
        <w:gridCol w:w="1135"/>
      </w:tblGrid>
      <w:tr w:rsidR="00A07D92">
        <w:trPr>
          <w:trHeight w:val="310"/>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RIZIK</w:t>
            </w:r>
          </w:p>
        </w:tc>
      </w:tr>
      <w:tr w:rsidR="00A07D92">
        <w:trPr>
          <w:trHeight w:val="354"/>
        </w:trPr>
        <w:tc>
          <w:tcPr>
            <w:tcW w:w="845"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Vrlo visok</w:t>
            </w:r>
          </w:p>
        </w:tc>
      </w:tr>
      <w:tr w:rsidR="00A07D92">
        <w:trPr>
          <w:trHeight w:val="286"/>
        </w:trPr>
        <w:tc>
          <w:tcPr>
            <w:tcW w:w="845"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Visok </w:t>
            </w:r>
          </w:p>
        </w:tc>
      </w:tr>
      <w:tr w:rsidR="00A07D92">
        <w:trPr>
          <w:trHeight w:val="262"/>
        </w:trPr>
        <w:tc>
          <w:tcPr>
            <w:tcW w:w="845"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 </w:t>
            </w:r>
          </w:p>
        </w:tc>
      </w:tr>
      <w:tr w:rsidR="00A07D92">
        <w:trPr>
          <w:trHeight w:val="280"/>
        </w:trPr>
        <w:tc>
          <w:tcPr>
            <w:tcW w:w="845" w:type="dxa"/>
            <w:shd w:val="clear" w:color="auto" w:fill="92D05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Nizak </w:t>
            </w:r>
          </w:p>
        </w:tc>
      </w:tr>
    </w:tbl>
    <w:p w:rsidR="00A07D92" w:rsidRDefault="00495E63">
      <w:pPr>
        <w:jc w:val="center"/>
        <w:rPr>
          <w:lang w:bidi="en-US"/>
        </w:rPr>
      </w:pPr>
      <w:r>
        <w:rPr>
          <w:noProof/>
          <w:lang w:eastAsia="hr-HR"/>
        </w:rPr>
        <w:drawing>
          <wp:inline distT="0" distB="0" distL="0" distR="0">
            <wp:extent cx="3330575" cy="4488180"/>
            <wp:effectExtent l="0" t="0" r="0" b="0"/>
            <wp:docPr id="116" name="Slik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lika12"/>
                    <pic:cNvPicPr>
                      <a:picLocks noChangeAspect="1" noChangeArrowheads="1"/>
                    </pic:cNvPicPr>
                  </pic:nvPicPr>
                  <pic:blipFill>
                    <a:blip r:embed="rId102"/>
                    <a:stretch>
                      <a:fillRect/>
                    </a:stretch>
                  </pic:blipFill>
                  <pic:spPr bwMode="auto">
                    <a:xfrm>
                      <a:off x="0" y="0"/>
                      <a:ext cx="3330575" cy="448818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23</w:t>
      </w:r>
      <w:r>
        <w:rPr>
          <w:rFonts w:eastAsia="Calibri"/>
          <w:bCs/>
          <w:sz w:val="20"/>
          <w:szCs w:val="18"/>
        </w:rPr>
        <w:fldChar w:fldCharType="end"/>
      </w:r>
      <w:r>
        <w:rPr>
          <w:rFonts w:eastAsia="Calibri"/>
          <w:bCs/>
          <w:color w:val="54883D"/>
          <w:sz w:val="20"/>
          <w:szCs w:val="18"/>
          <w:lang w:bidi="en-US"/>
        </w:rPr>
        <w:t>. Karta rizika – tehničko-tehnološka nesreće s opasnim tvarima</w:t>
      </w:r>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lastRenderedPageBreak/>
        <w:t>6.5.9.3 Karta posljedica</w:t>
      </w:r>
    </w:p>
    <w:tbl>
      <w:tblPr>
        <w:tblStyle w:val="Reetkatablice"/>
        <w:tblpPr w:leftFromText="180" w:rightFromText="180" w:vertAnchor="text" w:horzAnchor="page" w:tblpX="9320" w:tblpY="1612"/>
        <w:tblW w:w="2123" w:type="dxa"/>
        <w:tblLook w:val="04A0" w:firstRow="1" w:lastRow="0" w:firstColumn="1" w:lastColumn="0" w:noHBand="0" w:noVBand="1"/>
      </w:tblPr>
      <w:tblGrid>
        <w:gridCol w:w="846"/>
        <w:gridCol w:w="1277"/>
      </w:tblGrid>
      <w:tr w:rsidR="00A07D92">
        <w:trPr>
          <w:trHeight w:val="310"/>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POSLJEDICE</w:t>
            </w:r>
          </w:p>
        </w:tc>
      </w:tr>
      <w:tr w:rsidR="00A07D92">
        <w:trPr>
          <w:trHeight w:val="211"/>
        </w:trPr>
        <w:tc>
          <w:tcPr>
            <w:tcW w:w="846"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Katastrofalne </w:t>
            </w:r>
          </w:p>
        </w:tc>
      </w:tr>
      <w:tr w:rsidR="00A07D92">
        <w:trPr>
          <w:trHeight w:val="273"/>
        </w:trPr>
        <w:tc>
          <w:tcPr>
            <w:tcW w:w="846"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Značajne </w:t>
            </w:r>
          </w:p>
        </w:tc>
      </w:tr>
      <w:tr w:rsidR="00A07D92">
        <w:trPr>
          <w:trHeight w:val="278"/>
        </w:trPr>
        <w:tc>
          <w:tcPr>
            <w:tcW w:w="846"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Umjerene </w:t>
            </w:r>
          </w:p>
        </w:tc>
      </w:tr>
      <w:tr w:rsidR="00A07D92">
        <w:trPr>
          <w:trHeight w:val="267"/>
        </w:trPr>
        <w:tc>
          <w:tcPr>
            <w:tcW w:w="846" w:type="dxa"/>
            <w:shd w:val="clear" w:color="auto" w:fill="CCFF99"/>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Malene </w:t>
            </w:r>
          </w:p>
        </w:tc>
      </w:tr>
      <w:tr w:rsidR="00A07D92">
        <w:trPr>
          <w:trHeight w:val="286"/>
        </w:trPr>
        <w:tc>
          <w:tcPr>
            <w:tcW w:w="846" w:type="dxa"/>
            <w:shd w:val="clear" w:color="auto" w:fill="C6D9F1" w:themeFill="text2" w:themeFillTint="33"/>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Neznatne </w:t>
            </w:r>
          </w:p>
        </w:tc>
      </w:tr>
    </w:tbl>
    <w:p w:rsidR="00A07D92" w:rsidRDefault="00495E63">
      <w:pPr>
        <w:jc w:val="center"/>
        <w:rPr>
          <w:i/>
          <w:iCs/>
          <w:color w:val="54883D"/>
        </w:rPr>
      </w:pPr>
      <w:r>
        <w:rPr>
          <w:noProof/>
          <w:lang w:eastAsia="hr-HR"/>
        </w:rPr>
        <w:drawing>
          <wp:inline distT="0" distB="0" distL="0" distR="0">
            <wp:extent cx="3328670" cy="4486910"/>
            <wp:effectExtent l="0" t="0" r="0" b="0"/>
            <wp:docPr id="117" name="Slik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lika13"/>
                    <pic:cNvPicPr>
                      <a:picLocks noChangeAspect="1" noChangeArrowheads="1"/>
                    </pic:cNvPicPr>
                  </pic:nvPicPr>
                  <pic:blipFill>
                    <a:blip r:embed="rId103"/>
                    <a:stretch>
                      <a:fillRect/>
                    </a:stretch>
                  </pic:blipFill>
                  <pic:spPr bwMode="auto">
                    <a:xfrm>
                      <a:off x="0" y="0"/>
                      <a:ext cx="3328670" cy="448691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24</w:t>
      </w:r>
      <w:r>
        <w:rPr>
          <w:rFonts w:eastAsia="Calibri"/>
          <w:bCs/>
          <w:sz w:val="20"/>
          <w:szCs w:val="18"/>
        </w:rPr>
        <w:fldChar w:fldCharType="end"/>
      </w:r>
      <w:r>
        <w:rPr>
          <w:rFonts w:eastAsia="Calibri"/>
          <w:bCs/>
          <w:color w:val="54883D"/>
          <w:sz w:val="20"/>
          <w:szCs w:val="18"/>
          <w:lang w:bidi="en-US"/>
        </w:rPr>
        <w:t>. Karta posljedica – tehničko-tehnološke nesreće s opasnim tvarima</w:t>
      </w: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495E63">
      <w:pPr>
        <w:keepNext/>
        <w:outlineLvl w:val="1"/>
        <w:rPr>
          <w:bCs/>
          <w:color w:val="54883D"/>
          <w:sz w:val="32"/>
        </w:rPr>
      </w:pPr>
      <w:bookmarkStart w:id="311" w:name="_Toc9596643"/>
      <w:bookmarkStart w:id="312" w:name="_Toc136522861"/>
      <w:bookmarkStart w:id="313" w:name="_Toc127882966"/>
      <w:r>
        <w:rPr>
          <w:bCs/>
          <w:color w:val="54883D"/>
          <w:sz w:val="32"/>
        </w:rPr>
        <w:lastRenderedPageBreak/>
        <w:t>6.</w:t>
      </w:r>
      <w:bookmarkStart w:id="314" w:name="_Toc514656335"/>
      <w:bookmarkEnd w:id="311"/>
      <w:r>
        <w:rPr>
          <w:bCs/>
          <w:color w:val="54883D"/>
          <w:sz w:val="32"/>
        </w:rPr>
        <w:t xml:space="preserve">6 </w:t>
      </w:r>
      <w:bookmarkEnd w:id="314"/>
      <w:r>
        <w:rPr>
          <w:bCs/>
          <w:color w:val="54883D"/>
          <w:sz w:val="32"/>
        </w:rPr>
        <w:t>Vjetar</w:t>
      </w:r>
      <w:bookmarkEnd w:id="312"/>
      <w:bookmarkEnd w:id="313"/>
    </w:p>
    <w:p w:rsidR="00A07D92" w:rsidRDefault="00495E63">
      <w:pPr>
        <w:keepNext/>
        <w:keepLines/>
        <w:spacing w:before="40"/>
        <w:outlineLvl w:val="2"/>
        <w:rPr>
          <w:rFonts w:cstheme="majorBidi"/>
          <w:iCs/>
          <w:color w:val="54883D"/>
          <w:sz w:val="28"/>
          <w:lang w:bidi="en-US"/>
        </w:rPr>
      </w:pPr>
      <w:bookmarkStart w:id="315" w:name="_Toc136522862"/>
      <w:bookmarkStart w:id="316" w:name="_Toc127882967"/>
      <w:bookmarkStart w:id="317" w:name="_Toc514656336"/>
      <w:bookmarkStart w:id="318" w:name="_Toc498355559"/>
      <w:bookmarkStart w:id="319" w:name="_Toc486103589"/>
      <w:r>
        <w:rPr>
          <w:rFonts w:cstheme="majorBidi"/>
          <w:iCs/>
          <w:color w:val="54883D"/>
          <w:sz w:val="28"/>
          <w:lang w:bidi="en-US"/>
        </w:rPr>
        <w:t>6.6.1 Naziv scenarija</w:t>
      </w:r>
      <w:bookmarkEnd w:id="315"/>
      <w:bookmarkEnd w:id="316"/>
      <w:bookmarkEnd w:id="317"/>
      <w:bookmarkEnd w:id="318"/>
      <w:bookmarkEnd w:id="319"/>
    </w:p>
    <w:tbl>
      <w:tblPr>
        <w:tblStyle w:val="GridTable6ColorfulAccent3"/>
        <w:tblW w:w="9060" w:type="dxa"/>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Naziv scenarija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Pojava olujnog vjetra na području Grada Malog Lošinja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 xml:space="preserve">Grupa </w:t>
            </w:r>
            <w:r>
              <w:rPr>
                <w:color w:val="76923C" w:themeColor="accent3" w:themeShade="BF"/>
                <w:szCs w:val="20"/>
              </w:rPr>
              <w:t>rizika: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Ekstremne vremenske pojave</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Rizik:</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vjetar</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Radna skupina: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Grada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szCs w:val="2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w:t>
            </w:r>
            <w:r>
              <w:rPr>
                <w:b w:val="0"/>
                <w:bCs w:val="0"/>
                <w:color w:val="76923C" w:themeColor="accent3" w:themeShade="BF"/>
              </w:rPr>
              <w:t>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szCs w:val="2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bookmarkStart w:id="320" w:name="_Hlk135297040"/>
            <w:bookmarkEnd w:id="320"/>
          </w:p>
        </w:tc>
      </w:tr>
    </w:tbl>
    <w:p w:rsidR="00A07D92" w:rsidRDefault="00A07D92"/>
    <w:p w:rsidR="00A07D92" w:rsidRDefault="00495E63">
      <w:pPr>
        <w:keepNext/>
        <w:keepLines/>
        <w:spacing w:before="40"/>
        <w:outlineLvl w:val="2"/>
        <w:rPr>
          <w:rFonts w:cstheme="majorBidi"/>
          <w:color w:val="54883D"/>
          <w:sz w:val="28"/>
          <w:lang w:bidi="en-US"/>
        </w:rPr>
      </w:pPr>
      <w:bookmarkStart w:id="321" w:name="_Toc136522863"/>
      <w:bookmarkStart w:id="322" w:name="_Toc127882968"/>
      <w:r>
        <w:rPr>
          <w:rFonts w:cstheme="majorBidi"/>
          <w:color w:val="54883D"/>
          <w:sz w:val="28"/>
          <w:lang w:bidi="en-US"/>
        </w:rPr>
        <w:t>6.6.2 Uvod</w:t>
      </w:r>
      <w:bookmarkEnd w:id="321"/>
      <w:bookmarkEnd w:id="322"/>
    </w:p>
    <w:p w:rsidR="00A07D92" w:rsidRDefault="00495E63">
      <w:pPr>
        <w:spacing w:before="120" w:after="120"/>
        <w:rPr>
          <w:rFonts w:eastAsiaTheme="minorHAnsi"/>
          <w:color w:val="000000"/>
          <w:szCs w:val="22"/>
        </w:rPr>
      </w:pPr>
      <w:r>
        <w:rPr>
          <w:rFonts w:eastAsiaTheme="minorHAnsi"/>
          <w:color w:val="000000"/>
          <w:szCs w:val="22"/>
        </w:rPr>
        <w:t>Olujni vjetar, a ponekad i orkanski, udružen s velikom količinom oborine ili čak i tučom, osim što stvara velike štete na imovini, poljoprivrednim i šumarskim dobrima, raznim građevinskim objektima, u prometu te tako nanosi gubitke u gospodarstvu, ugrožava</w:t>
      </w:r>
      <w:r>
        <w:rPr>
          <w:rFonts w:eastAsiaTheme="minorHAnsi"/>
          <w:color w:val="000000"/>
          <w:szCs w:val="22"/>
        </w:rPr>
        <w:t xml:space="preserve"> i često puta odnosi ljudske živote. </w:t>
      </w:r>
    </w:p>
    <w:p w:rsidR="00A07D92" w:rsidRDefault="00495E63">
      <w:pPr>
        <w:rPr>
          <w:rFonts w:eastAsiaTheme="minorHAnsi"/>
          <w:color w:val="000000"/>
          <w:szCs w:val="22"/>
        </w:rPr>
      </w:pPr>
      <w:r>
        <w:rPr>
          <w:rFonts w:eastAsiaTheme="minorHAnsi"/>
          <w:color w:val="000000"/>
          <w:szCs w:val="22"/>
        </w:rPr>
        <w:t xml:space="preserve">Mjereni podaci vjetra pomoću električnog ili digitalnog </w:t>
      </w:r>
      <w:proofErr w:type="spellStart"/>
      <w:r>
        <w:rPr>
          <w:rFonts w:eastAsiaTheme="minorHAnsi"/>
          <w:color w:val="000000"/>
          <w:szCs w:val="22"/>
        </w:rPr>
        <w:t>anemografa</w:t>
      </w:r>
      <w:proofErr w:type="spellEnd"/>
      <w:r>
        <w:rPr>
          <w:rFonts w:eastAsiaTheme="minorHAnsi"/>
          <w:color w:val="000000"/>
          <w:szCs w:val="22"/>
        </w:rPr>
        <w:t xml:space="preserve"> (brzina i smjer vjetra te maksimalni udari vjetra) u meteorološkoj službi prikupljaju se u relativno rijetkoj mreži točaka. Postojeća mreža mjernih toč</w:t>
      </w:r>
      <w:r>
        <w:rPr>
          <w:rFonts w:eastAsiaTheme="minorHAnsi"/>
          <w:color w:val="000000"/>
          <w:szCs w:val="22"/>
        </w:rPr>
        <w:t>aka odabrana je tako da omogućuje dobivanje općih karakteristika strujanja većih razmjera na visini od 10 m iznad tla. Međutim, reprezentativnost vrijednosti u nekoj točki za šire područje ovisi o konfiguraciji terena, hrapavosti terena i blizini zaklona o</w:t>
      </w:r>
      <w:r>
        <w:rPr>
          <w:rFonts w:eastAsiaTheme="minorHAnsi"/>
          <w:color w:val="000000"/>
          <w:szCs w:val="22"/>
        </w:rPr>
        <w:t xml:space="preserve">ko </w:t>
      </w:r>
      <w:proofErr w:type="spellStart"/>
      <w:r>
        <w:rPr>
          <w:rFonts w:eastAsiaTheme="minorHAnsi"/>
          <w:color w:val="000000"/>
          <w:szCs w:val="22"/>
        </w:rPr>
        <w:t>anemografa</w:t>
      </w:r>
      <w:proofErr w:type="spellEnd"/>
      <w:r>
        <w:rPr>
          <w:rFonts w:eastAsiaTheme="minorHAnsi"/>
          <w:color w:val="000000"/>
          <w:szCs w:val="22"/>
        </w:rPr>
        <w:t xml:space="preserve">. Za nadopunu </w:t>
      </w:r>
      <w:proofErr w:type="spellStart"/>
      <w:r>
        <w:rPr>
          <w:rFonts w:eastAsiaTheme="minorHAnsi"/>
          <w:color w:val="000000"/>
          <w:szCs w:val="22"/>
        </w:rPr>
        <w:t>vjetrovnog</w:t>
      </w:r>
      <w:proofErr w:type="spellEnd"/>
      <w:r>
        <w:rPr>
          <w:rFonts w:eastAsiaTheme="minorHAnsi"/>
          <w:color w:val="000000"/>
          <w:szCs w:val="22"/>
        </w:rPr>
        <w:t xml:space="preserve"> režima na meteorološkim postajama motritelji i opažaju smjer i jačinu vjetra. Jačina vjetra procjenjuje se vizualno prema učincima vjetra na predmetima u prirodi u tri klimatološka termina (7, 14 i 21 sat) i izražava s</w:t>
      </w:r>
      <w:r>
        <w:rPr>
          <w:rFonts w:eastAsiaTheme="minorHAnsi"/>
          <w:color w:val="000000"/>
          <w:szCs w:val="22"/>
        </w:rPr>
        <w:t xml:space="preserve">e u stupnjevima Beaufortove ljestvice. Ona sadrži od 0 do 12 </w:t>
      </w:r>
      <w:proofErr w:type="spellStart"/>
      <w:r>
        <w:rPr>
          <w:rFonts w:eastAsiaTheme="minorHAnsi"/>
          <w:color w:val="000000"/>
          <w:szCs w:val="22"/>
        </w:rPr>
        <w:t>Bf</w:t>
      </w:r>
      <w:proofErr w:type="spellEnd"/>
      <w:r>
        <w:rPr>
          <w:rFonts w:eastAsiaTheme="minorHAnsi"/>
          <w:color w:val="000000"/>
          <w:szCs w:val="22"/>
        </w:rPr>
        <w:t xml:space="preserve"> (bofora) kojima su pridružene odgovarajuće srednje brzine vjetra.</w:t>
      </w:r>
    </w:p>
    <w:p w:rsidR="00A07D92" w:rsidRDefault="00A07D92">
      <w:pPr>
        <w:rPr>
          <w:rFonts w:eastAsiaTheme="minorHAnsi"/>
          <w:color w:val="000000"/>
          <w:sz w:val="23"/>
          <w:szCs w:val="23"/>
        </w:rPr>
      </w:pPr>
    </w:p>
    <w:p w:rsidR="00A07D92" w:rsidRDefault="00495E63">
      <w:pPr>
        <w:keepNext/>
        <w:spacing w:before="0" w:after="240"/>
        <w:jc w:val="center"/>
        <w:rPr>
          <w:bCs/>
          <w:color w:val="54883D"/>
          <w:sz w:val="20"/>
          <w:szCs w:val="18"/>
        </w:rPr>
      </w:pPr>
      <w:r>
        <w:rPr>
          <w:rFonts w:eastAsiaTheme="minorHAnsi"/>
          <w:bCs/>
          <w:color w:val="54883D"/>
          <w:sz w:val="20"/>
          <w:szCs w:val="18"/>
        </w:rPr>
        <w:t xml:space="preserve">Tablica </w:t>
      </w:r>
      <w:r>
        <w:rPr>
          <w:rFonts w:eastAsiaTheme="minorHAns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62</w:t>
      </w:r>
      <w:r>
        <w:rPr>
          <w:rFonts w:eastAsia="Calibri"/>
          <w:bCs/>
          <w:sz w:val="20"/>
          <w:szCs w:val="18"/>
        </w:rPr>
        <w:fldChar w:fldCharType="end"/>
      </w:r>
      <w:r>
        <w:rPr>
          <w:rFonts w:eastAsiaTheme="minorHAnsi"/>
          <w:bCs/>
          <w:color w:val="54883D"/>
          <w:sz w:val="20"/>
          <w:szCs w:val="18"/>
        </w:rPr>
        <w:t>.</w:t>
      </w:r>
      <w:r>
        <w:t xml:space="preserve"> </w:t>
      </w:r>
      <w:r>
        <w:rPr>
          <w:rFonts w:eastAsiaTheme="minorHAnsi"/>
          <w:bCs/>
          <w:color w:val="54883D"/>
          <w:sz w:val="20"/>
          <w:szCs w:val="18"/>
        </w:rPr>
        <w:t>Beaufortova ljestvica</w:t>
      </w:r>
    </w:p>
    <w:tbl>
      <w:tblPr>
        <w:tblW w:w="9060" w:type="dxa"/>
        <w:jc w:val="center"/>
        <w:tblLook w:val="00A0" w:firstRow="1" w:lastRow="0" w:firstColumn="1" w:lastColumn="0" w:noHBand="0" w:noVBand="0"/>
      </w:tblPr>
      <w:tblGrid>
        <w:gridCol w:w="1413"/>
        <w:gridCol w:w="2370"/>
        <w:gridCol w:w="1962"/>
        <w:gridCol w:w="1656"/>
        <w:gridCol w:w="1659"/>
      </w:tblGrid>
      <w:tr w:rsidR="00A07D92">
        <w:trPr>
          <w:trHeight w:hRule="exact" w:val="627"/>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sz w:val="20"/>
              </w:rPr>
            </w:pPr>
            <w:r>
              <w:rPr>
                <w:rFonts w:eastAsia="Calibri"/>
                <w:b/>
                <w:sz w:val="20"/>
              </w:rPr>
              <w:t xml:space="preserve">Stupanj </w:t>
            </w:r>
            <w:proofErr w:type="spellStart"/>
            <w:r>
              <w:rPr>
                <w:rFonts w:eastAsia="Calibri"/>
                <w:b/>
                <w:sz w:val="20"/>
              </w:rPr>
              <w:t>beauforta</w:t>
            </w:r>
            <w:proofErr w:type="spellEnd"/>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sz w:val="20"/>
              </w:rPr>
            </w:pPr>
            <w:r>
              <w:rPr>
                <w:rFonts w:eastAsia="Calibri"/>
                <w:b/>
                <w:sz w:val="20"/>
              </w:rPr>
              <w:t>OPIS</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sz w:val="20"/>
              </w:rPr>
            </w:pPr>
            <w:r>
              <w:rPr>
                <w:rFonts w:eastAsia="Calibri"/>
                <w:b/>
                <w:sz w:val="20"/>
              </w:rPr>
              <w:t>(m/s)</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sz w:val="20"/>
              </w:rPr>
            </w:pPr>
            <w:r>
              <w:rPr>
                <w:rFonts w:eastAsia="Calibri"/>
                <w:b/>
                <w:sz w:val="20"/>
              </w:rPr>
              <w:t>ČVOROVI</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sz w:val="20"/>
              </w:rPr>
            </w:pPr>
            <w:r>
              <w:rPr>
                <w:rFonts w:eastAsia="Calibri"/>
                <w:b/>
                <w:sz w:val="20"/>
              </w:rPr>
              <w:t>km/h</w:t>
            </w:r>
          </w:p>
        </w:tc>
      </w:tr>
      <w:tr w:rsidR="00A07D92">
        <w:trPr>
          <w:trHeight w:val="359"/>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t>0</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tišina</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0.0-0.2</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&lt;1</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&lt; 1</w:t>
            </w:r>
          </w:p>
        </w:tc>
      </w:tr>
      <w:tr w:rsidR="00A07D92">
        <w:trPr>
          <w:trHeight w:hRule="exact" w:val="391"/>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t>1</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lagan povjetarac</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0.3-1.5</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1-3</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1-5</w:t>
            </w:r>
          </w:p>
        </w:tc>
      </w:tr>
      <w:tr w:rsidR="00A07D92">
        <w:trPr>
          <w:trHeight w:val="351"/>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t>2</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povjetarac</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1.6-3.3</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4-6</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6-11</w:t>
            </w:r>
          </w:p>
        </w:tc>
      </w:tr>
      <w:tr w:rsidR="00A07D92">
        <w:trPr>
          <w:trHeight w:hRule="exact" w:val="383"/>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t>3</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slab vjetar</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3.4-5.4</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7-10</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12-19</w:t>
            </w:r>
          </w:p>
        </w:tc>
      </w:tr>
      <w:tr w:rsidR="00A07D92">
        <w:trPr>
          <w:trHeight w:val="362"/>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lastRenderedPageBreak/>
              <w:t>4</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umjeren vjetar</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5.5-7.9</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11-16</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20-28</w:t>
            </w:r>
          </w:p>
        </w:tc>
      </w:tr>
      <w:tr w:rsidR="00A07D92">
        <w:trPr>
          <w:trHeight w:hRule="exact" w:val="413"/>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t>5</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umjereno jak vjetar</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8.0-10.7</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17-21</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29-38</w:t>
            </w:r>
          </w:p>
        </w:tc>
      </w:tr>
      <w:tr w:rsidR="00A07D92">
        <w:trPr>
          <w:trHeight w:val="321"/>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t>6</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jak vjetar</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10.8-13.8</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22-27</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39-49</w:t>
            </w:r>
          </w:p>
        </w:tc>
      </w:tr>
      <w:tr w:rsidR="00A07D92">
        <w:trPr>
          <w:trHeight w:hRule="exact" w:val="348"/>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t>7</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vrlo jak vjetar</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13.9-17.1</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28-33</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50-61</w:t>
            </w:r>
          </w:p>
        </w:tc>
      </w:tr>
      <w:tr w:rsidR="00A07D92">
        <w:trPr>
          <w:trHeight w:val="364"/>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t>8</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proofErr w:type="spellStart"/>
            <w:r>
              <w:rPr>
                <w:rFonts w:eastAsia="Calibri"/>
                <w:color w:val="000000"/>
                <w:sz w:val="20"/>
                <w:szCs w:val="18"/>
              </w:rPr>
              <w:t>olujan</w:t>
            </w:r>
            <w:proofErr w:type="spellEnd"/>
            <w:r>
              <w:rPr>
                <w:rFonts w:eastAsia="Calibri"/>
                <w:color w:val="000000"/>
                <w:sz w:val="20"/>
                <w:szCs w:val="18"/>
              </w:rPr>
              <w:t xml:space="preserve"> vjetar</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17.2-20.7</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34-40</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62-74</w:t>
            </w:r>
          </w:p>
        </w:tc>
      </w:tr>
      <w:tr w:rsidR="00A07D92">
        <w:trPr>
          <w:trHeight w:hRule="exact" w:val="378"/>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t>9</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oluja</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20.8-24.4</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41-47</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75-88</w:t>
            </w:r>
          </w:p>
        </w:tc>
      </w:tr>
      <w:tr w:rsidR="00A07D92">
        <w:trPr>
          <w:trHeight w:val="356"/>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t>10</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jaka oluja</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24.5-28.4</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48-55</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89-102</w:t>
            </w:r>
          </w:p>
        </w:tc>
      </w:tr>
      <w:tr w:rsidR="00A07D92">
        <w:trPr>
          <w:trHeight w:hRule="exact" w:val="389"/>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20"/>
                <w:szCs w:val="18"/>
              </w:rPr>
            </w:pPr>
            <w:r>
              <w:rPr>
                <w:rFonts w:eastAsia="Calibri"/>
                <w:b/>
                <w:bCs/>
                <w:smallCaps/>
                <w:color w:val="auto"/>
                <w:spacing w:val="5"/>
                <w:sz w:val="20"/>
                <w:szCs w:val="18"/>
              </w:rPr>
              <w:t>11</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orkanski vjetar</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28.5-32.6</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56-63</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18"/>
              </w:rPr>
            </w:pPr>
            <w:r>
              <w:rPr>
                <w:rFonts w:eastAsia="Calibri"/>
                <w:color w:val="000000"/>
                <w:sz w:val="20"/>
                <w:szCs w:val="18"/>
              </w:rPr>
              <w:t>103-117</w:t>
            </w:r>
          </w:p>
        </w:tc>
      </w:tr>
      <w:tr w:rsidR="00A07D92">
        <w:trPr>
          <w:trHeight w:hRule="exact" w:val="375"/>
          <w:jc w:val="center"/>
        </w:trPr>
        <w:tc>
          <w:tcPr>
            <w:tcW w:w="14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b/>
                <w:bCs/>
                <w:smallCaps/>
                <w:color w:val="auto"/>
                <w:spacing w:val="5"/>
                <w:sz w:val="18"/>
                <w:szCs w:val="18"/>
              </w:rPr>
            </w:pPr>
            <w:r>
              <w:rPr>
                <w:rFonts w:eastAsia="Calibri"/>
                <w:b/>
                <w:bCs/>
                <w:smallCaps/>
                <w:color w:val="auto"/>
                <w:spacing w:val="5"/>
                <w:sz w:val="18"/>
                <w:szCs w:val="18"/>
              </w:rPr>
              <w:t>12</w:t>
            </w:r>
          </w:p>
        </w:tc>
        <w:tc>
          <w:tcPr>
            <w:tcW w:w="237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20"/>
              </w:rPr>
            </w:pPr>
            <w:r>
              <w:rPr>
                <w:rFonts w:eastAsia="Calibri"/>
                <w:color w:val="000000"/>
                <w:sz w:val="20"/>
                <w:szCs w:val="20"/>
              </w:rPr>
              <w:t>orkan</w:t>
            </w:r>
          </w:p>
        </w:tc>
        <w:tc>
          <w:tcPr>
            <w:tcW w:w="19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20"/>
              </w:rPr>
            </w:pPr>
            <w:r>
              <w:rPr>
                <w:rFonts w:eastAsia="Calibri"/>
                <w:color w:val="000000"/>
                <w:sz w:val="20"/>
                <w:szCs w:val="20"/>
              </w:rPr>
              <w:t>32.7 i više</w:t>
            </w:r>
          </w:p>
        </w:tc>
        <w:tc>
          <w:tcPr>
            <w:tcW w:w="16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20"/>
              </w:rPr>
            </w:pPr>
            <w:r>
              <w:rPr>
                <w:rFonts w:eastAsia="Calibri"/>
                <w:color w:val="000000"/>
                <w:sz w:val="20"/>
                <w:szCs w:val="20"/>
              </w:rPr>
              <w:t>64 i više</w:t>
            </w:r>
          </w:p>
        </w:tc>
        <w:tc>
          <w:tcPr>
            <w:tcW w:w="16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rFonts w:eastAsia="Calibri"/>
                <w:color w:val="000000"/>
                <w:sz w:val="20"/>
                <w:szCs w:val="20"/>
              </w:rPr>
            </w:pPr>
            <w:r>
              <w:rPr>
                <w:rFonts w:eastAsia="Calibri"/>
                <w:color w:val="000000"/>
                <w:sz w:val="20"/>
                <w:szCs w:val="20"/>
              </w:rPr>
              <w:t>118 i više</w:t>
            </w:r>
          </w:p>
        </w:tc>
      </w:tr>
    </w:tbl>
    <w:p w:rsidR="00A07D92" w:rsidRDefault="00A07D92">
      <w:pPr>
        <w:rPr>
          <w:lang w:bidi="en-US"/>
        </w:rPr>
      </w:pPr>
    </w:p>
    <w:p w:rsidR="00A07D92" w:rsidRDefault="00A07D92">
      <w:pPr>
        <w:rPr>
          <w:lang w:bidi="en-US"/>
        </w:rPr>
      </w:pPr>
    </w:p>
    <w:p w:rsidR="00A07D92" w:rsidRDefault="00495E63">
      <w:pPr>
        <w:keepNext/>
        <w:keepLines/>
        <w:spacing w:before="40"/>
        <w:outlineLvl w:val="2"/>
        <w:rPr>
          <w:rFonts w:cstheme="majorBidi"/>
          <w:iCs/>
          <w:color w:val="54883D"/>
          <w:sz w:val="28"/>
          <w:lang w:bidi="en-US"/>
        </w:rPr>
      </w:pPr>
      <w:bookmarkStart w:id="323" w:name="_Toc136522864"/>
      <w:bookmarkStart w:id="324" w:name="_Toc127882969"/>
      <w:bookmarkStart w:id="325" w:name="_Toc514656337"/>
      <w:bookmarkStart w:id="326" w:name="_Toc498355560"/>
      <w:bookmarkStart w:id="327" w:name="_Toc486103590"/>
      <w:r>
        <w:rPr>
          <w:rFonts w:cstheme="majorBidi"/>
          <w:iCs/>
          <w:color w:val="54883D"/>
          <w:sz w:val="28"/>
          <w:lang w:bidi="en-US"/>
        </w:rPr>
        <w:t>6.6.3 Prikaz utjecaja na kritičnu strukturu</w:t>
      </w:r>
      <w:bookmarkEnd w:id="323"/>
      <w:bookmarkEnd w:id="324"/>
      <w:bookmarkEnd w:id="325"/>
      <w:bookmarkEnd w:id="326"/>
      <w:bookmarkEnd w:id="327"/>
    </w:p>
    <w:tbl>
      <w:tblPr>
        <w:tblStyle w:val="GridTable6ColorfulAccent3"/>
        <w:tblW w:w="9060" w:type="dxa"/>
        <w:tblLook w:val="04A0" w:firstRow="1" w:lastRow="0" w:firstColumn="1" w:lastColumn="0" w:noHBand="0" w:noVBand="1"/>
      </w:tblPr>
      <w:tblGrid>
        <w:gridCol w:w="1270"/>
        <w:gridCol w:w="7790"/>
      </w:tblGrid>
      <w:tr w:rsidR="00A07D92" w:rsidTr="00A07D9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sz w:val="20"/>
                <w:szCs w:val="20"/>
              </w:rPr>
            </w:pPr>
            <w:r>
              <w:rPr>
                <w:color w:val="76923C" w:themeColor="accent3" w:themeShade="BF"/>
                <w:sz w:val="20"/>
                <w:szCs w:val="20"/>
              </w:rPr>
              <w:t>UTJECAJ</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SEKTOR</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Komunikacijska i informacijska tehnologija (elektroničke komunikacije, prijenos podataka, informacijski sustavi, pružanje audio i audiovizualnih usluga)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Prijevoz opasnih tvari (kemijski, biološki, radiološki i</w:t>
            </w:r>
            <w:r>
              <w:rPr>
                <w:color w:val="76923C" w:themeColor="accent3" w:themeShade="BF"/>
                <w:sz w:val="20"/>
                <w:szCs w:val="20"/>
              </w:rPr>
              <w:t xml:space="preserve"> nuklearni materijali)</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civilna zaštita, hitna medicinska pomoć)</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rsidR="00A07D92" w:rsidRDefault="00A07D92">
      <w:pPr>
        <w:rPr>
          <w:lang w:bidi="en-US"/>
        </w:rPr>
      </w:pPr>
    </w:p>
    <w:p w:rsidR="00A07D92" w:rsidRDefault="00495E63">
      <w:pPr>
        <w:keepNext/>
        <w:keepLines/>
        <w:spacing w:before="40"/>
        <w:outlineLvl w:val="2"/>
        <w:rPr>
          <w:rFonts w:cstheme="majorBidi"/>
          <w:iCs/>
          <w:color w:val="54883D"/>
          <w:sz w:val="28"/>
          <w:lang w:bidi="en-US"/>
        </w:rPr>
      </w:pPr>
      <w:bookmarkStart w:id="328" w:name="_Toc136522865"/>
      <w:bookmarkStart w:id="329" w:name="_Toc127882970"/>
      <w:bookmarkStart w:id="330" w:name="_Toc514656338"/>
      <w:r>
        <w:rPr>
          <w:rFonts w:cstheme="majorBidi"/>
          <w:iCs/>
          <w:color w:val="54883D"/>
          <w:sz w:val="28"/>
          <w:lang w:bidi="en-US"/>
        </w:rPr>
        <w:t>6.6.4 Kontekst</w:t>
      </w:r>
      <w:bookmarkEnd w:id="328"/>
      <w:bookmarkEnd w:id="329"/>
      <w:bookmarkEnd w:id="330"/>
    </w:p>
    <w:p w:rsidR="00A07D92" w:rsidRDefault="00495E63">
      <w:pPr>
        <w:spacing w:before="120" w:after="120"/>
        <w:ind w:left="6" w:right="74"/>
      </w:pPr>
      <w:r>
        <w:t xml:space="preserve">Položaj priobalja i otoka, te </w:t>
      </w:r>
      <w:proofErr w:type="spellStart"/>
      <w:r>
        <w:t>orografska</w:t>
      </w:r>
      <w:proofErr w:type="spellEnd"/>
      <w:r>
        <w:t xml:space="preserve"> složenost jadranskog područja ne uvjetuje</w:t>
      </w:r>
      <w:r>
        <w:t xml:space="preserve"> složenu cirkulaciju atmosfere samo pri tlu već i na visini. Veliki utjecaj na strujanje, osobito na njegovu promjenu s visinom, ima i blizina i položaj planinskog kopnenog zaleđa koji u određenim vremenskim uvjetima može pogodovati pojavi vremenskih situa</w:t>
      </w:r>
      <w:r>
        <w:t>cija karakteriziranih pojavom pojačanog bočnog vjetra, velikog horizontalnog i vertikalnog smicanja vjetra, turbulencije, te jakih uzlaznih i silaznih gibanja zraka.</w:t>
      </w:r>
    </w:p>
    <w:p w:rsidR="00A07D92" w:rsidRDefault="00495E63">
      <w:pPr>
        <w:spacing w:before="120" w:after="120"/>
        <w:ind w:left="6" w:right="74"/>
      </w:pPr>
      <w:r>
        <w:t xml:space="preserve">Analiza strujnog režima vjetra na području Grada analizirana je na temelju dostupnih godišnjih i sezonskih vjerojatnosti pojavljivanja pojedinih jačina i smjera vjetra za Grad Mali Lošinj. </w:t>
      </w:r>
    </w:p>
    <w:p w:rsidR="00A07D92" w:rsidRDefault="00495E63">
      <w:pPr>
        <w:tabs>
          <w:tab w:val="left" w:pos="340"/>
        </w:tabs>
        <w:jc w:val="center"/>
        <w:rPr>
          <w:lang w:bidi="en-US"/>
        </w:rPr>
      </w:pPr>
      <w:r>
        <w:rPr>
          <w:noProof/>
          <w:lang w:eastAsia="hr-HR"/>
        </w:rPr>
        <w:lastRenderedPageBreak/>
        <w:drawing>
          <wp:inline distT="0" distB="0" distL="0" distR="0">
            <wp:extent cx="5759450" cy="1827530"/>
            <wp:effectExtent l="0" t="0" r="0" b="0"/>
            <wp:docPr id="118" name="Slik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lika14"/>
                    <pic:cNvPicPr>
                      <a:picLocks noChangeAspect="1" noChangeArrowheads="1"/>
                    </pic:cNvPicPr>
                  </pic:nvPicPr>
                  <pic:blipFill>
                    <a:blip r:embed="rId119"/>
                    <a:stretch>
                      <a:fillRect/>
                    </a:stretch>
                  </pic:blipFill>
                  <pic:spPr bwMode="auto">
                    <a:xfrm>
                      <a:off x="0" y="0"/>
                      <a:ext cx="5759450" cy="1827530"/>
                    </a:xfrm>
                    <a:prstGeom prst="rect">
                      <a:avLst/>
                    </a:prstGeom>
                  </pic:spPr>
                </pic:pic>
              </a:graphicData>
            </a:graphic>
          </wp:inline>
        </w:drawing>
      </w:r>
    </w:p>
    <w:p w:rsidR="00A07D92" w:rsidRDefault="00495E63">
      <w:pPr>
        <w:keepNext/>
        <w:spacing w:before="120" w:after="0"/>
        <w:jc w:val="center"/>
        <w:rPr>
          <w:bCs/>
          <w:color w:val="54883D"/>
          <w:sz w:val="20"/>
          <w:szCs w:val="18"/>
        </w:rPr>
      </w:pPr>
      <w:r>
        <w:rPr>
          <w:bCs/>
          <w:color w:val="54883D"/>
          <w:sz w:val="20"/>
          <w:szCs w:val="18"/>
        </w:rPr>
        <w:t xml:space="preserve">Slika </w:t>
      </w:r>
      <w:r>
        <w:rPr>
          <w:bCs/>
          <w:color w:val="54883D"/>
          <w:sz w:val="20"/>
          <w:szCs w:val="18"/>
        </w:rPr>
        <w:fldChar w:fldCharType="begin"/>
      </w:r>
      <w:r>
        <w:rPr>
          <w:bCs/>
          <w:sz w:val="20"/>
          <w:szCs w:val="18"/>
        </w:rPr>
        <w:instrText>SEQ Slika \* ARABIC</w:instrText>
      </w:r>
      <w:r>
        <w:rPr>
          <w:bCs/>
          <w:sz w:val="20"/>
          <w:szCs w:val="18"/>
        </w:rPr>
        <w:fldChar w:fldCharType="separate"/>
      </w:r>
      <w:r>
        <w:rPr>
          <w:bCs/>
          <w:sz w:val="20"/>
          <w:szCs w:val="18"/>
        </w:rPr>
        <w:t>25</w:t>
      </w:r>
      <w:r>
        <w:rPr>
          <w:bCs/>
          <w:sz w:val="20"/>
          <w:szCs w:val="18"/>
        </w:rPr>
        <w:fldChar w:fldCharType="end"/>
      </w:r>
      <w:r>
        <w:rPr>
          <w:bCs/>
          <w:color w:val="54883D"/>
          <w:sz w:val="20"/>
          <w:szCs w:val="18"/>
        </w:rPr>
        <w:t>.</w:t>
      </w:r>
      <w:r>
        <w:t xml:space="preserve"> </w:t>
      </w:r>
      <w:r>
        <w:rPr>
          <w:bCs/>
          <w:color w:val="54883D"/>
          <w:sz w:val="20"/>
          <w:szCs w:val="18"/>
        </w:rPr>
        <w:t xml:space="preserve">Godišnja ruža vjetrova, Mali </w:t>
      </w:r>
      <w:r>
        <w:rPr>
          <w:bCs/>
          <w:color w:val="54883D"/>
          <w:sz w:val="20"/>
          <w:szCs w:val="18"/>
        </w:rPr>
        <w:t>Lošinj</w:t>
      </w:r>
    </w:p>
    <w:p w:rsidR="00A07D92" w:rsidRDefault="00495E63">
      <w:pPr>
        <w:keepNext/>
        <w:spacing w:before="120" w:after="120"/>
        <w:jc w:val="center"/>
        <w:rPr>
          <w:bCs/>
          <w:color w:val="54883D"/>
          <w:sz w:val="20"/>
          <w:szCs w:val="18"/>
        </w:rPr>
      </w:pPr>
      <w:r>
        <w:rPr>
          <w:bCs/>
          <w:color w:val="54883D"/>
          <w:sz w:val="20"/>
          <w:szCs w:val="18"/>
        </w:rPr>
        <w:t>Izvor: https://www.windfinder.com/</w:t>
      </w:r>
    </w:p>
    <w:p w:rsidR="00A07D92" w:rsidRDefault="00495E63">
      <w:pPr>
        <w:tabs>
          <w:tab w:val="left" w:pos="340"/>
        </w:tabs>
        <w:rPr>
          <w:lang w:bidi="en-US"/>
        </w:rPr>
      </w:pPr>
      <w:r>
        <w:rPr>
          <w:lang w:bidi="en-US"/>
        </w:rPr>
        <w:t xml:space="preserve">Najčešći vjetar na području Malog Lošinja je bura s izraženom sjevernom komponentom (14.3% iz NNE smjera), a zatim se javlja jugo (10.7% iz S smjera). Bura najčešće </w:t>
      </w:r>
      <w:proofErr w:type="spellStart"/>
      <w:r>
        <w:rPr>
          <w:lang w:bidi="en-US"/>
        </w:rPr>
        <w:t>pušezimi</w:t>
      </w:r>
      <w:proofErr w:type="spellEnd"/>
      <w:r>
        <w:rPr>
          <w:lang w:bidi="en-US"/>
        </w:rPr>
        <w:t xml:space="preserve"> (15.9%), a jugo u proljeće (14.5%). Ljet</w:t>
      </w:r>
      <w:r>
        <w:rPr>
          <w:lang w:bidi="en-US"/>
        </w:rPr>
        <w:t xml:space="preserve">i se pored NNE i S smjerova (13.3% i 11.1% redom) relativno često javlja i WSW smjera (9.4%). Zmorac ima izraženu više južnu nego sjevernu komponentu zbog položaja same postaje. Osim zmorca na vanjskim jadranskim otocima javlja se i sezonska zračna struja </w:t>
      </w:r>
      <w:proofErr w:type="spellStart"/>
      <w:r>
        <w:rPr>
          <w:lang w:bidi="en-US"/>
        </w:rPr>
        <w:t>etezija</w:t>
      </w:r>
      <w:proofErr w:type="spellEnd"/>
      <w:r>
        <w:rPr>
          <w:lang w:bidi="en-US"/>
        </w:rPr>
        <w:t xml:space="preserve"> NW smjera koja nastaje kao razlika tlaka u južnoj Europi između azorske anticiklone i </w:t>
      </w:r>
      <w:proofErr w:type="spellStart"/>
      <w:r>
        <w:rPr>
          <w:lang w:bidi="en-US"/>
        </w:rPr>
        <w:t>Karači</w:t>
      </w:r>
      <w:proofErr w:type="spellEnd"/>
      <w:r>
        <w:rPr>
          <w:lang w:bidi="en-US"/>
        </w:rPr>
        <w:t xml:space="preserve"> – depresije. Superpozicijom </w:t>
      </w:r>
      <w:proofErr w:type="spellStart"/>
      <w:r>
        <w:rPr>
          <w:lang w:bidi="en-US"/>
        </w:rPr>
        <w:t>etezije</w:t>
      </w:r>
      <w:proofErr w:type="spellEnd"/>
      <w:r>
        <w:rPr>
          <w:lang w:bidi="en-US"/>
        </w:rPr>
        <w:t xml:space="preserve"> i zmorca nastaje maestral.</w:t>
      </w:r>
    </w:p>
    <w:p w:rsidR="00A07D92" w:rsidRDefault="00495E63">
      <w:pPr>
        <w:tabs>
          <w:tab w:val="left" w:pos="340"/>
        </w:tabs>
        <w:rPr>
          <w:lang w:bidi="en-US"/>
        </w:rPr>
      </w:pPr>
      <w:r>
        <w:rPr>
          <w:lang w:bidi="en-US"/>
        </w:rPr>
        <w:t>Razdioba jačine vjetra neovisno o smjeru vjetra pokazuje u Malom Lošinju najčešće vjetar 1-3</w:t>
      </w:r>
      <w:r>
        <w:rPr>
          <w:lang w:bidi="en-US"/>
        </w:rPr>
        <w:t xml:space="preserve"> </w:t>
      </w:r>
      <w:proofErr w:type="spellStart"/>
      <w:r>
        <w:rPr>
          <w:lang w:bidi="en-US"/>
        </w:rPr>
        <w:t>Bf</w:t>
      </w:r>
      <w:proofErr w:type="spellEnd"/>
      <w:r>
        <w:rPr>
          <w:lang w:bidi="en-US"/>
        </w:rPr>
        <w:t xml:space="preserve"> (81%). Vjetar </w:t>
      </w:r>
      <w:proofErr w:type="spellStart"/>
      <w:r>
        <w:rPr>
          <w:lang w:bidi="en-US"/>
        </w:rPr>
        <w:t>ječine</w:t>
      </w:r>
      <w:proofErr w:type="spellEnd"/>
      <w:r>
        <w:rPr>
          <w:lang w:bidi="en-US"/>
        </w:rPr>
        <w:t xml:space="preserve"> 4-5Bf zabilježen je u 13.4%, a jači od 6Bf u 1.1%. olujni vjetar je rijedak s relativnom čestinom od 0.1%. tišina je zastupljena u 4.5%. jak vjetar češće je bura (0.9% nego jugo 0.2%), a vrlo rijetko se </w:t>
      </w:r>
      <w:proofErr w:type="spellStart"/>
      <w:r>
        <w:rPr>
          <w:lang w:bidi="en-US"/>
        </w:rPr>
        <w:t>javljak</w:t>
      </w:r>
      <w:proofErr w:type="spellEnd"/>
      <w:r>
        <w:rPr>
          <w:lang w:bidi="en-US"/>
        </w:rPr>
        <w:t xml:space="preserve"> i jak vjetar iz SW k</w:t>
      </w:r>
      <w:r>
        <w:rPr>
          <w:lang w:bidi="en-US"/>
        </w:rPr>
        <w:t xml:space="preserve">vadranta (0.05%). Najjači vjetar bio je od 9 </w:t>
      </w:r>
      <w:proofErr w:type="spellStart"/>
      <w:r>
        <w:rPr>
          <w:lang w:bidi="en-US"/>
        </w:rPr>
        <w:t>Bf</w:t>
      </w:r>
      <w:proofErr w:type="spellEnd"/>
      <w:r>
        <w:rPr>
          <w:lang w:bidi="en-US"/>
        </w:rPr>
        <w:t xml:space="preserve"> iz N smjera.</w:t>
      </w:r>
    </w:p>
    <w:p w:rsidR="00A07D92" w:rsidRDefault="00495E63">
      <w:pPr>
        <w:spacing w:before="120" w:after="120"/>
        <w:rPr>
          <w:rFonts w:eastAsia="Calibri"/>
          <w:color w:val="auto"/>
          <w:szCs w:val="22"/>
          <w:lang w:eastAsia="hr-HR"/>
        </w:rPr>
      </w:pPr>
      <w:r>
        <w:rPr>
          <w:rFonts w:eastAsia="Calibri"/>
          <w:color w:val="auto"/>
          <w:szCs w:val="22"/>
          <w:lang w:eastAsia="hr-HR"/>
        </w:rPr>
        <w:t xml:space="preserve">Bura je suh, hladan i </w:t>
      </w:r>
      <w:proofErr w:type="spellStart"/>
      <w:r>
        <w:rPr>
          <w:rFonts w:eastAsia="Calibri"/>
          <w:color w:val="auto"/>
          <w:szCs w:val="22"/>
          <w:lang w:eastAsia="hr-HR"/>
        </w:rPr>
        <w:t>mahovit</w:t>
      </w:r>
      <w:proofErr w:type="spellEnd"/>
      <w:r>
        <w:rPr>
          <w:rFonts w:eastAsia="Calibri"/>
          <w:color w:val="auto"/>
          <w:szCs w:val="22"/>
          <w:lang w:eastAsia="hr-HR"/>
        </w:rPr>
        <w:t xml:space="preserve"> sjeveroistočni vjetar povezan s prodorom hladnog zraka iz polarnih ili sibirskih krajeva. Za vrijeme bure pojačan je osjet hladnoće. Zbog svoje </w:t>
      </w:r>
      <w:proofErr w:type="spellStart"/>
      <w:r>
        <w:rPr>
          <w:rFonts w:eastAsia="Calibri"/>
          <w:color w:val="auto"/>
          <w:szCs w:val="22"/>
          <w:lang w:eastAsia="hr-HR"/>
        </w:rPr>
        <w:t>mahovitosti</w:t>
      </w:r>
      <w:proofErr w:type="spellEnd"/>
      <w:r>
        <w:rPr>
          <w:rFonts w:eastAsia="Calibri"/>
          <w:color w:val="auto"/>
          <w:szCs w:val="22"/>
          <w:lang w:eastAsia="hr-HR"/>
        </w:rPr>
        <w:t xml:space="preserve"> bura stva</w:t>
      </w:r>
      <w:r>
        <w:rPr>
          <w:rFonts w:eastAsia="Calibri"/>
          <w:color w:val="auto"/>
          <w:szCs w:val="22"/>
          <w:lang w:eastAsia="hr-HR"/>
        </w:rPr>
        <w:t xml:space="preserve">ra kratke, ali visoke valove, koji stvaraju teškoće u plovidbi. Jaka bura na moru trga vrške valova i stvara morski dim. Obala izložena buri pokrivena je tankim slojem </w:t>
      </w:r>
      <w:proofErr w:type="spellStart"/>
      <w:r>
        <w:rPr>
          <w:rFonts w:eastAsia="Calibri"/>
          <w:color w:val="auto"/>
          <w:szCs w:val="22"/>
          <w:lang w:eastAsia="hr-HR"/>
        </w:rPr>
        <w:t>posolice</w:t>
      </w:r>
      <w:proofErr w:type="spellEnd"/>
      <w:r>
        <w:rPr>
          <w:rFonts w:eastAsia="Calibri"/>
          <w:color w:val="auto"/>
          <w:szCs w:val="22"/>
          <w:lang w:eastAsia="hr-HR"/>
        </w:rPr>
        <w:t xml:space="preserve"> iz isparene morske vode što ju je bura nanijela u morskom dimu. Na tim mjestima</w:t>
      </w:r>
      <w:r>
        <w:rPr>
          <w:rFonts w:eastAsia="Calibri"/>
          <w:color w:val="auto"/>
          <w:szCs w:val="22"/>
          <w:lang w:eastAsia="hr-HR"/>
        </w:rPr>
        <w:t xml:space="preserve"> biljke slabo uspijevaju i tlo je ogoljelo. Smjer vjetra može se lokalno modificirati ovisno o obliku reljefa tla nekog područja pa tako bura na nekim lokacijama ima više izraženu sjevernu komponentu (N–NNE), a na drugim istočnu komponentu (ENE–E).</w:t>
      </w:r>
    </w:p>
    <w:p w:rsidR="00A07D92" w:rsidRDefault="00495E63">
      <w:pPr>
        <w:spacing w:before="120" w:after="120"/>
        <w:rPr>
          <w:rFonts w:eastAsia="Calibri"/>
          <w:color w:val="auto"/>
          <w:szCs w:val="22"/>
          <w:lang w:eastAsia="hr-HR"/>
        </w:rPr>
      </w:pPr>
      <w:r>
        <w:rPr>
          <w:rFonts w:eastAsia="Calibri"/>
          <w:color w:val="auto"/>
          <w:szCs w:val="22"/>
          <w:lang w:eastAsia="hr-HR"/>
        </w:rPr>
        <w:t>Ljeti j</w:t>
      </w:r>
      <w:r>
        <w:rPr>
          <w:rFonts w:eastAsia="Calibri"/>
          <w:color w:val="auto"/>
          <w:szCs w:val="22"/>
          <w:lang w:eastAsia="hr-HR"/>
        </w:rPr>
        <w:t xml:space="preserve">e najučestaliji vjetar, poznat kao maestral. Maestral puše danju, a superpozicija je </w:t>
      </w:r>
      <w:proofErr w:type="spellStart"/>
      <w:r>
        <w:rPr>
          <w:rFonts w:eastAsia="Calibri"/>
          <w:color w:val="auto"/>
          <w:szCs w:val="22"/>
          <w:lang w:eastAsia="hr-HR"/>
        </w:rPr>
        <w:t>etezije</w:t>
      </w:r>
      <w:proofErr w:type="spellEnd"/>
      <w:r>
        <w:rPr>
          <w:rFonts w:eastAsia="Calibri"/>
          <w:color w:val="auto"/>
          <w:szCs w:val="22"/>
          <w:lang w:eastAsia="hr-HR"/>
        </w:rPr>
        <w:t xml:space="preserve"> i zmorca. Zmorac je danji vjetar s mora na kopno u sklopu obalne cirkulacije. Maestral predstavlja osvježenje ljeti, a praćen je vedrinom i suhoćom te je pogodan z</w:t>
      </w:r>
      <w:r>
        <w:rPr>
          <w:rFonts w:eastAsia="Calibri"/>
          <w:color w:val="auto"/>
          <w:szCs w:val="22"/>
          <w:lang w:eastAsia="hr-HR"/>
        </w:rPr>
        <w:t>a jedrenje. U kanalima može izazvati i veće valove koji tada ugrožavaju sigurnost plovidbe manjim brodicama.</w:t>
      </w:r>
    </w:p>
    <w:p w:rsidR="00A07D92" w:rsidRDefault="00495E63">
      <w:pPr>
        <w:spacing w:before="120" w:after="120"/>
        <w:rPr>
          <w:rFonts w:eastAsia="Calibri"/>
          <w:color w:val="auto"/>
          <w:szCs w:val="22"/>
          <w:lang w:eastAsia="hr-HR"/>
        </w:rPr>
      </w:pPr>
      <w:r>
        <w:rPr>
          <w:rFonts w:eastAsia="Calibri"/>
          <w:color w:val="auto"/>
          <w:szCs w:val="22"/>
          <w:lang w:eastAsia="hr-HR"/>
        </w:rPr>
        <w:t xml:space="preserve">Jugo je topli zrak pritječe iz sjeverne Afrike koji putem poprimi </w:t>
      </w:r>
      <w:proofErr w:type="spellStart"/>
      <w:r>
        <w:rPr>
          <w:rFonts w:eastAsia="Calibri"/>
          <w:color w:val="auto"/>
          <w:szCs w:val="22"/>
          <w:lang w:eastAsia="hr-HR"/>
        </w:rPr>
        <w:t>maritimne</w:t>
      </w:r>
      <w:proofErr w:type="spellEnd"/>
      <w:r>
        <w:rPr>
          <w:rFonts w:eastAsia="Calibri"/>
          <w:color w:val="auto"/>
          <w:szCs w:val="22"/>
          <w:lang w:eastAsia="hr-HR"/>
        </w:rPr>
        <w:t xml:space="preserve"> karakteristike. Jugo je vlažan, topao i jednoličan jugoistočni vjetar (</w:t>
      </w:r>
      <w:r>
        <w:rPr>
          <w:rFonts w:eastAsia="Calibri"/>
          <w:color w:val="auto"/>
          <w:szCs w:val="22"/>
          <w:lang w:eastAsia="hr-HR"/>
        </w:rPr>
        <w:t>ESE–SSE smjerova). Jako jugo stvara velike valove, nastaje na prednjoj strani sredozemne ciklone, a zbog dizanja vlažnog zraka na fronti i uz brda često puta je praćeno velikom količinom oborine. Nakon prolaska fronte i pomaka središta ciklone na istok vje</w:t>
      </w:r>
      <w:r>
        <w:rPr>
          <w:rFonts w:eastAsia="Calibri"/>
          <w:color w:val="auto"/>
          <w:szCs w:val="22"/>
          <w:lang w:eastAsia="hr-HR"/>
        </w:rPr>
        <w:t xml:space="preserve">tar najčešće skreće na NE vjetar buru. </w:t>
      </w:r>
    </w:p>
    <w:p w:rsidR="00A07D92" w:rsidRDefault="00A07D92">
      <w:pPr>
        <w:spacing w:before="120" w:after="120"/>
        <w:rPr>
          <w:rFonts w:eastAsia="Calibri"/>
          <w:color w:val="auto"/>
          <w:szCs w:val="22"/>
          <w:lang w:eastAsia="hr-HR"/>
        </w:rPr>
      </w:pPr>
    </w:p>
    <w:p w:rsidR="00A07D92" w:rsidRDefault="00495E63">
      <w:pPr>
        <w:jc w:val="center"/>
        <w:rPr>
          <w:bCs/>
          <w:color w:val="54883D"/>
          <w:sz w:val="20"/>
          <w:szCs w:val="18"/>
        </w:rPr>
      </w:pPr>
      <w:r>
        <w:rPr>
          <w:bCs/>
          <w:color w:val="54883D"/>
          <w:sz w:val="20"/>
          <w:szCs w:val="18"/>
        </w:rPr>
        <w:lastRenderedPageBreak/>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63</w:t>
      </w:r>
      <w:r>
        <w:rPr>
          <w:bCs/>
          <w:sz w:val="20"/>
          <w:szCs w:val="18"/>
        </w:rPr>
        <w:fldChar w:fldCharType="end"/>
      </w:r>
      <w:r>
        <w:rPr>
          <w:bCs/>
          <w:color w:val="54883D"/>
          <w:sz w:val="20"/>
          <w:szCs w:val="18"/>
        </w:rPr>
        <w:t xml:space="preserve">. Broj dana s jakim (&gt; 6 </w:t>
      </w:r>
      <w:proofErr w:type="spellStart"/>
      <w:r>
        <w:rPr>
          <w:bCs/>
          <w:color w:val="54883D"/>
          <w:sz w:val="20"/>
          <w:szCs w:val="18"/>
        </w:rPr>
        <w:t>Bf</w:t>
      </w:r>
      <w:proofErr w:type="spellEnd"/>
      <w:r>
        <w:rPr>
          <w:bCs/>
          <w:color w:val="54883D"/>
          <w:sz w:val="20"/>
          <w:szCs w:val="18"/>
        </w:rPr>
        <w:t xml:space="preserve">) i olujnim vjetrom (&gt; 8 </w:t>
      </w:r>
      <w:proofErr w:type="spellStart"/>
      <w:r>
        <w:rPr>
          <w:bCs/>
          <w:color w:val="54883D"/>
          <w:sz w:val="20"/>
          <w:szCs w:val="18"/>
        </w:rPr>
        <w:t>Bf</w:t>
      </w:r>
      <w:proofErr w:type="spellEnd"/>
      <w:r>
        <w:rPr>
          <w:bCs/>
          <w:color w:val="54883D"/>
          <w:sz w:val="20"/>
          <w:szCs w:val="18"/>
        </w:rPr>
        <w:t>), Mali Lošinj 2002. - 2021.</w:t>
      </w:r>
    </w:p>
    <w:tbl>
      <w:tblPr>
        <w:tblW w:w="9351" w:type="dxa"/>
        <w:jc w:val="center"/>
        <w:tblCellMar>
          <w:left w:w="5" w:type="dxa"/>
          <w:right w:w="5" w:type="dxa"/>
        </w:tblCellMar>
        <w:tblLook w:val="0000" w:firstRow="0" w:lastRow="0" w:firstColumn="0" w:lastColumn="0" w:noHBand="0" w:noVBand="0"/>
      </w:tblPr>
      <w:tblGrid>
        <w:gridCol w:w="1028"/>
        <w:gridCol w:w="628"/>
        <w:gridCol w:w="627"/>
        <w:gridCol w:w="628"/>
        <w:gridCol w:w="627"/>
        <w:gridCol w:w="627"/>
        <w:gridCol w:w="629"/>
        <w:gridCol w:w="626"/>
        <w:gridCol w:w="628"/>
        <w:gridCol w:w="627"/>
        <w:gridCol w:w="628"/>
        <w:gridCol w:w="627"/>
        <w:gridCol w:w="705"/>
        <w:gridCol w:w="716"/>
      </w:tblGrid>
      <w:tr w:rsidR="00A07D92">
        <w:trPr>
          <w:trHeight w:hRule="exact" w:val="445"/>
          <w:jc w:val="center"/>
        </w:trPr>
        <w:tc>
          <w:tcPr>
            <w:tcW w:w="10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MJESECI</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1</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2</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3</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4</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5</w:t>
            </w:r>
          </w:p>
        </w:tc>
        <w:tc>
          <w:tcPr>
            <w:tcW w:w="6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6</w:t>
            </w:r>
          </w:p>
        </w:tc>
        <w:tc>
          <w:tcPr>
            <w:tcW w:w="6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7</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8</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9</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10</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11</w:t>
            </w:r>
          </w:p>
        </w:tc>
        <w:tc>
          <w:tcPr>
            <w:tcW w:w="70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12</w:t>
            </w:r>
          </w:p>
        </w:tc>
        <w:tc>
          <w:tcPr>
            <w:tcW w:w="7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 xml:space="preserve">Zbroj </w:t>
            </w:r>
          </w:p>
        </w:tc>
      </w:tr>
      <w:tr w:rsidR="00A07D92">
        <w:trPr>
          <w:trHeight w:val="327"/>
          <w:jc w:val="center"/>
        </w:trPr>
        <w:tc>
          <w:tcPr>
            <w:tcW w:w="9350" w:type="dxa"/>
            <w:gridSpan w:val="14"/>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BROJ DANA S JAKIM VJETROM</w:t>
            </w:r>
          </w:p>
        </w:tc>
      </w:tr>
      <w:tr w:rsidR="00A07D92">
        <w:trPr>
          <w:trHeight w:val="327"/>
          <w:jc w:val="center"/>
        </w:trPr>
        <w:tc>
          <w:tcPr>
            <w:tcW w:w="10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SRED</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9.3</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9.3</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9.6</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6.3</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6.1</w:t>
            </w:r>
          </w:p>
        </w:tc>
        <w:tc>
          <w:tcPr>
            <w:tcW w:w="6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3.3</w:t>
            </w:r>
          </w:p>
        </w:tc>
        <w:tc>
          <w:tcPr>
            <w:tcW w:w="6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3.3</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3.6</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4.8</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7.2</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8.9</w:t>
            </w:r>
          </w:p>
        </w:tc>
        <w:tc>
          <w:tcPr>
            <w:tcW w:w="70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10.5</w:t>
            </w:r>
          </w:p>
        </w:tc>
        <w:tc>
          <w:tcPr>
            <w:tcW w:w="7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82.0</w:t>
            </w:r>
          </w:p>
        </w:tc>
      </w:tr>
      <w:tr w:rsidR="00A07D92">
        <w:trPr>
          <w:trHeight w:val="327"/>
          <w:jc w:val="center"/>
        </w:trPr>
        <w:tc>
          <w:tcPr>
            <w:tcW w:w="10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MAKS</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21</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17</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15</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14</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13</w:t>
            </w:r>
          </w:p>
        </w:tc>
        <w:tc>
          <w:tcPr>
            <w:tcW w:w="6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9</w:t>
            </w:r>
          </w:p>
        </w:tc>
        <w:tc>
          <w:tcPr>
            <w:tcW w:w="6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9</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8</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13</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13</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18</w:t>
            </w:r>
          </w:p>
        </w:tc>
        <w:tc>
          <w:tcPr>
            <w:tcW w:w="70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16</w:t>
            </w:r>
          </w:p>
        </w:tc>
        <w:tc>
          <w:tcPr>
            <w:tcW w:w="7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119</w:t>
            </w:r>
          </w:p>
        </w:tc>
      </w:tr>
      <w:tr w:rsidR="00A07D92">
        <w:trPr>
          <w:trHeight w:val="327"/>
          <w:jc w:val="center"/>
        </w:trPr>
        <w:tc>
          <w:tcPr>
            <w:tcW w:w="10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MIN</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2</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6</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2</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3</w:t>
            </w:r>
          </w:p>
        </w:tc>
        <w:tc>
          <w:tcPr>
            <w:tcW w:w="70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w:t>
            </w:r>
          </w:p>
        </w:tc>
        <w:tc>
          <w:tcPr>
            <w:tcW w:w="7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33</w:t>
            </w:r>
          </w:p>
        </w:tc>
      </w:tr>
      <w:tr w:rsidR="00A07D92">
        <w:trPr>
          <w:trHeight w:val="327"/>
          <w:jc w:val="center"/>
        </w:trPr>
        <w:tc>
          <w:tcPr>
            <w:tcW w:w="9350" w:type="dxa"/>
            <w:gridSpan w:val="14"/>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BROJ DANA S OLUJNIM VJETROM</w:t>
            </w:r>
          </w:p>
        </w:tc>
      </w:tr>
      <w:tr w:rsidR="00A07D92">
        <w:trPr>
          <w:trHeight w:val="327"/>
          <w:jc w:val="center"/>
        </w:trPr>
        <w:tc>
          <w:tcPr>
            <w:tcW w:w="10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SRED</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1.0</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1.3</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1.4</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0.5</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0.5</w:t>
            </w:r>
          </w:p>
        </w:tc>
        <w:tc>
          <w:tcPr>
            <w:tcW w:w="6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0.1</w:t>
            </w:r>
          </w:p>
        </w:tc>
        <w:tc>
          <w:tcPr>
            <w:tcW w:w="6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000000"/>
                <w:sz w:val="20"/>
                <w:szCs w:val="20"/>
              </w:rPr>
            </w:pPr>
            <w:r>
              <w:rPr>
                <w:rFonts w:eastAsiaTheme="minorEastAsia"/>
                <w:color w:val="auto"/>
                <w:sz w:val="20"/>
                <w:szCs w:val="20"/>
                <w:lang w:eastAsia="hr-HR"/>
              </w:rPr>
              <w:t>0.1</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0.3</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0.3</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0.4</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1.2</w:t>
            </w:r>
          </w:p>
        </w:tc>
        <w:tc>
          <w:tcPr>
            <w:tcW w:w="70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1.3</w:t>
            </w:r>
          </w:p>
        </w:tc>
        <w:tc>
          <w:tcPr>
            <w:tcW w:w="7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8.2</w:t>
            </w:r>
          </w:p>
        </w:tc>
      </w:tr>
      <w:tr w:rsidR="00A07D92">
        <w:trPr>
          <w:trHeight w:val="327"/>
          <w:jc w:val="center"/>
        </w:trPr>
        <w:tc>
          <w:tcPr>
            <w:tcW w:w="10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MIN</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6</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2</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5</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2</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2</w:t>
            </w:r>
          </w:p>
        </w:tc>
        <w:tc>
          <w:tcPr>
            <w:tcW w:w="6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w:t>
            </w:r>
          </w:p>
        </w:tc>
        <w:tc>
          <w:tcPr>
            <w:tcW w:w="6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2</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2</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5</w:t>
            </w:r>
          </w:p>
        </w:tc>
        <w:tc>
          <w:tcPr>
            <w:tcW w:w="70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4</w:t>
            </w:r>
          </w:p>
        </w:tc>
        <w:tc>
          <w:tcPr>
            <w:tcW w:w="7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20</w:t>
            </w:r>
          </w:p>
        </w:tc>
      </w:tr>
      <w:tr w:rsidR="00A07D92">
        <w:trPr>
          <w:trHeight w:val="327"/>
          <w:jc w:val="center"/>
        </w:trPr>
        <w:tc>
          <w:tcPr>
            <w:tcW w:w="10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b/>
                <w:color w:val="auto"/>
                <w:sz w:val="20"/>
                <w:szCs w:val="20"/>
                <w:lang w:eastAsia="hr-HR"/>
              </w:rPr>
            </w:pPr>
            <w:r>
              <w:rPr>
                <w:rFonts w:eastAsiaTheme="minorEastAsia"/>
                <w:b/>
                <w:color w:val="auto"/>
                <w:sz w:val="20"/>
                <w:szCs w:val="20"/>
                <w:lang w:eastAsia="hr-HR"/>
              </w:rPr>
              <w:t>MAKS</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6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70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w:t>
            </w:r>
          </w:p>
        </w:tc>
        <w:tc>
          <w:tcPr>
            <w:tcW w:w="7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rFonts w:eastAsiaTheme="minorEastAsia"/>
                <w:color w:val="auto"/>
                <w:sz w:val="20"/>
                <w:szCs w:val="20"/>
                <w:lang w:eastAsia="hr-HR"/>
              </w:rPr>
            </w:pPr>
            <w:r>
              <w:rPr>
                <w:rFonts w:eastAsiaTheme="minorEastAsia"/>
                <w:color w:val="auto"/>
                <w:sz w:val="20"/>
                <w:szCs w:val="20"/>
                <w:lang w:eastAsia="hr-HR"/>
              </w:rPr>
              <w:t>1</w:t>
            </w:r>
          </w:p>
        </w:tc>
      </w:tr>
    </w:tbl>
    <w:p w:rsidR="00A07D92" w:rsidRDefault="00495E63">
      <w:pPr>
        <w:spacing w:before="120" w:after="120"/>
        <w:jc w:val="center"/>
        <w:rPr>
          <w:color w:val="000000"/>
        </w:rPr>
      </w:pPr>
      <w:r>
        <w:rPr>
          <w:rFonts w:eastAsiaTheme="minorEastAsia"/>
          <w:i/>
          <w:color w:val="54883D"/>
          <w:sz w:val="20"/>
          <w:lang w:eastAsia="hr-HR"/>
        </w:rPr>
        <w:t>Izvor podataka: DHMZ</w:t>
      </w:r>
    </w:p>
    <w:p w:rsidR="00A07D92" w:rsidRDefault="00495E63">
      <w:pPr>
        <w:keepNext/>
        <w:keepLines/>
        <w:spacing w:before="40"/>
        <w:outlineLvl w:val="2"/>
        <w:rPr>
          <w:rFonts w:cstheme="majorBidi"/>
          <w:iCs/>
          <w:color w:val="54883D"/>
          <w:sz w:val="28"/>
          <w:lang w:bidi="en-US"/>
        </w:rPr>
      </w:pPr>
      <w:bookmarkStart w:id="331" w:name="_Toc136522866"/>
      <w:bookmarkStart w:id="332" w:name="_Toc127882971"/>
      <w:bookmarkStart w:id="333" w:name="_Toc514656339"/>
      <w:bookmarkStart w:id="334" w:name="_Toc498355562"/>
      <w:bookmarkStart w:id="335" w:name="_Toc486103592"/>
      <w:r>
        <w:rPr>
          <w:rFonts w:cstheme="majorBidi"/>
          <w:iCs/>
          <w:color w:val="54883D"/>
          <w:sz w:val="28"/>
          <w:lang w:bidi="en-US"/>
        </w:rPr>
        <w:t>6.6.5 Uzrok</w:t>
      </w:r>
      <w:bookmarkEnd w:id="331"/>
      <w:bookmarkEnd w:id="332"/>
      <w:bookmarkEnd w:id="333"/>
      <w:bookmarkEnd w:id="334"/>
      <w:bookmarkEnd w:id="335"/>
    </w:p>
    <w:p w:rsidR="00A07D92" w:rsidRDefault="00495E63">
      <w:pPr>
        <w:spacing w:before="120" w:after="120"/>
        <w:rPr>
          <w:color w:val="auto"/>
          <w:szCs w:val="20"/>
          <w:lang w:eastAsia="hr-HR"/>
        </w:rPr>
      </w:pPr>
      <w:r>
        <w:rPr>
          <w:color w:val="auto"/>
          <w:szCs w:val="20"/>
          <w:lang w:eastAsia="hr-HR"/>
        </w:rPr>
        <w:t>Osnovna karakteristika olujnog ili orkanskog nevremena je vjetar čija jačina prelazi 8 bofora. Prema Zakonu o zaštiti od elementarnih nepogoda vjetar takve jačine smatra se elementarnom nepogodom, pri čemu je elementarna nepogoda općenito definirana kao iz</w:t>
      </w:r>
      <w:r>
        <w:rPr>
          <w:color w:val="auto"/>
          <w:szCs w:val="20"/>
          <w:lang w:eastAsia="hr-HR"/>
        </w:rPr>
        <w:t xml:space="preserve">nenadna velika nesreća koja prekida normalno odvijanje života, uzrokuje žrtve, štetu većeg opsega na imovini i/ili njen gubitak, te štetu na infrastrukturi i/ili okolišu, u mjeri koja prelazi normalnu sposobnost zajednice da ih sama otkloni bez pomoći. </w:t>
      </w:r>
    </w:p>
    <w:p w:rsidR="00A07D92" w:rsidRDefault="00495E63">
      <w:pPr>
        <w:spacing w:before="120" w:after="120"/>
        <w:rPr>
          <w:color w:val="auto"/>
          <w:szCs w:val="20"/>
          <w:lang w:eastAsia="hr-HR"/>
        </w:rPr>
      </w:pPr>
      <w:r>
        <w:rPr>
          <w:color w:val="auto"/>
          <w:szCs w:val="20"/>
          <w:lang w:eastAsia="hr-HR"/>
        </w:rPr>
        <w:t>Strujanje zraka nad nekim područjem odraz je primarne cirkulacije koja se uspostavlja globalnom raspodjelom tlaka zraka značajnom za topli i hladni dio godine. Međutim, promjene tlaka zraka makro razmjera i u kraćim vremenskim razdobljima generiraju sekund</w:t>
      </w:r>
      <w:r>
        <w:rPr>
          <w:color w:val="auto"/>
          <w:szCs w:val="20"/>
          <w:lang w:eastAsia="hr-HR"/>
        </w:rPr>
        <w:t>arnu cirkulaciju. To su pokretni cirkulacijski sustavi koji uzrokuju lokalne vjetrove različitih značajki ovisno o reljefu tla, svojstvima podloge i zračnih masa. Isto tako postoje i cirkulacije srednjih i lokalnih razmjera koje su posljedica periodičke te</w:t>
      </w:r>
      <w:r>
        <w:rPr>
          <w:color w:val="auto"/>
          <w:szCs w:val="20"/>
          <w:lang w:eastAsia="hr-HR"/>
        </w:rPr>
        <w:t>rmičke promjene zbog lokalnih značajki terena. Tako na području priobalja i otoka uz termički uvjetovanu obalnu cirkulaciju i cirkulaciju obronka, veliki utjecaj na strujanje, osobito na njegovu promjenu s visinom, ima i blizina i položaj planinskog zaleđa</w:t>
      </w:r>
      <w:r>
        <w:rPr>
          <w:color w:val="auto"/>
          <w:szCs w:val="20"/>
          <w:lang w:eastAsia="hr-HR"/>
        </w:rPr>
        <w:t xml:space="preserve"> koji u određenim vremenskim uvjetima može pogodovati pojavi vremenskih situacija karakteriziranih pojavom pojačanog vjetra velikog horizontalnog i vertikalnog smicanja, turbulencije, te znatnih uzlaznih i silaznih gibanja zraka. Dakle, </w:t>
      </w:r>
      <w:proofErr w:type="spellStart"/>
      <w:r>
        <w:rPr>
          <w:color w:val="auto"/>
          <w:szCs w:val="20"/>
          <w:lang w:eastAsia="hr-HR"/>
        </w:rPr>
        <w:t>vjetrovne</w:t>
      </w:r>
      <w:proofErr w:type="spellEnd"/>
      <w:r>
        <w:rPr>
          <w:color w:val="auto"/>
          <w:szCs w:val="20"/>
          <w:lang w:eastAsia="hr-HR"/>
        </w:rPr>
        <w:t xml:space="preserve"> prilike o</w:t>
      </w:r>
      <w:r>
        <w:rPr>
          <w:color w:val="auto"/>
          <w:szCs w:val="20"/>
          <w:lang w:eastAsia="hr-HR"/>
        </w:rPr>
        <w:t>dređene su zemljopisnim položajem, razdiobom baričkih sustava opće cirkulacije, utjecajem mora i kopnenog zaleđa, dobom dana i godine i dr. Svakako su pojedini lokaliteti pod utjecajem i drugih čimbenika kao što su izloženost, konkavnost i konveksnost relj</w:t>
      </w:r>
      <w:r>
        <w:rPr>
          <w:color w:val="auto"/>
          <w:szCs w:val="20"/>
          <w:lang w:eastAsia="hr-HR"/>
        </w:rPr>
        <w:t>efa, nadmorska visina i sl. Posljedica svega navedenog je velika prostorna promjenjivost brzine vjetra na području Hrvatske. Osnovna značajka prostorne razdiobe srednje godišnje brzine vjetra je znatno veća srednja brzina vjetra u priobalju i na otocima ne</w:t>
      </w:r>
      <w:r>
        <w:rPr>
          <w:color w:val="auto"/>
          <w:szCs w:val="20"/>
          <w:lang w:eastAsia="hr-HR"/>
        </w:rPr>
        <w:t>go u kontinentalnim dijelu Hrvatske.</w:t>
      </w:r>
    </w:p>
    <w:p w:rsidR="00A07D92" w:rsidRDefault="00A07D92">
      <w:pPr>
        <w:rPr>
          <w:rFonts w:eastAsiaTheme="majorEastAsia"/>
          <w:u w:val="single"/>
        </w:rPr>
      </w:pPr>
    </w:p>
    <w:p w:rsidR="00A07D92" w:rsidRDefault="00495E63">
      <w:pPr>
        <w:rPr>
          <w:rFonts w:eastAsiaTheme="majorEastAsia"/>
          <w:u w:val="single"/>
        </w:rPr>
      </w:pPr>
      <w:r>
        <w:rPr>
          <w:rFonts w:eastAsiaTheme="majorEastAsia"/>
          <w:u w:val="single"/>
        </w:rPr>
        <w:t>RAZVOJ DOGAĐAJA KOJI JE PRETHODIO VELIKOJ NESREĆI</w:t>
      </w:r>
    </w:p>
    <w:p w:rsidR="00A07D92" w:rsidRDefault="00495E63">
      <w:pPr>
        <w:rPr>
          <w:lang w:bidi="en-US"/>
        </w:rPr>
      </w:pPr>
      <w:r>
        <w:rPr>
          <w:lang w:bidi="en-US"/>
        </w:rPr>
        <w:t>Događaj koji je prethodio velikoj nesreći je pojava olujnog i orkanskog nevremena na području Grada Malog Lošinja</w:t>
      </w:r>
    </w:p>
    <w:p w:rsidR="00A07D92" w:rsidRDefault="00495E63">
      <w:pPr>
        <w:rPr>
          <w:rFonts w:eastAsiaTheme="majorEastAsia"/>
          <w:u w:val="single"/>
        </w:rPr>
      </w:pPr>
      <w:r>
        <w:rPr>
          <w:rFonts w:eastAsiaTheme="majorEastAsia"/>
          <w:u w:val="single"/>
        </w:rPr>
        <w:t>OKIDAČ KOJI JE UZROKOVAO VELIKU NESREĆU</w:t>
      </w:r>
    </w:p>
    <w:p w:rsidR="00A07D92" w:rsidRDefault="00495E63">
      <w:pPr>
        <w:rPr>
          <w:color w:val="auto"/>
        </w:rPr>
      </w:pPr>
      <w:r>
        <w:rPr>
          <w:color w:val="auto"/>
        </w:rPr>
        <w:lastRenderedPageBreak/>
        <w:t xml:space="preserve">Moguća velika </w:t>
      </w:r>
      <w:r>
        <w:rPr>
          <w:color w:val="auto"/>
        </w:rPr>
        <w:t>razaranja u toku kratkog vremenskog razdoblja i neposredne opasnosti po ljudske živote veće nego kod bilo koje druge prirodne ugroze.</w:t>
      </w:r>
    </w:p>
    <w:p w:rsidR="00A07D92" w:rsidRDefault="00A07D92">
      <w:pPr>
        <w:rPr>
          <w:sz w:val="23"/>
          <w:szCs w:val="23"/>
        </w:rPr>
      </w:pPr>
    </w:p>
    <w:p w:rsidR="00A07D92" w:rsidRDefault="00495E63">
      <w:pPr>
        <w:keepNext/>
        <w:keepLines/>
        <w:spacing w:before="40"/>
        <w:outlineLvl w:val="2"/>
        <w:rPr>
          <w:rFonts w:cstheme="majorBidi"/>
          <w:iCs/>
          <w:color w:val="54883D"/>
          <w:sz w:val="28"/>
          <w:lang w:bidi="en-US"/>
        </w:rPr>
      </w:pPr>
      <w:bookmarkStart w:id="336" w:name="_Toc514656340"/>
      <w:bookmarkStart w:id="337" w:name="_Toc136522867"/>
      <w:bookmarkStart w:id="338" w:name="_Toc127882972"/>
      <w:r>
        <w:rPr>
          <w:rFonts w:cstheme="majorBidi"/>
          <w:iCs/>
          <w:color w:val="54883D"/>
          <w:sz w:val="28"/>
          <w:lang w:bidi="en-US"/>
        </w:rPr>
        <w:t xml:space="preserve">6.6.6 </w:t>
      </w:r>
      <w:bookmarkEnd w:id="336"/>
      <w:r>
        <w:rPr>
          <w:rFonts w:cstheme="majorBidi"/>
          <w:iCs/>
          <w:color w:val="54883D"/>
          <w:sz w:val="28"/>
          <w:lang w:bidi="en-US"/>
        </w:rPr>
        <w:t>Događaj s najgorim mogućim posljedicama</w:t>
      </w:r>
      <w:bookmarkEnd w:id="337"/>
      <w:bookmarkEnd w:id="338"/>
    </w:p>
    <w:p w:rsidR="00A07D92" w:rsidRDefault="00495E63">
      <w:pPr>
        <w:rPr>
          <w:iCs/>
          <w:color w:val="auto"/>
        </w:rPr>
      </w:pPr>
      <w:r>
        <w:rPr>
          <w:iCs/>
          <w:color w:val="auto"/>
        </w:rPr>
        <w:t>Pojava olujnog i orkanskog nevremena koje je prouzročilo velike materijalne</w:t>
      </w:r>
      <w:r>
        <w:rPr>
          <w:iCs/>
          <w:color w:val="auto"/>
        </w:rPr>
        <w:t xml:space="preserve"> šteta na području Grada te ugrozilo život i zdravlje ljudi.</w:t>
      </w:r>
    </w:p>
    <w:p w:rsidR="00A07D92" w:rsidRDefault="00495E63">
      <w:pPr>
        <w:rPr>
          <w:rFonts w:eastAsiaTheme="majorEastAsia"/>
          <w:i/>
          <w:color w:val="54883D"/>
          <w:u w:val="single"/>
        </w:rPr>
      </w:pPr>
      <w:r>
        <w:rPr>
          <w:rFonts w:eastAsiaTheme="majorEastAsia"/>
          <w:i/>
          <w:color w:val="54883D"/>
          <w:u w:val="single"/>
        </w:rPr>
        <w:t>Posljedice</w:t>
      </w:r>
    </w:p>
    <w:p w:rsidR="00A07D92" w:rsidRDefault="00495E63">
      <w:pPr>
        <w:rPr>
          <w:rFonts w:eastAsiaTheme="majorEastAsia"/>
          <w:u w:val="single"/>
        </w:rPr>
      </w:pPr>
      <w:r>
        <w:rPr>
          <w:rFonts w:eastAsiaTheme="majorEastAsia"/>
          <w:u w:val="single"/>
        </w:rPr>
        <w:t xml:space="preserve"> Život i zdravlje ljudi</w:t>
      </w:r>
    </w:p>
    <w:p w:rsidR="00A07D92" w:rsidRDefault="00495E63">
      <w:r>
        <w:t>Na području Grada može doći do ozljeđivanja osoba ali se ne očekuju ozbiljni negativni utjecaji na zdravlje i život ljudi u slučaju nastanka olujnog vjetra.</w:t>
      </w:r>
    </w:p>
    <w:p w:rsidR="00A07D92" w:rsidRDefault="00495E63">
      <w:pPr>
        <w:spacing w:before="0" w:after="240"/>
        <w:jc w:val="center"/>
        <w:rPr>
          <w:rFonts w:eastAsia="Calibri"/>
          <w:bCs/>
          <w:color w:val="54883D"/>
          <w:sz w:val="20"/>
          <w:szCs w:val="18"/>
        </w:rPr>
      </w:pPr>
      <w:r>
        <w:rPr>
          <w:rFonts w:eastAsia="Calibri"/>
          <w:bCs/>
          <w:color w:val="54883D"/>
          <w:sz w:val="20"/>
          <w:szCs w:val="18"/>
        </w:rPr>
        <w:t>Tab</w:t>
      </w:r>
      <w:r>
        <w:rPr>
          <w:rFonts w:eastAsia="Calibri"/>
          <w:bCs/>
          <w:color w:val="54883D"/>
          <w:sz w:val="20"/>
          <w:szCs w:val="18"/>
        </w:rPr>
        <w:t xml:space="preserve">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64</w:t>
      </w:r>
      <w:r>
        <w:rPr>
          <w:rFonts w:eastAsia="Calibri"/>
          <w:bCs/>
          <w:sz w:val="20"/>
          <w:szCs w:val="18"/>
        </w:rPr>
        <w:fldChar w:fldCharType="end"/>
      </w:r>
      <w:r>
        <w:rPr>
          <w:rFonts w:eastAsia="Calibri"/>
          <w:bCs/>
          <w:color w:val="54883D"/>
          <w:sz w:val="20"/>
          <w:szCs w:val="18"/>
          <w:lang w:bidi="en-US"/>
        </w:rPr>
        <w:t xml:space="preserve">. </w:t>
      </w:r>
      <w:r>
        <w:rPr>
          <w:rFonts w:eastAsia="Calibri"/>
          <w:bCs/>
          <w:color w:val="54883D"/>
          <w:sz w:val="20"/>
          <w:szCs w:val="18"/>
        </w:rPr>
        <w:t>Vrijednost kriterija za posljedice na život i zdravlje ljudi po kategorijama – olujni vjetar</w:t>
      </w:r>
    </w:p>
    <w:tbl>
      <w:tblPr>
        <w:tblStyle w:val="ivopisnatablicareetke6-isticanje374"/>
        <w:tblW w:w="9060" w:type="dxa"/>
        <w:jc w:val="center"/>
        <w:tblLook w:val="04A0" w:firstRow="1" w:lastRow="0" w:firstColumn="1" w:lastColumn="0" w:noHBand="0" w:noVBand="1"/>
      </w:tblPr>
      <w:tblGrid>
        <w:gridCol w:w="2483"/>
        <w:gridCol w:w="2280"/>
        <w:gridCol w:w="2631"/>
        <w:gridCol w:w="1666"/>
      </w:tblGrid>
      <w:tr w:rsidR="00A07D92" w:rsidTr="00A07D92">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2"/>
              </w:rPr>
            </w:pPr>
            <w:r>
              <w:rPr>
                <w:color w:val="auto"/>
                <w:sz w:val="20"/>
                <w:szCs w:val="22"/>
              </w:rPr>
              <w:t>KATEGORIJA</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Pr>
                <w:color w:val="7B7B7B"/>
                <w:sz w:val="20"/>
              </w:rPr>
              <w:t>POSLJEDICE</w:t>
            </w:r>
          </w:p>
        </w:tc>
        <w:tc>
          <w:tcPr>
            <w:tcW w:w="263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Pr>
                <w:color w:val="auto"/>
                <w:sz w:val="20"/>
                <w:szCs w:val="22"/>
              </w:rPr>
              <w:t>BROJ UGROŽENIH OSOBA %</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Pr>
                <w:color w:val="auto"/>
                <w:sz w:val="20"/>
                <w:szCs w:val="22"/>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1</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7B7B7B"/>
                <w:sz w:val="20"/>
              </w:rPr>
              <w:t>Neznatne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auto"/>
                <w:sz w:val="20"/>
                <w:szCs w:val="22"/>
              </w:rPr>
              <w:t>&lt; 0,001</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r>
              <w:rPr>
                <w:b/>
                <w:color w:val="auto"/>
                <w:sz w:val="20"/>
                <w:szCs w:val="22"/>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2</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7B7B7B"/>
                <w:sz w:val="20"/>
              </w:rPr>
              <w:t>Male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auto"/>
                <w:sz w:val="20"/>
                <w:szCs w:val="22"/>
              </w:rPr>
              <w:t>0,001 - 0,0046</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000000" w:firstRow="0" w:lastRow="0" w:firstColumn="0" w:lastColumn="0" w:oddVBand="0" w:evenVBand="0" w:oddHBand="0" w:evenHBand="0" w:firstRowFirstColumn="0" w:firstRowLastColumn="0" w:lastRowFirstColumn="0" w:lastRowLastColumn="0"/>
              <w:rPr>
                <w:b/>
                <w:color w:val="auto"/>
                <w:sz w:val="20"/>
                <w:szCs w:val="22"/>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3</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7B7B7B"/>
                <w:sz w:val="20"/>
              </w:rPr>
              <w:t>Umjerene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auto"/>
                <w:sz w:val="20"/>
                <w:szCs w:val="22"/>
              </w:rPr>
              <w:t>0,0047 - 0,011</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4</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7B7B7B"/>
                <w:sz w:val="20"/>
              </w:rPr>
              <w:t>Značajne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auto"/>
                <w:sz w:val="20"/>
                <w:szCs w:val="22"/>
              </w:rPr>
              <w:t>0,012 - 0,035</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000000" w:firstRow="0" w:lastRow="0" w:firstColumn="0" w:lastColumn="0" w:oddVBand="0" w:evenVBand="0" w:oddHBand="0" w:evenHBand="0" w:firstRowFirstColumn="0" w:firstRowLastColumn="0" w:lastRowFirstColumn="0" w:lastRowLastColumn="0"/>
              <w:rPr>
                <w:b/>
                <w:color w:val="auto"/>
                <w:sz w:val="20"/>
                <w:szCs w:val="22"/>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5</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7B7B7B"/>
                <w:sz w:val="20"/>
              </w:rPr>
              <w:t>Katastrofalne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auto"/>
                <w:sz w:val="20"/>
                <w:szCs w:val="22"/>
              </w:rPr>
              <w:t>0,036 &gt;</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p>
        </w:tc>
      </w:tr>
    </w:tbl>
    <w:p w:rsidR="00A07D92" w:rsidRDefault="00A07D92">
      <w:pPr>
        <w:rPr>
          <w:u w:val="single"/>
        </w:rPr>
      </w:pPr>
    </w:p>
    <w:p w:rsidR="00A07D92" w:rsidRDefault="00495E63">
      <w:pPr>
        <w:rPr>
          <w:rFonts w:eastAsiaTheme="majorEastAsia"/>
          <w:u w:val="single"/>
        </w:rPr>
      </w:pPr>
      <w:r>
        <w:rPr>
          <w:rFonts w:eastAsiaTheme="majorEastAsia"/>
          <w:u w:val="single"/>
        </w:rPr>
        <w:t>Gospodarstvo</w:t>
      </w:r>
    </w:p>
    <w:p w:rsidR="00A07D92" w:rsidRDefault="00495E63">
      <w:pPr>
        <w:shd w:val="clear" w:color="auto" w:fill="FFFFFF"/>
        <w:spacing w:before="120" w:after="120"/>
        <w:ind w:left="6" w:right="74"/>
        <w:rPr>
          <w:rFonts w:eastAsia="Calibri" w:cs="Times New Roman"/>
          <w:color w:val="auto"/>
          <w:szCs w:val="22"/>
          <w:lang w:eastAsia="hr-HR"/>
        </w:rPr>
      </w:pPr>
      <w:r>
        <w:t>U slučaju pojave olujnog vjetra nastat će š</w:t>
      </w:r>
      <w:r>
        <w:rPr>
          <w:rFonts w:eastAsia="Calibri" w:cs="Times New Roman"/>
          <w:color w:val="auto"/>
          <w:szCs w:val="22"/>
          <w:lang w:eastAsia="hr-HR"/>
        </w:rPr>
        <w:t xml:space="preserve">tete u poljoprivredi, voćarstvu, </w:t>
      </w:r>
      <w:proofErr w:type="spellStart"/>
      <w:r>
        <w:rPr>
          <w:rFonts w:eastAsia="Calibri" w:cs="Times New Roman"/>
          <w:color w:val="auto"/>
          <w:szCs w:val="22"/>
          <w:lang w:eastAsia="hr-HR"/>
        </w:rPr>
        <w:t>vinogradarsvu</w:t>
      </w:r>
      <w:proofErr w:type="spellEnd"/>
      <w:r>
        <w:rPr>
          <w:rFonts w:eastAsia="Calibri" w:cs="Times New Roman"/>
          <w:color w:val="auto"/>
          <w:szCs w:val="22"/>
          <w:lang w:eastAsia="hr-HR"/>
        </w:rPr>
        <w:t xml:space="preserve"> i šumarstvu zbog polijeganja, prijeloma stabljike, kidanja cvjetova, otkidanja plodova, loma grana i cijelih stabala i drveća. </w:t>
      </w:r>
    </w:p>
    <w:p w:rsidR="00A07D92" w:rsidRDefault="00A07D92">
      <w:pPr>
        <w:spacing w:before="0" w:after="240"/>
        <w:rPr>
          <w:rFonts w:eastAsia="Calibri"/>
          <w:bCs/>
          <w:color w:val="54883D"/>
          <w:sz w:val="20"/>
          <w:szCs w:val="18"/>
        </w:rPr>
      </w:pPr>
    </w:p>
    <w:p w:rsidR="00A07D92" w:rsidRDefault="00495E63">
      <w:pPr>
        <w:spacing w:before="0" w:after="240"/>
        <w:jc w:val="center"/>
        <w:rPr>
          <w:rFonts w:eastAsia="Calibri"/>
          <w:bCs/>
          <w:i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65</w:t>
      </w:r>
      <w:r>
        <w:rPr>
          <w:rFonts w:eastAsia="Calibri"/>
          <w:bCs/>
          <w:sz w:val="20"/>
          <w:szCs w:val="18"/>
        </w:rPr>
        <w:fldChar w:fldCharType="end"/>
      </w:r>
      <w:r>
        <w:rPr>
          <w:rFonts w:eastAsia="Calibri"/>
          <w:bCs/>
          <w:color w:val="54883D"/>
          <w:sz w:val="20"/>
          <w:szCs w:val="18"/>
          <w:lang w:bidi="en-US"/>
        </w:rPr>
        <w:t>.</w:t>
      </w:r>
      <w:r>
        <w:rPr>
          <w:rFonts w:eastAsia="Calibri"/>
          <w:bCs/>
          <w:i/>
          <w:color w:val="54883D"/>
          <w:sz w:val="20"/>
          <w:szCs w:val="18"/>
          <w:lang w:bidi="en-US"/>
        </w:rPr>
        <w:t xml:space="preserve"> </w:t>
      </w:r>
      <w:r>
        <w:rPr>
          <w:rFonts w:eastAsia="Calibri"/>
          <w:bCs/>
          <w:iCs/>
          <w:color w:val="54883D"/>
          <w:sz w:val="20"/>
          <w:szCs w:val="18"/>
        </w:rPr>
        <w:t>Vrijednost kriterija za posljedice na gospoda</w:t>
      </w:r>
      <w:r>
        <w:rPr>
          <w:rFonts w:eastAsia="Calibri"/>
          <w:bCs/>
          <w:iCs/>
          <w:color w:val="54883D"/>
          <w:sz w:val="20"/>
          <w:szCs w:val="18"/>
        </w:rPr>
        <w:t>rstvo po kategorijama – olujni vjetar</w:t>
      </w:r>
    </w:p>
    <w:tbl>
      <w:tblPr>
        <w:tblStyle w:val="ivopisnatablicareetke6-isticanje3223"/>
        <w:tblW w:w="8439" w:type="dxa"/>
        <w:jc w:val="center"/>
        <w:tblLook w:val="04A0" w:firstRow="1" w:lastRow="0" w:firstColumn="1" w:lastColumn="0" w:noHBand="0" w:noVBand="1"/>
      </w:tblPr>
      <w:tblGrid>
        <w:gridCol w:w="1528"/>
        <w:gridCol w:w="2420"/>
        <w:gridCol w:w="2992"/>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rPr>
          <w:u w:val="single"/>
        </w:rPr>
      </w:pPr>
    </w:p>
    <w:p w:rsidR="00A07D92" w:rsidRDefault="00495E63">
      <w:pPr>
        <w:rPr>
          <w:rFonts w:eastAsiaTheme="majorEastAsia"/>
          <w:u w:val="single"/>
        </w:rPr>
      </w:pPr>
      <w:r>
        <w:rPr>
          <w:rFonts w:eastAsiaTheme="majorEastAsia"/>
          <w:u w:val="single"/>
        </w:rPr>
        <w:t>Društvena stabilnost i politika</w:t>
      </w:r>
    </w:p>
    <w:p w:rsidR="00A07D92" w:rsidRDefault="00495E63">
      <w:pPr>
        <w:rPr>
          <w:rFonts w:eastAsiaTheme="minorHAnsi"/>
          <w:b/>
          <w:u w:val="single"/>
        </w:rPr>
      </w:pPr>
      <w:r>
        <w:rPr>
          <w:rFonts w:eastAsiaTheme="minorHAnsi"/>
          <w:b/>
          <w:u w:val="single"/>
        </w:rPr>
        <w:t>Posljedice po kritičnu infrastrukturu:</w:t>
      </w:r>
    </w:p>
    <w:p w:rsidR="00A07D92" w:rsidRDefault="00495E63">
      <w:pPr>
        <w:rPr>
          <w:i/>
          <w:iCs/>
          <w:color w:val="54883D"/>
        </w:rPr>
      </w:pPr>
      <w:r>
        <w:rPr>
          <w:i/>
          <w:iCs/>
          <w:color w:val="54883D"/>
        </w:rPr>
        <w:t>Energetika</w:t>
      </w:r>
    </w:p>
    <w:p w:rsidR="00A07D92" w:rsidRDefault="00495E63">
      <w:pPr>
        <w:shd w:val="clear" w:color="auto" w:fill="FFFFFF"/>
        <w:suppressAutoHyphens/>
        <w:spacing w:before="120" w:after="120"/>
        <w:ind w:left="6" w:right="74"/>
        <w:textAlignment w:val="baseline"/>
        <w:rPr>
          <w:rFonts w:eastAsia="Calibri" w:cs="Times New Roman"/>
          <w:color w:val="auto"/>
          <w:szCs w:val="22"/>
          <w:lang w:eastAsia="hr-HR"/>
        </w:rPr>
      </w:pPr>
      <w:r>
        <w:rPr>
          <w:rFonts w:eastAsia="Calibri"/>
          <w:color w:val="auto"/>
          <w:lang w:eastAsia="hr-HR"/>
        </w:rPr>
        <w:lastRenderedPageBreak/>
        <w:t xml:space="preserve">U slučaju jakog olujnog i orkanskog nevremena može doći do oštećenja elektroenergetskih objekata prvenstveno dalekovoda snage što bi dovelo do </w:t>
      </w:r>
      <w:r>
        <w:rPr>
          <w:rFonts w:eastAsia="Calibri" w:cs="Times New Roman"/>
          <w:color w:val="auto"/>
          <w:szCs w:val="22"/>
          <w:lang w:eastAsia="hr-HR"/>
        </w:rPr>
        <w:t xml:space="preserve">prekida u </w:t>
      </w:r>
      <w:r>
        <w:rPr>
          <w:rFonts w:eastAsia="Calibri" w:cs="Times New Roman"/>
          <w:color w:val="auto"/>
          <w:szCs w:val="22"/>
          <w:lang w:eastAsia="hr-HR"/>
        </w:rPr>
        <w:t>napajanju električnom energijom na području Grada.</w:t>
      </w:r>
    </w:p>
    <w:p w:rsidR="00A07D92" w:rsidRDefault="00A07D92">
      <w:pPr>
        <w:spacing w:before="120" w:after="120"/>
        <w:contextualSpacing/>
        <w:jc w:val="left"/>
        <w:rPr>
          <w:rFonts w:eastAsiaTheme="minorEastAsia"/>
          <w:i/>
          <w:color w:val="54883D"/>
          <w:lang w:eastAsia="hr-HR"/>
        </w:rPr>
      </w:pPr>
    </w:p>
    <w:p w:rsidR="00A07D92" w:rsidRDefault="00495E63">
      <w:pPr>
        <w:spacing w:before="120" w:after="120"/>
        <w:contextualSpacing/>
        <w:jc w:val="left"/>
        <w:rPr>
          <w:rFonts w:ascii="Adviso OTF Std" w:eastAsiaTheme="minorEastAsia" w:hAnsi="Adviso OTF Std"/>
          <w:i/>
          <w:color w:val="54883D"/>
          <w:lang w:eastAsia="hr-HR"/>
        </w:rPr>
      </w:pPr>
      <w:r>
        <w:rPr>
          <w:rFonts w:eastAsiaTheme="minorEastAsia"/>
          <w:i/>
          <w:color w:val="54883D"/>
          <w:lang w:eastAsia="hr-HR"/>
        </w:rPr>
        <w:t xml:space="preserve">Posljedice po telekomunikacijski sustav </w:t>
      </w:r>
    </w:p>
    <w:p w:rsidR="00A07D92" w:rsidRDefault="00495E63">
      <w:pPr>
        <w:shd w:val="clear" w:color="auto" w:fill="FFFFFF"/>
        <w:spacing w:before="120" w:after="120"/>
        <w:ind w:left="6" w:right="74"/>
        <w:rPr>
          <w:rFonts w:eastAsia="Calibri"/>
          <w:color w:val="auto"/>
          <w:szCs w:val="22"/>
          <w:lang w:eastAsia="hr-HR"/>
        </w:rPr>
      </w:pPr>
      <w:r>
        <w:rPr>
          <w:rFonts w:eastAsia="Calibri"/>
          <w:color w:val="auto"/>
          <w:szCs w:val="22"/>
          <w:lang w:eastAsia="hr-HR"/>
        </w:rPr>
        <w:t>Orkansko nevrijeme može oštetiti odašiljače signala te je moguć prekid mobilnih i fiksnih telefonskih veza.</w:t>
      </w:r>
    </w:p>
    <w:p w:rsidR="00A07D92" w:rsidRDefault="00495E63">
      <w:pPr>
        <w:shd w:val="clear" w:color="auto" w:fill="FFFFFF"/>
        <w:spacing w:before="120" w:after="120"/>
        <w:ind w:left="6" w:right="74"/>
        <w:rPr>
          <w:rFonts w:eastAsiaTheme="minorEastAsia"/>
          <w:i/>
          <w:color w:val="54883D"/>
          <w:lang w:eastAsia="hr-HR"/>
        </w:rPr>
      </w:pPr>
      <w:r>
        <w:rPr>
          <w:rFonts w:eastAsiaTheme="minorEastAsia"/>
          <w:i/>
          <w:color w:val="54883D"/>
          <w:lang w:eastAsia="hr-HR"/>
        </w:rPr>
        <w:t>Hrana</w:t>
      </w:r>
    </w:p>
    <w:p w:rsidR="00A07D92" w:rsidRDefault="00495E63">
      <w:pPr>
        <w:shd w:val="clear" w:color="auto" w:fill="FFFFFF"/>
        <w:spacing w:before="120" w:after="120"/>
        <w:ind w:left="6" w:right="74"/>
        <w:rPr>
          <w:rFonts w:eastAsia="Calibri"/>
          <w:color w:val="auto"/>
          <w:szCs w:val="22"/>
          <w:lang w:eastAsia="hr-HR"/>
        </w:rPr>
      </w:pPr>
      <w:r>
        <w:rPr>
          <w:rFonts w:eastAsia="Calibri"/>
          <w:color w:val="auto"/>
          <w:szCs w:val="22"/>
          <w:lang w:eastAsia="hr-HR"/>
        </w:rPr>
        <w:t xml:space="preserve">Štete na usjevima. Gubitak jednogodišnjih i </w:t>
      </w:r>
      <w:r>
        <w:rPr>
          <w:rFonts w:eastAsia="Calibri"/>
          <w:color w:val="auto"/>
          <w:szCs w:val="22"/>
          <w:lang w:eastAsia="hr-HR"/>
        </w:rPr>
        <w:t>višegodišnjih uroda, smanjeni prinosi, dio usjeva uništen.</w:t>
      </w:r>
    </w:p>
    <w:p w:rsidR="00A07D92" w:rsidRDefault="00495E63">
      <w:pPr>
        <w:spacing w:before="120" w:after="120"/>
        <w:rPr>
          <w:i/>
          <w:iCs/>
          <w:color w:val="54883D"/>
        </w:rPr>
      </w:pPr>
      <w:r>
        <w:rPr>
          <w:i/>
          <w:iCs/>
          <w:color w:val="54883D"/>
        </w:rPr>
        <w:t>Promet</w:t>
      </w:r>
    </w:p>
    <w:p w:rsidR="00A07D92" w:rsidRDefault="00495E63">
      <w:pPr>
        <w:spacing w:before="120" w:after="120"/>
        <w:rPr>
          <w:iCs/>
          <w:color w:val="54883D"/>
        </w:rPr>
      </w:pPr>
      <w:r>
        <w:t>Za vrijeme olujnog i orkanskog vjetra traje zabrana prometa na pojedinim dijelovima prometnica gdje su udari vjetra toliko jaki da može doći do prevrtanja vozila te se postavljanjem posebnih</w:t>
      </w:r>
      <w:r>
        <w:t xml:space="preserve"> zaštitnih zidova i znakova upozorava na jak bočni vjetar. Osim toga, može doći pada stabala na prometnicu što će uzrokovati kratkotrajni prekid prometa.</w:t>
      </w:r>
    </w:p>
    <w:p w:rsidR="00A07D92" w:rsidRDefault="00495E63">
      <w:pPr>
        <w:spacing w:before="120" w:after="120"/>
        <w:ind w:right="74"/>
        <w:rPr>
          <w:i/>
          <w:iCs/>
          <w:color w:val="54883D"/>
        </w:rPr>
      </w:pPr>
      <w:r>
        <w:rPr>
          <w:i/>
          <w:iCs/>
          <w:color w:val="54883D"/>
        </w:rPr>
        <w:t>Nacionalni spomenici i vrijednosti</w:t>
      </w:r>
    </w:p>
    <w:p w:rsidR="00A07D92" w:rsidRDefault="00495E63">
      <w:r>
        <w:t>U slučaju jakog olujnog nevremena pojedini  objekti kao što su sakr</w:t>
      </w:r>
      <w:r>
        <w:t>alni objekti, kurije, povijesne građevine i tradicionalne kuće pretrpjela bi određena oštećenja - pucanje prozorskih stakala, oštećenja krovišta.</w:t>
      </w:r>
    </w:p>
    <w:p w:rsidR="00A07D92" w:rsidRDefault="00495E63">
      <w:pPr>
        <w:spacing w:before="0" w:after="0"/>
        <w:jc w:val="center"/>
        <w:rPr>
          <w:rFonts w:eastAsia="Calibri"/>
          <w:b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66</w:t>
      </w:r>
      <w:r>
        <w:rPr>
          <w:rFonts w:eastAsia="Calibri"/>
          <w:bCs/>
          <w:sz w:val="20"/>
          <w:szCs w:val="18"/>
        </w:rPr>
        <w:fldChar w:fldCharType="end"/>
      </w:r>
      <w:r>
        <w:rPr>
          <w:rFonts w:eastAsia="Calibri"/>
          <w:bCs/>
          <w:color w:val="54883D"/>
          <w:sz w:val="20"/>
          <w:szCs w:val="18"/>
          <w:lang w:bidi="en-US"/>
        </w:rPr>
        <w:t xml:space="preserve">. </w:t>
      </w:r>
      <w:r>
        <w:rPr>
          <w:rFonts w:eastAsia="Calibri"/>
          <w:bCs/>
          <w:color w:val="54883D"/>
          <w:sz w:val="20"/>
          <w:szCs w:val="18"/>
        </w:rPr>
        <w:t>Vrijednost kriterija za posljedice na društvenu stabilnost i politiku</w:t>
      </w:r>
    </w:p>
    <w:p w:rsidR="00A07D92" w:rsidRDefault="00495E63">
      <w:pPr>
        <w:spacing w:before="0" w:after="0"/>
        <w:jc w:val="center"/>
        <w:rPr>
          <w:rFonts w:eastAsia="Calibri"/>
          <w:bCs/>
          <w:color w:val="54883D"/>
          <w:sz w:val="20"/>
          <w:szCs w:val="18"/>
        </w:rPr>
      </w:pPr>
      <w:r>
        <w:rPr>
          <w:rFonts w:eastAsia="Calibri"/>
          <w:bCs/>
          <w:color w:val="54883D"/>
          <w:sz w:val="20"/>
          <w:szCs w:val="18"/>
        </w:rPr>
        <w:t xml:space="preserve">- </w:t>
      </w:r>
      <w:r>
        <w:rPr>
          <w:rFonts w:eastAsia="Calibri"/>
          <w:bCs/>
          <w:color w:val="54883D"/>
          <w:sz w:val="20"/>
          <w:szCs w:val="18"/>
        </w:rPr>
        <w:t>oštećena kritična infrastruktura – olujni vjetar</w:t>
      </w:r>
    </w:p>
    <w:tbl>
      <w:tblPr>
        <w:tblStyle w:val="ivopisnatablicareetke6-isticanje3223"/>
        <w:tblW w:w="8439" w:type="dxa"/>
        <w:jc w:val="center"/>
        <w:tblLook w:val="04A0" w:firstRow="1" w:lastRow="0" w:firstColumn="1" w:lastColumn="0" w:noHBand="0" w:noVBand="1"/>
      </w:tblPr>
      <w:tblGrid>
        <w:gridCol w:w="1528"/>
        <w:gridCol w:w="2420"/>
        <w:gridCol w:w="2992"/>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rPr>
          <w:rFonts w:eastAsiaTheme="minorHAnsi"/>
          <w:b/>
          <w:u w:val="single"/>
        </w:rPr>
      </w:pPr>
    </w:p>
    <w:p w:rsidR="00A07D92" w:rsidRDefault="00495E63">
      <w:pPr>
        <w:rPr>
          <w:rFonts w:eastAsiaTheme="minorHAnsi"/>
          <w:b/>
          <w:u w:val="single"/>
        </w:rPr>
      </w:pPr>
      <w:r>
        <w:rPr>
          <w:rFonts w:eastAsiaTheme="minorHAnsi"/>
          <w:b/>
          <w:u w:val="single"/>
        </w:rPr>
        <w:t>Posljedice po građevine javnog društvenog značaja:</w:t>
      </w:r>
    </w:p>
    <w:p w:rsidR="00A07D92" w:rsidRDefault="00495E63">
      <w:pPr>
        <w:spacing w:after="0"/>
        <w:rPr>
          <w:iCs/>
          <w:color w:val="auto"/>
        </w:rPr>
      </w:pPr>
      <w:r>
        <w:rPr>
          <w:iCs/>
          <w:color w:val="auto"/>
        </w:rPr>
        <w:t>Zbog pojave orkanskog i jakog vjetra može doći do oštećenja na građevinama javnog društvenog značaja no posljedice su okarakterizirane kao male.</w:t>
      </w:r>
    </w:p>
    <w:p w:rsidR="00A07D92" w:rsidRDefault="00A07D92">
      <w:pPr>
        <w:spacing w:after="0"/>
      </w:pPr>
    </w:p>
    <w:p w:rsidR="00A07D92" w:rsidRDefault="00495E63">
      <w:pPr>
        <w:spacing w:before="0" w:after="240"/>
        <w:jc w:val="center"/>
        <w:rPr>
          <w:rFonts w:eastAsia="Calibri"/>
          <w:b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 xml:space="preserve">SEQ Tabela \* </w:instrText>
      </w:r>
      <w:r>
        <w:rPr>
          <w:rFonts w:eastAsia="Calibri"/>
          <w:bCs/>
          <w:sz w:val="20"/>
          <w:szCs w:val="18"/>
        </w:rPr>
        <w:instrText>ARABIC</w:instrText>
      </w:r>
      <w:r>
        <w:rPr>
          <w:rFonts w:eastAsia="Calibri"/>
          <w:bCs/>
          <w:sz w:val="20"/>
          <w:szCs w:val="18"/>
        </w:rPr>
        <w:fldChar w:fldCharType="separate"/>
      </w:r>
      <w:r>
        <w:rPr>
          <w:rFonts w:eastAsia="Calibri"/>
          <w:bCs/>
          <w:sz w:val="20"/>
          <w:szCs w:val="18"/>
        </w:rPr>
        <w:t>67</w:t>
      </w:r>
      <w:r>
        <w:rPr>
          <w:rFonts w:eastAsia="Calibri"/>
          <w:bCs/>
          <w:sz w:val="20"/>
          <w:szCs w:val="18"/>
        </w:rPr>
        <w:fldChar w:fldCharType="end"/>
      </w:r>
      <w:r>
        <w:rPr>
          <w:rFonts w:eastAsia="Calibri"/>
          <w:bCs/>
          <w:color w:val="54883D"/>
          <w:sz w:val="20"/>
          <w:szCs w:val="18"/>
          <w:lang w:bidi="en-US"/>
        </w:rPr>
        <w:t xml:space="preserve">. </w:t>
      </w:r>
      <w:r>
        <w:rPr>
          <w:rFonts w:eastAsia="Calibri"/>
          <w:bCs/>
          <w:color w:val="54883D"/>
          <w:sz w:val="20"/>
          <w:szCs w:val="18"/>
        </w:rPr>
        <w:t>Vrijednost kriterija za posljedice na društvenu stabilnost i politiku - štete/gubitci na ustanovama/građevinama javnog društvenog značaja – ekstremne temperature</w:t>
      </w:r>
    </w:p>
    <w:tbl>
      <w:tblPr>
        <w:tblStyle w:val="ivopisnatablicareetke6-isticanje3223"/>
        <w:tblW w:w="8439" w:type="dxa"/>
        <w:jc w:val="center"/>
        <w:tblLook w:val="04A0" w:firstRow="1" w:lastRow="0" w:firstColumn="1" w:lastColumn="0" w:noHBand="0" w:noVBand="1"/>
      </w:tblPr>
      <w:tblGrid>
        <w:gridCol w:w="1528"/>
        <w:gridCol w:w="2420"/>
        <w:gridCol w:w="2992"/>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spacing w:before="0" w:after="0"/>
        <w:rPr>
          <w:rFonts w:eastAsia="Calibri"/>
          <w:bCs/>
          <w:color w:val="54883D"/>
          <w:sz w:val="20"/>
          <w:szCs w:val="18"/>
        </w:rPr>
      </w:pPr>
    </w:p>
    <w:p w:rsidR="00A07D92" w:rsidRDefault="00495E63">
      <w:pPr>
        <w:spacing w:before="0" w:after="0"/>
        <w:jc w:val="center"/>
        <w:rPr>
          <w:rFonts w:eastAsia="Calibri"/>
          <w:bCs/>
          <w:color w:val="54883D"/>
          <w:sz w:val="20"/>
          <w:szCs w:val="18"/>
        </w:rPr>
      </w:pPr>
      <w:r>
        <w:rPr>
          <w:rFonts w:eastAsia="Calibri"/>
          <w:bCs/>
          <w:color w:val="54883D"/>
          <w:sz w:val="20"/>
          <w:szCs w:val="18"/>
        </w:rPr>
        <w:lastRenderedPageBreak/>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68</w:t>
      </w:r>
      <w:r>
        <w:rPr>
          <w:rFonts w:eastAsia="Calibri"/>
          <w:bCs/>
          <w:sz w:val="20"/>
          <w:szCs w:val="18"/>
        </w:rPr>
        <w:fldChar w:fldCharType="end"/>
      </w:r>
      <w:r>
        <w:rPr>
          <w:rFonts w:eastAsia="Calibri"/>
          <w:bCs/>
          <w:color w:val="54883D"/>
          <w:sz w:val="20"/>
          <w:szCs w:val="18"/>
          <w:lang w:bidi="en-US"/>
        </w:rPr>
        <w:t xml:space="preserve">. </w:t>
      </w:r>
      <w:r>
        <w:rPr>
          <w:rFonts w:eastAsia="Calibri"/>
          <w:bCs/>
          <w:color w:val="54883D"/>
          <w:sz w:val="20"/>
          <w:szCs w:val="18"/>
        </w:rPr>
        <w:t>Vrijednost kriterija za društvenu stabilnost i politiku</w:t>
      </w:r>
    </w:p>
    <w:p w:rsidR="00A07D92" w:rsidRDefault="00495E63">
      <w:pPr>
        <w:spacing w:before="0" w:after="240"/>
        <w:jc w:val="center"/>
        <w:rPr>
          <w:rFonts w:eastAsia="Calibri"/>
          <w:bCs/>
          <w:color w:val="54883D"/>
          <w:sz w:val="20"/>
          <w:szCs w:val="18"/>
        </w:rPr>
      </w:pPr>
      <w:r>
        <w:rPr>
          <w:rFonts w:eastAsia="Calibri"/>
          <w:bCs/>
          <w:color w:val="54883D"/>
          <w:sz w:val="20"/>
          <w:szCs w:val="18"/>
        </w:rPr>
        <w:t xml:space="preserve">- zbirno – </w:t>
      </w:r>
      <w:r>
        <w:rPr>
          <w:rFonts w:eastAsia="Calibri"/>
          <w:bCs/>
          <w:color w:val="54883D"/>
          <w:sz w:val="20"/>
          <w:szCs w:val="18"/>
        </w:rPr>
        <w:t>ekstremne temperature</w:t>
      </w:r>
    </w:p>
    <w:tbl>
      <w:tblPr>
        <w:tblStyle w:val="GridTable6ColorfulAccent3"/>
        <w:tblW w:w="7923" w:type="dxa"/>
        <w:jc w:val="center"/>
        <w:tblLook w:val="04A0" w:firstRow="1" w:lastRow="0" w:firstColumn="1" w:lastColumn="0" w:noHBand="0" w:noVBand="1"/>
      </w:tblPr>
      <w:tblGrid>
        <w:gridCol w:w="1557"/>
        <w:gridCol w:w="2108"/>
        <w:gridCol w:w="2834"/>
        <w:gridCol w:w="1424"/>
      </w:tblGrid>
      <w:tr w:rsidR="00A07D92" w:rsidTr="00A07D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rPr>
                <w:sz w:val="20"/>
              </w:rPr>
            </w:pPr>
            <w:r>
              <w:rPr>
                <w:color w:val="76923C" w:themeColor="accent3" w:themeShade="BF"/>
                <w:sz w:val="20"/>
              </w:rPr>
              <w:t>KATEGORIJA</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KRITIČNA INFRASTRUKTURA</w:t>
            </w: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USTANOVE/GRAĐEVINE JAVNOG DRUŠTVENOG ZNAČAJA</w:t>
            </w: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1.</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2.</w:t>
            </w:r>
          </w:p>
        </w:tc>
        <w:tc>
          <w:tcPr>
            <w:tcW w:w="21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themeColor="accent3" w:themeShade="BF"/>
                <w:sz w:val="20"/>
              </w:rPr>
              <w:t>x</w:t>
            </w:r>
          </w:p>
        </w:tc>
        <w:tc>
          <w:tcPr>
            <w:tcW w:w="28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themeColor="accent3" w:themeShade="BF"/>
                <w:sz w:val="20"/>
              </w:rPr>
              <w:t>x</w:t>
            </w:r>
          </w:p>
        </w:tc>
        <w:tc>
          <w:tcPr>
            <w:tcW w:w="14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themeColor="accent3" w:themeShade="BF"/>
                <w:sz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3.</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4.</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5.</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r>
    </w:tbl>
    <w:p w:rsidR="00A07D92" w:rsidRDefault="00A07D92">
      <w:pPr>
        <w:rPr>
          <w:i/>
          <w:iCs/>
          <w:color w:val="54883D"/>
        </w:rPr>
      </w:pPr>
    </w:p>
    <w:p w:rsidR="00A07D92" w:rsidRDefault="00495E63">
      <w:pPr>
        <w:rPr>
          <w:i/>
          <w:iCs/>
          <w:color w:val="54883D"/>
        </w:rPr>
      </w:pPr>
      <w:r>
        <w:rPr>
          <w:i/>
          <w:iCs/>
          <w:color w:val="54883D"/>
        </w:rPr>
        <w:t>Vjerojatnost događaja</w:t>
      </w:r>
    </w:p>
    <w:p w:rsidR="00A07D92" w:rsidRDefault="00495E63">
      <w:r>
        <w:t xml:space="preserve">Frekvencija događaja temelji se na podacima o pojavnosti orkanskog ili olujnog </w:t>
      </w:r>
      <w:r>
        <w:t>nevremena na području Grada.</w:t>
      </w:r>
    </w:p>
    <w:p w:rsidR="00A07D92" w:rsidRDefault="00495E63">
      <w:pPr>
        <w:spacing w:before="0" w:after="240"/>
        <w:jc w:val="center"/>
        <w:rPr>
          <w:rFonts w:eastAsia="Calibri"/>
          <w:bCs/>
          <w:color w:val="54883D"/>
          <w:sz w:val="20"/>
          <w:szCs w:val="18"/>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69</w:t>
      </w:r>
      <w:r>
        <w:rPr>
          <w:rFonts w:eastAsia="Calibri"/>
          <w:bCs/>
          <w:sz w:val="20"/>
          <w:szCs w:val="18"/>
        </w:rPr>
        <w:fldChar w:fldCharType="end"/>
      </w:r>
      <w:r>
        <w:rPr>
          <w:rFonts w:eastAsia="Calibri"/>
          <w:bCs/>
          <w:color w:val="54883D"/>
          <w:sz w:val="20"/>
          <w:szCs w:val="18"/>
          <w:lang w:bidi="en-US"/>
        </w:rPr>
        <w:t xml:space="preserve">. </w:t>
      </w:r>
      <w:r>
        <w:rPr>
          <w:rFonts w:eastAsia="Calibri"/>
          <w:bCs/>
          <w:color w:val="54883D"/>
          <w:sz w:val="20"/>
          <w:szCs w:val="18"/>
        </w:rPr>
        <w:t>Vjerojatnost / frekvencija – olujni vjetar</w:t>
      </w:r>
    </w:p>
    <w:tbl>
      <w:tblPr>
        <w:tblStyle w:val="GridTable6ColorfulAccent3"/>
        <w:tblW w:w="9634" w:type="dxa"/>
        <w:tblLook w:val="04A0" w:firstRow="1" w:lastRow="0" w:firstColumn="1" w:lastColumn="0" w:noHBand="0" w:noVBand="1"/>
      </w:tblPr>
      <w:tblGrid>
        <w:gridCol w:w="1554"/>
        <w:gridCol w:w="1701"/>
        <w:gridCol w:w="1841"/>
        <w:gridCol w:w="2977"/>
        <w:gridCol w:w="1561"/>
      </w:tblGrid>
      <w:tr w:rsidR="00A07D92" w:rsidTr="00A07D92">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szCs w:val="20"/>
              </w:rPr>
            </w:pPr>
            <w:r>
              <w:rPr>
                <w:color w:val="76923C" w:themeColor="accent3" w:themeShade="BF"/>
                <w:sz w:val="20"/>
                <w:szCs w:val="20"/>
              </w:rPr>
              <w:t>KATEGORIJA</w:t>
            </w:r>
          </w:p>
        </w:tc>
        <w:tc>
          <w:tcPr>
            <w:tcW w:w="8080" w:type="dxa"/>
            <w:gridSpan w:val="4"/>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VJEROJATNOST / FREKVENCIJA</w:t>
            </w:r>
          </w:p>
        </w:tc>
      </w:tr>
      <w:tr w:rsidR="00A07D92" w:rsidTr="00A07D92">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4"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rPr>
                <w:b w:val="0"/>
                <w:color w:val="76923C" w:themeColor="accent3" w:themeShade="BF"/>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KVALITATIVNO</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VJEROJATNOST</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FREKVENCIJA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ODABRANO</w:t>
            </w: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1</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&lt;1 %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2</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w:t>
            </w:r>
            <w:r>
              <w:rPr>
                <w:color w:val="76923C" w:themeColor="accent3" w:themeShade="BF"/>
                <w:sz w:val="20"/>
                <w:szCs w:val="20"/>
              </w:rPr>
              <w:t xml:space="preserve"> – 5 %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x</w:t>
            </w: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3</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4</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70"/>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5</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szCs w:val="20"/>
              </w:rPr>
            </w:pPr>
          </w:p>
        </w:tc>
      </w:tr>
    </w:tbl>
    <w:p w:rsidR="00A07D92" w:rsidRDefault="00A07D92"/>
    <w:p w:rsidR="00A07D92" w:rsidRDefault="00A07D92"/>
    <w:p w:rsidR="00A07D92" w:rsidRDefault="00495E63">
      <w:pPr>
        <w:keepNext/>
        <w:keepLines/>
        <w:spacing w:before="40"/>
        <w:outlineLvl w:val="2"/>
        <w:rPr>
          <w:rFonts w:cstheme="majorBidi"/>
          <w:iCs/>
          <w:color w:val="54883D"/>
          <w:sz w:val="28"/>
          <w:lang w:bidi="en-US"/>
        </w:rPr>
      </w:pPr>
      <w:bookmarkStart w:id="339" w:name="_Toc136522868"/>
      <w:bookmarkStart w:id="340" w:name="_Toc127882973"/>
      <w:r>
        <w:rPr>
          <w:rFonts w:cstheme="majorBidi"/>
          <w:iCs/>
          <w:color w:val="54883D"/>
          <w:sz w:val="28"/>
          <w:lang w:bidi="en-US"/>
        </w:rPr>
        <w:t>6.6.7 Podaci, izvori i metode proračuna</w:t>
      </w:r>
      <w:bookmarkEnd w:id="339"/>
      <w:bookmarkEnd w:id="340"/>
    </w:p>
    <w:p w:rsidR="00A07D92" w:rsidRDefault="00495E63">
      <w:r>
        <w:t xml:space="preserve">Prilikom izračuna zona </w:t>
      </w:r>
      <w:r>
        <w:t>ugroženosti i procjene rizika korišteni su podaci iz:</w:t>
      </w:r>
    </w:p>
    <w:p w:rsidR="00A07D92" w:rsidRDefault="00495E63">
      <w:pPr>
        <w:numPr>
          <w:ilvl w:val="0"/>
          <w:numId w:val="5"/>
        </w:numPr>
        <w:tabs>
          <w:tab w:val="left" w:pos="2445"/>
        </w:tabs>
        <w:spacing w:before="72" w:after="72"/>
        <w:contextualSpacing/>
        <w:rPr>
          <w:szCs w:val="22"/>
          <w:lang w:eastAsia="hr-HR"/>
        </w:rPr>
      </w:pPr>
      <w:r>
        <w:rPr>
          <w:szCs w:val="22"/>
          <w:lang w:eastAsia="hr-HR"/>
        </w:rPr>
        <w:t>Smjernice za izradu Procjene rizika od velikih nesreća za područje Primorsko-goranske  županije, veljača 2017. godine</w:t>
      </w:r>
    </w:p>
    <w:p w:rsidR="00A07D92" w:rsidRDefault="00495E63">
      <w:pPr>
        <w:numPr>
          <w:ilvl w:val="0"/>
          <w:numId w:val="5"/>
        </w:numPr>
        <w:tabs>
          <w:tab w:val="left" w:pos="2445"/>
        </w:tabs>
        <w:spacing w:before="72" w:after="72"/>
        <w:contextualSpacing/>
        <w:rPr>
          <w:szCs w:val="22"/>
          <w:lang w:eastAsia="hr-HR"/>
        </w:rPr>
      </w:pPr>
      <w:r>
        <w:rPr>
          <w:szCs w:val="22"/>
          <w:lang w:eastAsia="hr-HR"/>
        </w:rPr>
        <w:t>Grad Mali Lošinj,</w:t>
      </w:r>
    </w:p>
    <w:p w:rsidR="00A07D92" w:rsidRDefault="00495E63">
      <w:pPr>
        <w:numPr>
          <w:ilvl w:val="0"/>
          <w:numId w:val="5"/>
        </w:numPr>
        <w:tabs>
          <w:tab w:val="left" w:pos="2445"/>
        </w:tabs>
        <w:spacing w:before="72" w:after="72"/>
        <w:contextualSpacing/>
        <w:rPr>
          <w:szCs w:val="22"/>
          <w:lang w:eastAsia="hr-HR"/>
        </w:rPr>
      </w:pPr>
      <w:r>
        <w:rPr>
          <w:szCs w:val="22"/>
          <w:lang w:eastAsia="hr-HR"/>
        </w:rPr>
        <w:t xml:space="preserve">Procjena rizika od katastrofa za Republiku Hrvatsku, </w:t>
      </w:r>
    </w:p>
    <w:p w:rsidR="00A07D92" w:rsidRDefault="00495E63">
      <w:pPr>
        <w:numPr>
          <w:ilvl w:val="0"/>
          <w:numId w:val="5"/>
        </w:numPr>
        <w:tabs>
          <w:tab w:val="left" w:pos="2445"/>
        </w:tabs>
        <w:spacing w:before="72" w:after="72"/>
        <w:contextualSpacing/>
        <w:rPr>
          <w:szCs w:val="22"/>
          <w:lang w:eastAsia="hr-HR"/>
        </w:rPr>
      </w:pPr>
      <w:r>
        <w:rPr>
          <w:szCs w:val="22"/>
          <w:lang w:eastAsia="hr-HR"/>
        </w:rPr>
        <w:t xml:space="preserve">Državnog </w:t>
      </w:r>
      <w:r>
        <w:rPr>
          <w:szCs w:val="22"/>
          <w:lang w:eastAsia="hr-HR"/>
        </w:rPr>
        <w:t>hidrometeorološkog zavoda.</w:t>
      </w:r>
    </w:p>
    <w:p w:rsidR="00A07D92" w:rsidRDefault="00A07D92"/>
    <w:p w:rsidR="00A07D92" w:rsidRDefault="00A07D92"/>
    <w:p w:rsidR="00A07D92" w:rsidRDefault="00A07D92"/>
    <w:p w:rsidR="00A07D92" w:rsidRDefault="00A07D92"/>
    <w:p w:rsidR="00A07D92" w:rsidRDefault="00495E63">
      <w:pPr>
        <w:spacing w:before="0" w:after="200"/>
        <w:jc w:val="left"/>
      </w:pPr>
      <w:r>
        <w:br w:type="page"/>
      </w:r>
    </w:p>
    <w:p w:rsidR="00A07D92" w:rsidRDefault="00495E63">
      <w:pPr>
        <w:keepNext/>
        <w:keepLines/>
        <w:spacing w:before="40"/>
        <w:outlineLvl w:val="2"/>
        <w:rPr>
          <w:rFonts w:cstheme="majorBidi"/>
          <w:iCs/>
          <w:color w:val="54883D"/>
          <w:sz w:val="28"/>
          <w:lang w:bidi="en-US"/>
        </w:rPr>
      </w:pPr>
      <w:bookmarkStart w:id="341" w:name="_Toc136522869"/>
      <w:bookmarkStart w:id="342" w:name="_Toc127882974"/>
      <w:bookmarkStart w:id="343" w:name="_Toc514656341"/>
      <w:r>
        <w:rPr>
          <w:rFonts w:cstheme="majorBidi"/>
          <w:iCs/>
          <w:color w:val="54883D"/>
          <w:sz w:val="28"/>
          <w:lang w:bidi="en-US"/>
        </w:rPr>
        <w:lastRenderedPageBreak/>
        <w:t>6.6.8 Matrice rizika</w:t>
      </w:r>
      <w:bookmarkEnd w:id="341"/>
      <w:bookmarkEnd w:id="342"/>
      <w:bookmarkEnd w:id="343"/>
    </w:p>
    <w:p w:rsidR="00A07D92" w:rsidRDefault="00495E63">
      <w:r>
        <w:t>Rizik: Vjetar</w:t>
      </w:r>
    </w:p>
    <w:p w:rsidR="00A07D92" w:rsidRDefault="00495E63">
      <w:r>
        <w:t xml:space="preserve">Naziv scenarija: </w:t>
      </w:r>
      <w:r>
        <w:rPr>
          <w:szCs w:val="20"/>
        </w:rPr>
        <w:t>Pojava olujnog vjetra na području Grada Malog Lošinja</w:t>
      </w:r>
    </w:p>
    <w:p w:rsidR="00A07D92" w:rsidRDefault="00495E63">
      <w:pPr>
        <w:jc w:val="center"/>
      </w:pPr>
      <w:r>
        <w:rPr>
          <w:noProof/>
          <w:lang w:eastAsia="hr-HR"/>
        </w:rPr>
        <w:drawing>
          <wp:inline distT="0" distB="0" distL="0" distR="0">
            <wp:extent cx="5210175" cy="4443730"/>
            <wp:effectExtent l="0" t="0" r="0" b="0"/>
            <wp:docPr id="120"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452"/>
                    <pic:cNvPicPr>
                      <a:picLocks noChangeAspect="1" noChangeArrowheads="1"/>
                    </pic:cNvPicPr>
                  </pic:nvPicPr>
                  <pic:blipFill>
                    <a:blip r:embed="rId98"/>
                    <a:stretch>
                      <a:fillRect/>
                    </a:stretch>
                  </pic:blipFill>
                  <pic:spPr bwMode="auto">
                    <a:xfrm>
                      <a:off x="0" y="0"/>
                      <a:ext cx="5210175" cy="4443730"/>
                    </a:xfrm>
                    <a:prstGeom prst="rect">
                      <a:avLst/>
                    </a:prstGeom>
                  </pic:spPr>
                </pic:pic>
              </a:graphicData>
            </a:graphic>
          </wp:inline>
        </w:drawing>
      </w:r>
      <w:r>
        <w:rPr>
          <w:noProof/>
          <w:lang w:eastAsia="hr-HR"/>
        </w:rPr>
        <mc:AlternateContent>
          <mc:Choice Requires="wps">
            <w:drawing>
              <wp:anchor distT="0" distB="0" distL="0" distR="0" simplePos="0" relativeHeight="53" behindDoc="0" locked="0" layoutInCell="1" allowOverlap="1" wp14:anchorId="7796BFAD">
                <wp:simplePos x="0" y="0"/>
                <wp:positionH relativeFrom="margin">
                  <wp:posOffset>2169160</wp:posOffset>
                </wp:positionH>
                <wp:positionV relativeFrom="paragraph">
                  <wp:posOffset>2354580</wp:posOffset>
                </wp:positionV>
                <wp:extent cx="314960" cy="253365"/>
                <wp:effectExtent l="19050" t="0" r="28575" b="13970"/>
                <wp:wrapNone/>
                <wp:docPr id="119" name="Hexagon 231"/>
                <wp:cNvGraphicFramePr/>
                <a:graphic xmlns:a="http://schemas.openxmlformats.org/drawingml/2006/main">
                  <a:graphicData uri="http://schemas.microsoft.com/office/word/2010/wordprocessingShape">
                    <wps:wsp>
                      <wps:cNvSpPr/>
                      <wps:spPr>
                        <a:xfrm>
                          <a:off x="0" y="0"/>
                          <a:ext cx="314280" cy="252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231" fillcolor="#4f81bd" stroked="t" style="position:absolute;margin-left:170.8pt;margin-top:185.4pt;width:24.7pt;height:19.85pt;mso-position-horizontal-relative:margin" wp14:anchorId="7796BFAD" type="shapetype_9">
                <w10:wrap type="none"/>
                <v:fill o:detectmouseclick="t" type="solid" color2="#b07e42"/>
                <v:stroke color="#4f81bd" weight="9360" joinstyle="miter" endcap="flat"/>
              </v:shape>
            </w:pict>
          </mc:Fallback>
        </mc:AlternateContent>
      </w:r>
    </w:p>
    <w:p w:rsidR="00A07D92" w:rsidRDefault="00A07D92">
      <w:pPr>
        <w:jc w:val="center"/>
      </w:pPr>
    </w:p>
    <w:p w:rsidR="00A07D92" w:rsidRDefault="00495E63">
      <w:pPr>
        <w:jc w:val="center"/>
        <w:rPr>
          <w:b/>
          <w:sz w:val="20"/>
        </w:rPr>
      </w:pPr>
      <w:r>
        <w:rPr>
          <w:b/>
          <w:sz w:val="20"/>
        </w:rPr>
        <w:t>Život i zdravlje ljudi</w:t>
      </w:r>
      <w:r>
        <w:rPr>
          <w:b/>
          <w:sz w:val="20"/>
        </w:rPr>
        <w:tab/>
      </w:r>
      <w:r>
        <w:rPr>
          <w:b/>
          <w:sz w:val="20"/>
        </w:rPr>
        <w:tab/>
        <w:t xml:space="preserve">       Gospodarstvo</w:t>
      </w:r>
      <w:r>
        <w:rPr>
          <w:b/>
          <w:sz w:val="20"/>
        </w:rPr>
        <w:tab/>
        <w:t xml:space="preserve">          Društvena stabilnost i politika</w:t>
      </w:r>
    </w:p>
    <w:p w:rsidR="00A07D92" w:rsidRDefault="00495E63">
      <w:pPr>
        <w:jc w:val="center"/>
      </w:pPr>
      <w:r>
        <w:rPr>
          <w:noProof/>
          <w:lang w:eastAsia="hr-HR"/>
        </w:rPr>
        <mc:AlternateContent>
          <mc:Choice Requires="wps">
            <w:drawing>
              <wp:anchor distT="0" distB="0" distL="0" distR="0" simplePos="0" relativeHeight="52" behindDoc="0" locked="0" layoutInCell="1" allowOverlap="1" wp14:anchorId="494D8571">
                <wp:simplePos x="0" y="0"/>
                <wp:positionH relativeFrom="column">
                  <wp:posOffset>719455</wp:posOffset>
                </wp:positionH>
                <wp:positionV relativeFrom="paragraph">
                  <wp:posOffset>1101090</wp:posOffset>
                </wp:positionV>
                <wp:extent cx="111760" cy="91440"/>
                <wp:effectExtent l="19050" t="0" r="41275" b="23495"/>
                <wp:wrapNone/>
                <wp:docPr id="121" name="Hexagon 233"/>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233" fillcolor="#4f81bd" stroked="t" style="position:absolute;margin-left:56.65pt;margin-top:86.7pt;width:8.7pt;height:7.1pt" wp14:anchorId="494D8571"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54" behindDoc="0" locked="0" layoutInCell="1" allowOverlap="1" wp14:anchorId="774205ED">
                <wp:simplePos x="0" y="0"/>
                <wp:positionH relativeFrom="margin">
                  <wp:posOffset>2614930</wp:posOffset>
                </wp:positionH>
                <wp:positionV relativeFrom="paragraph">
                  <wp:posOffset>662305</wp:posOffset>
                </wp:positionV>
                <wp:extent cx="111760" cy="91440"/>
                <wp:effectExtent l="19050" t="0" r="41275" b="23495"/>
                <wp:wrapNone/>
                <wp:docPr id="122" name="Hexagon 232"/>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232" fillcolor="#4f81bd" stroked="t" style="position:absolute;margin-left:205.9pt;margin-top:52.15pt;width:8.7pt;height:7.1pt;mso-position-horizontal-relative:margin" wp14:anchorId="774205ED"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55" behindDoc="0" locked="0" layoutInCell="1" allowOverlap="1" wp14:anchorId="1CC311EF">
                <wp:simplePos x="0" y="0"/>
                <wp:positionH relativeFrom="column">
                  <wp:posOffset>4519295</wp:posOffset>
                </wp:positionH>
                <wp:positionV relativeFrom="paragraph">
                  <wp:posOffset>852805</wp:posOffset>
                </wp:positionV>
                <wp:extent cx="111760" cy="91440"/>
                <wp:effectExtent l="19050" t="0" r="41275" b="23495"/>
                <wp:wrapNone/>
                <wp:docPr id="123" name="Hexagon 234"/>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234" fillcolor="#4f81bd" stroked="t" style="position:absolute;margin-left:355.85pt;margin-top:67.15pt;width:8.7pt;height:7.1pt" wp14:anchorId="1CC311EF" type="shapetype_9">
                <w10:wrap type="none"/>
                <v:fill o:detectmouseclick="t" type="solid" color2="#b07e42"/>
                <v:stroke color="#4f81bd" weight="9360" joinstyle="miter" endcap="flat"/>
              </v:shape>
            </w:pict>
          </mc:Fallback>
        </mc:AlternateContent>
      </w:r>
      <w:r>
        <w:rPr>
          <w:noProof/>
          <w:lang w:eastAsia="hr-HR"/>
        </w:rPr>
        <w:drawing>
          <wp:inline distT="0" distB="0" distL="0" distR="0">
            <wp:extent cx="1828800" cy="1554480"/>
            <wp:effectExtent l="0" t="0" r="0" b="0"/>
            <wp:docPr id="124"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236"/>
                    <pic:cNvPicPr>
                      <a:picLocks noChangeAspect="1" noChangeArrowheads="1"/>
                    </pic:cNvPicPr>
                  </pic:nvPicPr>
                  <pic:blipFill>
                    <a:blip r:embed="rId99"/>
                    <a:stretch>
                      <a:fillRect/>
                    </a:stretch>
                  </pic:blipFill>
                  <pic:spPr bwMode="auto">
                    <a:xfrm>
                      <a:off x="0" y="0"/>
                      <a:ext cx="1828800" cy="1554480"/>
                    </a:xfrm>
                    <a:prstGeom prst="rect">
                      <a:avLst/>
                    </a:prstGeom>
                  </pic:spPr>
                </pic:pic>
              </a:graphicData>
            </a:graphic>
          </wp:inline>
        </w:drawing>
      </w:r>
      <w:r>
        <w:rPr>
          <w:noProof/>
          <w:lang w:eastAsia="hr-HR"/>
        </w:rPr>
        <w:drawing>
          <wp:inline distT="0" distB="0" distL="0" distR="0">
            <wp:extent cx="1905000" cy="1619250"/>
            <wp:effectExtent l="0" t="0" r="0" b="0"/>
            <wp:docPr id="12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455"/>
                    <pic:cNvPicPr>
                      <a:picLocks noChangeAspect="1" noChangeArrowheads="1"/>
                    </pic:cNvPicPr>
                  </pic:nvPicPr>
                  <pic:blipFill>
                    <a:blip r:embed="rId100"/>
                    <a:stretch>
                      <a:fillRect/>
                    </a:stretch>
                  </pic:blipFill>
                  <pic:spPr bwMode="auto">
                    <a:xfrm>
                      <a:off x="0" y="0"/>
                      <a:ext cx="1905000" cy="1619250"/>
                    </a:xfrm>
                    <a:prstGeom prst="rect">
                      <a:avLst/>
                    </a:prstGeom>
                  </pic:spPr>
                </pic:pic>
              </a:graphicData>
            </a:graphic>
          </wp:inline>
        </w:drawing>
      </w:r>
      <w:r>
        <w:rPr>
          <w:noProof/>
          <w:lang w:eastAsia="hr-HR"/>
        </w:rPr>
        <w:drawing>
          <wp:inline distT="0" distB="0" distL="0" distR="0">
            <wp:extent cx="1906270" cy="1620520"/>
            <wp:effectExtent l="0" t="0" r="0" b="0"/>
            <wp:docPr id="12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456"/>
                    <pic:cNvPicPr>
                      <a:picLocks noChangeAspect="1" noChangeArrowheads="1"/>
                    </pic:cNvPicPr>
                  </pic:nvPicPr>
                  <pic:blipFill>
                    <a:blip r:embed="rId120"/>
                    <a:stretch>
                      <a:fillRect/>
                    </a:stretch>
                  </pic:blipFill>
                  <pic:spPr bwMode="auto">
                    <a:xfrm>
                      <a:off x="0" y="0"/>
                      <a:ext cx="1906270" cy="1620520"/>
                    </a:xfrm>
                    <a:prstGeom prst="rect">
                      <a:avLst/>
                    </a:prstGeom>
                  </pic:spPr>
                </pic:pic>
              </a:graphicData>
            </a:graphic>
          </wp:inline>
        </w:drawing>
      </w:r>
    </w:p>
    <w:p w:rsidR="00A07D92" w:rsidRDefault="00A07D92">
      <w:pPr>
        <w:rPr>
          <w:color w:val="FF0000"/>
          <w:lang w:bidi="en-US"/>
        </w:rPr>
      </w:pPr>
    </w:p>
    <w:p w:rsidR="00A07D92" w:rsidRDefault="00A07D92">
      <w:pPr>
        <w:rPr>
          <w:color w:val="FF0000"/>
          <w:szCs w:val="22"/>
        </w:rPr>
      </w:pPr>
    </w:p>
    <w:p w:rsidR="00A07D92" w:rsidRDefault="00A07D92">
      <w:pPr>
        <w:rPr>
          <w:color w:val="FF0000"/>
          <w:szCs w:val="22"/>
        </w:rPr>
      </w:pPr>
    </w:p>
    <w:p w:rsidR="00A07D92" w:rsidRDefault="00A07D92">
      <w:pPr>
        <w:rPr>
          <w:color w:val="FF0000"/>
          <w:szCs w:val="22"/>
        </w:rPr>
      </w:pPr>
    </w:p>
    <w:p w:rsidR="00A07D92" w:rsidRDefault="00495E63">
      <w:pPr>
        <w:rPr>
          <w:u w:val="single"/>
        </w:rPr>
      </w:pPr>
      <w:r>
        <w:rPr>
          <w:u w:val="single"/>
        </w:rPr>
        <w:lastRenderedPageBreak/>
        <w:t>METODOLOGIJA I N</w:t>
      </w:r>
      <w:r>
        <w:rPr>
          <w:u w:val="single"/>
        </w:rPr>
        <w:t>EPOUZDANOST</w:t>
      </w:r>
    </w:p>
    <w:tbl>
      <w:tblPr>
        <w:tblStyle w:val="Reetkatablice"/>
        <w:tblW w:w="9634" w:type="dxa"/>
        <w:tblLook w:val="04A0" w:firstRow="1" w:lastRow="0" w:firstColumn="1" w:lastColumn="0" w:noHBand="0" w:noVBand="1"/>
      </w:tblPr>
      <w:tblGrid>
        <w:gridCol w:w="2263"/>
        <w:gridCol w:w="992"/>
        <w:gridCol w:w="6379"/>
      </w:tblGrid>
      <w:tr w:rsidR="00A07D92">
        <w:tc>
          <w:tcPr>
            <w:tcW w:w="22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rPr>
                <w:rFonts w:ascii="Times New Roman" w:hAnsi="Times New Roman" w:cs="Times New Roman"/>
                <w:sz w:val="20"/>
                <w:highlight w:val="yellow"/>
                <w:lang w:eastAsia="hr-HR"/>
              </w:rPr>
            </w:pPr>
          </w:p>
        </w:tc>
        <w:tc>
          <w:tcPr>
            <w:tcW w:w="7371"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highlight w:val="yellow"/>
              </w:rPr>
            </w:pPr>
            <w:r>
              <w:rPr>
                <w:rFonts w:ascii="Times New Roman" w:hAnsi="Times New Roman" w:cs="Times New Roman"/>
                <w:sz w:val="20"/>
                <w:lang w:eastAsia="hr-HR"/>
              </w:rPr>
              <w:t>Ne postoji dovoljna količina statističkih, iskustva stručnjaka i ostalih podataka te pouzdana metodologija procjene posljedica zbog čega se očekuju značajnije greške</w:t>
            </w:r>
          </w:p>
        </w:tc>
      </w:tr>
      <w:tr w:rsidR="00A07D92">
        <w:tc>
          <w:tcPr>
            <w:tcW w:w="22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highlight w:val="yellow"/>
              </w:rPr>
            </w:pPr>
            <w:r>
              <w:rPr>
                <w:rFonts w:ascii="Times New Roman" w:hAnsi="Times New Roman" w:cs="Times New Roman"/>
                <w:b/>
                <w:sz w:val="20"/>
                <w:lang w:eastAsia="hr-HR"/>
              </w:rPr>
              <w:t>Vrlo visoka nepouzdanost</w:t>
            </w:r>
          </w:p>
        </w:tc>
        <w:tc>
          <w:tcPr>
            <w:tcW w:w="992"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after="0" w:line="240" w:lineRule="auto"/>
              <w:jc w:val="center"/>
              <w:rPr>
                <w:sz w:val="20"/>
              </w:rPr>
            </w:pPr>
            <w:r>
              <w:rPr>
                <w:rFonts w:ascii="Times New Roman" w:hAnsi="Times New Roman" w:cs="Times New Roman"/>
                <w:sz w:val="20"/>
                <w:lang w:eastAsia="hr-HR"/>
              </w:rPr>
              <w:t>4</w:t>
            </w:r>
          </w:p>
        </w:tc>
        <w:tc>
          <w:tcPr>
            <w:tcW w:w="637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sz w:val="20"/>
                <w:highlight w:val="yellow"/>
                <w:lang w:eastAsia="hr-HR"/>
              </w:rPr>
            </w:pPr>
          </w:p>
        </w:tc>
      </w:tr>
      <w:tr w:rsidR="00A07D92">
        <w:tc>
          <w:tcPr>
            <w:tcW w:w="22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highlight w:val="yellow"/>
              </w:rPr>
            </w:pPr>
            <w:r>
              <w:rPr>
                <w:rFonts w:ascii="Times New Roman" w:hAnsi="Times New Roman" w:cs="Times New Roman"/>
                <w:b/>
                <w:sz w:val="20"/>
                <w:lang w:eastAsia="hr-HR"/>
              </w:rPr>
              <w:t>Visoka nepouzdanost</w:t>
            </w:r>
          </w:p>
        </w:tc>
        <w:tc>
          <w:tcPr>
            <w:tcW w:w="992"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after="0" w:line="240" w:lineRule="auto"/>
              <w:jc w:val="center"/>
              <w:rPr>
                <w:sz w:val="20"/>
              </w:rPr>
            </w:pPr>
            <w:r>
              <w:rPr>
                <w:rFonts w:ascii="Times New Roman" w:hAnsi="Times New Roman" w:cs="Times New Roman"/>
                <w:sz w:val="20"/>
                <w:lang w:eastAsia="hr-HR"/>
              </w:rPr>
              <w:t>3</w:t>
            </w:r>
          </w:p>
        </w:tc>
        <w:tc>
          <w:tcPr>
            <w:tcW w:w="637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highlight w:val="yellow"/>
                <w:lang w:eastAsia="hr-HR"/>
              </w:rPr>
            </w:pPr>
          </w:p>
        </w:tc>
      </w:tr>
      <w:tr w:rsidR="00A07D92">
        <w:tc>
          <w:tcPr>
            <w:tcW w:w="22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highlight w:val="yellow"/>
              </w:rPr>
            </w:pPr>
            <w:r>
              <w:rPr>
                <w:rFonts w:ascii="Times New Roman" w:hAnsi="Times New Roman" w:cs="Times New Roman"/>
                <w:b/>
                <w:sz w:val="20"/>
                <w:lang w:eastAsia="hr-HR"/>
              </w:rPr>
              <w:t>Niska nepouzdanost</w:t>
            </w:r>
          </w:p>
        </w:tc>
        <w:tc>
          <w:tcPr>
            <w:tcW w:w="992"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after="0" w:line="240" w:lineRule="auto"/>
              <w:jc w:val="center"/>
              <w:rPr>
                <w:sz w:val="20"/>
              </w:rPr>
            </w:pPr>
            <w:r>
              <w:rPr>
                <w:rFonts w:ascii="Times New Roman" w:hAnsi="Times New Roman" w:cs="Times New Roman"/>
                <w:sz w:val="20"/>
                <w:lang w:eastAsia="hr-HR"/>
              </w:rPr>
              <w:t>2</w:t>
            </w:r>
          </w:p>
        </w:tc>
        <w:tc>
          <w:tcPr>
            <w:tcW w:w="637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highlight w:val="yellow"/>
              </w:rPr>
            </w:pPr>
            <w:r>
              <w:rPr>
                <w:rFonts w:ascii="Times New Roman" w:hAnsi="Times New Roman" w:cs="Times New Roman"/>
                <w:sz w:val="20"/>
                <w:lang w:eastAsia="hr-HR"/>
              </w:rPr>
              <w:t>x</w:t>
            </w:r>
          </w:p>
        </w:tc>
      </w:tr>
      <w:tr w:rsidR="00A07D92">
        <w:tc>
          <w:tcPr>
            <w:tcW w:w="22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highlight w:val="yellow"/>
              </w:rPr>
            </w:pPr>
            <w:r>
              <w:rPr>
                <w:rFonts w:ascii="Times New Roman" w:hAnsi="Times New Roman" w:cs="Times New Roman"/>
                <w:b/>
                <w:sz w:val="20"/>
                <w:lang w:eastAsia="hr-HR"/>
              </w:rPr>
              <w:t>Vrlo niska nepouzdanost</w:t>
            </w:r>
          </w:p>
        </w:tc>
        <w:tc>
          <w:tcPr>
            <w:tcW w:w="992"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after="0" w:line="240" w:lineRule="auto"/>
              <w:jc w:val="center"/>
              <w:rPr>
                <w:sz w:val="20"/>
              </w:rPr>
            </w:pPr>
            <w:r>
              <w:rPr>
                <w:rFonts w:ascii="Times New Roman" w:hAnsi="Times New Roman" w:cs="Times New Roman"/>
                <w:sz w:val="20"/>
                <w:lang w:eastAsia="hr-HR"/>
              </w:rPr>
              <w:t>1</w:t>
            </w:r>
          </w:p>
        </w:tc>
        <w:tc>
          <w:tcPr>
            <w:tcW w:w="637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sz w:val="20"/>
                <w:highlight w:val="yellow"/>
                <w:lang w:eastAsia="hr-HR"/>
              </w:rPr>
            </w:pPr>
          </w:p>
        </w:tc>
      </w:tr>
      <w:tr w:rsidR="00A07D92">
        <w:tc>
          <w:tcPr>
            <w:tcW w:w="226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rPr>
                <w:rFonts w:ascii="Times New Roman" w:hAnsi="Times New Roman" w:cs="Times New Roman"/>
                <w:sz w:val="20"/>
                <w:highlight w:val="yellow"/>
                <w:lang w:eastAsia="hr-HR"/>
              </w:rPr>
            </w:pPr>
          </w:p>
        </w:tc>
        <w:tc>
          <w:tcPr>
            <w:tcW w:w="7371"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highlight w:val="yellow"/>
              </w:rPr>
            </w:pPr>
            <w:r>
              <w:rPr>
                <w:rFonts w:ascii="Times New Roman" w:hAnsi="Times New Roman" w:cs="Times New Roman"/>
                <w:sz w:val="20"/>
                <w:lang w:eastAsia="hr-HR"/>
              </w:rPr>
              <w:t>Postoji dovoljna količina statističkih podataka, iskustva stručnjaka i pouzdana metodologija procjene zbog čega je pojavljivanje grešaka vrlo malo vjerojatno</w:t>
            </w:r>
          </w:p>
        </w:tc>
      </w:tr>
    </w:tbl>
    <w:p w:rsidR="00A07D92" w:rsidRDefault="00A07D92">
      <w:pPr>
        <w:spacing w:before="0" w:after="0"/>
        <w:jc w:val="center"/>
        <w:rPr>
          <w:rFonts w:cstheme="majorBidi"/>
          <w:color w:val="54883D"/>
          <w:sz w:val="28"/>
          <w:lang w:bidi="en-US"/>
        </w:rPr>
      </w:pPr>
    </w:p>
    <w:p w:rsidR="00A07D92" w:rsidRDefault="00A07D92">
      <w:pPr>
        <w:spacing w:before="0" w:after="0"/>
        <w:jc w:val="center"/>
        <w:rPr>
          <w:rFonts w:cstheme="majorBidi"/>
          <w:color w:val="54883D"/>
          <w:sz w:val="28"/>
          <w:lang w:bidi="en-US"/>
        </w:rPr>
      </w:pPr>
    </w:p>
    <w:p w:rsidR="00A07D92" w:rsidRDefault="00495E63">
      <w:pPr>
        <w:keepNext/>
        <w:keepLines/>
        <w:spacing w:before="40"/>
        <w:outlineLvl w:val="2"/>
        <w:rPr>
          <w:rFonts w:cstheme="majorBidi"/>
          <w:color w:val="54883D"/>
          <w:sz w:val="28"/>
          <w:lang w:bidi="en-US"/>
        </w:rPr>
      </w:pPr>
      <w:bookmarkStart w:id="344" w:name="_Toc136522870"/>
      <w:r>
        <w:rPr>
          <w:rFonts w:cstheme="majorBidi"/>
          <w:color w:val="54883D"/>
          <w:sz w:val="28"/>
          <w:lang w:bidi="en-US"/>
        </w:rPr>
        <w:t>6.6.9 Karte</w:t>
      </w:r>
      <w:bookmarkEnd w:id="344"/>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t>6.6.9.1 Karta rizika</w:t>
      </w:r>
    </w:p>
    <w:tbl>
      <w:tblPr>
        <w:tblStyle w:val="Reetkatablice1011"/>
        <w:tblpPr w:leftFromText="180" w:rightFromText="180" w:vertAnchor="text" w:horzAnchor="page" w:tblpX="9034" w:tblpY="1136"/>
        <w:tblW w:w="1980" w:type="dxa"/>
        <w:tblLook w:val="04A0" w:firstRow="1" w:lastRow="0" w:firstColumn="1" w:lastColumn="0" w:noHBand="0" w:noVBand="1"/>
      </w:tblPr>
      <w:tblGrid>
        <w:gridCol w:w="845"/>
        <w:gridCol w:w="1135"/>
      </w:tblGrid>
      <w:tr w:rsidR="00A07D92">
        <w:trPr>
          <w:trHeight w:val="310"/>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RIZIK</w:t>
            </w:r>
          </w:p>
        </w:tc>
      </w:tr>
      <w:tr w:rsidR="00A07D92">
        <w:trPr>
          <w:trHeight w:val="354"/>
        </w:trPr>
        <w:tc>
          <w:tcPr>
            <w:tcW w:w="845"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Vrlo visok</w:t>
            </w:r>
          </w:p>
        </w:tc>
      </w:tr>
      <w:tr w:rsidR="00A07D92">
        <w:trPr>
          <w:trHeight w:val="286"/>
        </w:trPr>
        <w:tc>
          <w:tcPr>
            <w:tcW w:w="845"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Visok </w:t>
            </w:r>
          </w:p>
        </w:tc>
      </w:tr>
      <w:tr w:rsidR="00A07D92">
        <w:trPr>
          <w:trHeight w:val="262"/>
        </w:trPr>
        <w:tc>
          <w:tcPr>
            <w:tcW w:w="845"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 </w:t>
            </w:r>
          </w:p>
        </w:tc>
      </w:tr>
      <w:tr w:rsidR="00A07D92">
        <w:trPr>
          <w:trHeight w:val="280"/>
        </w:trPr>
        <w:tc>
          <w:tcPr>
            <w:tcW w:w="845" w:type="dxa"/>
            <w:shd w:val="clear" w:color="auto" w:fill="92D05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Nizak </w:t>
            </w:r>
          </w:p>
        </w:tc>
      </w:tr>
    </w:tbl>
    <w:p w:rsidR="00A07D92" w:rsidRDefault="00495E63">
      <w:pPr>
        <w:jc w:val="center"/>
        <w:rPr>
          <w:lang w:bidi="en-US"/>
        </w:rPr>
      </w:pPr>
      <w:r>
        <w:rPr>
          <w:noProof/>
          <w:lang w:eastAsia="hr-HR"/>
        </w:rPr>
        <w:drawing>
          <wp:inline distT="0" distB="0" distL="0" distR="0">
            <wp:extent cx="3330575" cy="4488180"/>
            <wp:effectExtent l="0" t="0" r="0" b="0"/>
            <wp:docPr id="127" name="Slik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lika15"/>
                    <pic:cNvPicPr>
                      <a:picLocks noChangeAspect="1" noChangeArrowheads="1"/>
                    </pic:cNvPicPr>
                  </pic:nvPicPr>
                  <pic:blipFill>
                    <a:blip r:embed="rId102"/>
                    <a:stretch>
                      <a:fillRect/>
                    </a:stretch>
                  </pic:blipFill>
                  <pic:spPr bwMode="auto">
                    <a:xfrm>
                      <a:off x="0" y="0"/>
                      <a:ext cx="3330575" cy="448818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26</w:t>
      </w:r>
      <w:r>
        <w:rPr>
          <w:rFonts w:eastAsia="Calibri"/>
          <w:bCs/>
          <w:sz w:val="20"/>
          <w:szCs w:val="18"/>
        </w:rPr>
        <w:fldChar w:fldCharType="end"/>
      </w:r>
      <w:r>
        <w:rPr>
          <w:rFonts w:eastAsia="Calibri"/>
          <w:bCs/>
          <w:color w:val="54883D"/>
          <w:sz w:val="20"/>
          <w:szCs w:val="18"/>
          <w:lang w:bidi="en-US"/>
        </w:rPr>
        <w:t>. Karta rizika – Vjetar</w:t>
      </w: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rPr>
          <w:rFonts w:eastAsia="Calibri"/>
          <w:bCs/>
          <w:color w:val="54883D"/>
          <w:sz w:val="20"/>
          <w:szCs w:val="18"/>
          <w:lang w:bidi="en-US"/>
        </w:rPr>
      </w:pPr>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lastRenderedPageBreak/>
        <w:t>6.6.9.2 Karta posljedica</w:t>
      </w:r>
    </w:p>
    <w:tbl>
      <w:tblPr>
        <w:tblStyle w:val="Reetkatablice1011"/>
        <w:tblpPr w:leftFromText="180" w:rightFromText="180" w:vertAnchor="text" w:horzAnchor="page" w:tblpX="9306" w:tblpY="510"/>
        <w:tblW w:w="2123" w:type="dxa"/>
        <w:tblLook w:val="04A0" w:firstRow="1" w:lastRow="0" w:firstColumn="1" w:lastColumn="0" w:noHBand="0" w:noVBand="1"/>
      </w:tblPr>
      <w:tblGrid>
        <w:gridCol w:w="846"/>
        <w:gridCol w:w="1277"/>
      </w:tblGrid>
      <w:tr w:rsidR="00A07D92">
        <w:trPr>
          <w:trHeight w:val="310"/>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POSLJEDICE</w:t>
            </w:r>
          </w:p>
        </w:tc>
      </w:tr>
      <w:tr w:rsidR="00A07D92">
        <w:trPr>
          <w:trHeight w:val="353"/>
        </w:trPr>
        <w:tc>
          <w:tcPr>
            <w:tcW w:w="846"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Katastrofalne </w:t>
            </w:r>
          </w:p>
        </w:tc>
      </w:tr>
      <w:tr w:rsidR="00A07D92">
        <w:trPr>
          <w:trHeight w:val="273"/>
        </w:trPr>
        <w:tc>
          <w:tcPr>
            <w:tcW w:w="846"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Značajne </w:t>
            </w:r>
          </w:p>
        </w:tc>
      </w:tr>
      <w:tr w:rsidR="00A07D92">
        <w:trPr>
          <w:trHeight w:val="278"/>
        </w:trPr>
        <w:tc>
          <w:tcPr>
            <w:tcW w:w="846"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Umjerene </w:t>
            </w:r>
          </w:p>
        </w:tc>
      </w:tr>
      <w:tr w:rsidR="00A07D92">
        <w:trPr>
          <w:trHeight w:val="267"/>
        </w:trPr>
        <w:tc>
          <w:tcPr>
            <w:tcW w:w="846" w:type="dxa"/>
            <w:shd w:val="clear" w:color="auto" w:fill="CCFF99"/>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Malene </w:t>
            </w:r>
          </w:p>
        </w:tc>
      </w:tr>
      <w:tr w:rsidR="00A07D92">
        <w:trPr>
          <w:trHeight w:val="286"/>
        </w:trPr>
        <w:tc>
          <w:tcPr>
            <w:tcW w:w="846" w:type="dxa"/>
            <w:shd w:val="clear" w:color="auto" w:fill="C6D9F1" w:themeFill="text2" w:themeFillTint="33"/>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Neznatne </w:t>
            </w:r>
          </w:p>
        </w:tc>
      </w:tr>
    </w:tbl>
    <w:p w:rsidR="00A07D92" w:rsidRDefault="00495E63">
      <w:pPr>
        <w:jc w:val="center"/>
        <w:rPr>
          <w:lang w:bidi="en-US"/>
        </w:rPr>
      </w:pPr>
      <w:r>
        <w:rPr>
          <w:noProof/>
          <w:lang w:eastAsia="hr-HR"/>
        </w:rPr>
        <w:drawing>
          <wp:inline distT="0" distB="0" distL="0" distR="0">
            <wp:extent cx="3239135" cy="4435475"/>
            <wp:effectExtent l="0" t="0" r="0" b="0"/>
            <wp:docPr id="1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4"/>
                    <pic:cNvPicPr>
                      <a:picLocks noChangeAspect="1" noChangeArrowheads="1"/>
                    </pic:cNvPicPr>
                  </pic:nvPicPr>
                  <pic:blipFill>
                    <a:blip r:embed="rId121"/>
                    <a:stretch>
                      <a:fillRect/>
                    </a:stretch>
                  </pic:blipFill>
                  <pic:spPr bwMode="auto">
                    <a:xfrm>
                      <a:off x="0" y="0"/>
                      <a:ext cx="3239135" cy="4435475"/>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27</w:t>
      </w:r>
      <w:r>
        <w:rPr>
          <w:rFonts w:eastAsia="Calibri"/>
          <w:bCs/>
          <w:sz w:val="20"/>
          <w:szCs w:val="18"/>
        </w:rPr>
        <w:fldChar w:fldCharType="end"/>
      </w:r>
      <w:r>
        <w:rPr>
          <w:rFonts w:eastAsia="Calibri"/>
          <w:bCs/>
          <w:color w:val="54883D"/>
          <w:sz w:val="20"/>
          <w:szCs w:val="18"/>
          <w:lang w:bidi="en-US"/>
        </w:rPr>
        <w:t>. Karta posljedica – Vjetar</w:t>
      </w:r>
    </w:p>
    <w:p w:rsidR="00A07D92" w:rsidRDefault="00A07D92">
      <w:pPr>
        <w:spacing w:before="0" w:after="0"/>
        <w:jc w:val="center"/>
        <w:rPr>
          <w:rFonts w:eastAsia="Calibri"/>
          <w:bCs/>
          <w:color w:val="54883D"/>
          <w:sz w:val="20"/>
          <w:szCs w:val="18"/>
          <w:lang w:bidi="en-US"/>
        </w:rPr>
      </w:pPr>
    </w:p>
    <w:p w:rsidR="00A07D92" w:rsidRDefault="00A07D92">
      <w:pPr>
        <w:spacing w:before="0" w:after="0"/>
        <w:rPr>
          <w:rFonts w:cstheme="majorBidi"/>
          <w:color w:val="54883D"/>
          <w:sz w:val="28"/>
          <w:lang w:bidi="en-US"/>
        </w:rPr>
      </w:pPr>
    </w:p>
    <w:p w:rsidR="00A07D92" w:rsidRDefault="00A07D92">
      <w:pPr>
        <w:spacing w:before="0" w:after="0"/>
        <w:jc w:val="center"/>
        <w:rPr>
          <w:rFonts w:cstheme="majorBidi"/>
          <w:color w:val="54883D"/>
          <w:sz w:val="28"/>
          <w:lang w:bidi="en-US"/>
        </w:rPr>
      </w:pPr>
    </w:p>
    <w:p w:rsidR="00A07D92" w:rsidRDefault="00A07D92">
      <w:pPr>
        <w:spacing w:before="0" w:after="0"/>
        <w:jc w:val="center"/>
        <w:rPr>
          <w:rFonts w:cstheme="majorBidi"/>
          <w:color w:val="54883D"/>
          <w:sz w:val="28"/>
          <w:lang w:bidi="en-US"/>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495E63">
      <w:pPr>
        <w:keepNext/>
        <w:ind w:left="576" w:hanging="576"/>
        <w:outlineLvl w:val="1"/>
        <w:rPr>
          <w:bCs/>
          <w:color w:val="54883D"/>
          <w:sz w:val="32"/>
        </w:rPr>
      </w:pPr>
      <w:bookmarkStart w:id="345" w:name="_Toc136522871"/>
      <w:bookmarkStart w:id="346" w:name="_Toc103941247"/>
      <w:bookmarkStart w:id="347" w:name="_Toc99955730"/>
      <w:r>
        <w:rPr>
          <w:bCs/>
          <w:color w:val="54883D"/>
          <w:sz w:val="32"/>
        </w:rPr>
        <w:lastRenderedPageBreak/>
        <w:t>6.7 Ekstremne temperature</w:t>
      </w:r>
      <w:bookmarkEnd w:id="345"/>
      <w:bookmarkEnd w:id="346"/>
      <w:bookmarkEnd w:id="347"/>
    </w:p>
    <w:p w:rsidR="00A07D92" w:rsidRDefault="00495E63">
      <w:pPr>
        <w:keepNext/>
        <w:keepLines/>
        <w:spacing w:before="40"/>
        <w:ind w:left="709" w:hanging="721"/>
        <w:outlineLvl w:val="2"/>
        <w:rPr>
          <w:rFonts w:cstheme="majorBidi"/>
          <w:color w:val="54883D"/>
          <w:sz w:val="28"/>
          <w:lang w:bidi="en-US"/>
        </w:rPr>
      </w:pPr>
      <w:bookmarkStart w:id="348" w:name="_Toc136522872"/>
      <w:bookmarkStart w:id="349" w:name="_Toc103941248"/>
      <w:bookmarkStart w:id="350" w:name="_Toc99955731"/>
      <w:r>
        <w:rPr>
          <w:rFonts w:cstheme="majorBidi"/>
          <w:color w:val="54883D"/>
          <w:sz w:val="28"/>
          <w:lang w:bidi="en-US"/>
        </w:rPr>
        <w:t>6.7.1 Naziv scenarija</w:t>
      </w:r>
      <w:bookmarkEnd w:id="348"/>
      <w:bookmarkEnd w:id="349"/>
      <w:bookmarkEnd w:id="350"/>
    </w:p>
    <w:tbl>
      <w:tblPr>
        <w:tblStyle w:val="GridTable6ColorfulAccent3"/>
        <w:tblW w:w="9060" w:type="dxa"/>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Naziv scenarija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Pojava toplinskog vala na području Grada Malog Lošinja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Grupa rizika: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Ekstremne vremenske pojave</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Rizik:</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Ekstremne temperature</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Radna skupina: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w:t>
            </w:r>
            <w:r>
              <w:rPr>
                <w:b w:val="0"/>
                <w:color w:val="76923C" w:themeColor="accent3" w:themeShade="BF"/>
              </w:rPr>
              <w:t>Radne skupine – predsjednik Povjerenstva za procjenu šteta od prirodnih nepogoda Grada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szCs w:val="2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szCs w:val="2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bookmarkStart w:id="351" w:name="_Hlk135307791"/>
            <w:bookmarkEnd w:id="351"/>
          </w:p>
        </w:tc>
      </w:tr>
    </w:tbl>
    <w:p w:rsidR="00A07D92" w:rsidRDefault="00A07D92"/>
    <w:p w:rsidR="00A07D92" w:rsidRDefault="00495E63">
      <w:pPr>
        <w:keepNext/>
        <w:keepLines/>
        <w:spacing w:before="40"/>
        <w:ind w:left="709" w:hanging="721"/>
        <w:outlineLvl w:val="2"/>
        <w:rPr>
          <w:rFonts w:cstheme="majorBidi"/>
          <w:color w:val="54883D"/>
          <w:sz w:val="28"/>
          <w:lang w:bidi="en-US"/>
        </w:rPr>
      </w:pPr>
      <w:bookmarkStart w:id="352" w:name="_Toc136522873"/>
      <w:bookmarkStart w:id="353" w:name="_Toc103941249"/>
      <w:bookmarkStart w:id="354" w:name="_Toc99955732"/>
      <w:r>
        <w:rPr>
          <w:rFonts w:cstheme="majorBidi"/>
          <w:color w:val="54883D"/>
          <w:sz w:val="28"/>
          <w:lang w:bidi="en-US"/>
        </w:rPr>
        <w:t>6.7.2 Uvod</w:t>
      </w:r>
      <w:bookmarkEnd w:id="352"/>
      <w:bookmarkEnd w:id="353"/>
      <w:bookmarkEnd w:id="354"/>
    </w:p>
    <w:p w:rsidR="00A07D92" w:rsidRDefault="00495E63">
      <w:r>
        <w:t xml:space="preserve">Klimatske promjene, iz godine u godine, uzrokuju povećanje temperature zraka. Ekstremne temperature zraka mogu uzrokovati zdravstvene probleme i povećani broj smrtnih slučajeva i stoga predstavljaju javnozdravstveni problem. Osobito ugrožene skupine ljudi </w:t>
      </w:r>
      <w:r>
        <w:t xml:space="preserve">su mala djeca, kronični bolesnici, starije osobe te ljudi koji rade na otvorenom prostoru. </w:t>
      </w:r>
    </w:p>
    <w:p w:rsidR="00A07D92" w:rsidRDefault="00495E63">
      <w:r>
        <w:t>Ekstremne temperature koje mogu predstavljati rizik za stanovništvo nisu jednake u svim dijelovima godine, jer osjetljivost ljudi ovisi o prilagodbi organizma na pr</w:t>
      </w:r>
      <w:r>
        <w:t>ethodne vremenske prilike, a osobito nepovoljan učinak mogu uzrokovati ekstremne temperature koje traju dulje vrijeme.</w:t>
      </w:r>
    </w:p>
    <w:p w:rsidR="00A07D92" w:rsidRDefault="00495E63">
      <w:r>
        <w:t>Pojavnost ekstremnih temperatura poklapa se sa razdobljem turističke sezone kada je  koncentracija osoba, a samim tim i opasnost daleko v</w:t>
      </w:r>
      <w:r>
        <w:t>eća.</w:t>
      </w:r>
    </w:p>
    <w:p w:rsidR="00A07D92" w:rsidRDefault="00A07D92"/>
    <w:p w:rsidR="00A07D92" w:rsidRDefault="00495E63">
      <w:pPr>
        <w:keepNext/>
        <w:keepLines/>
        <w:spacing w:before="40"/>
        <w:ind w:left="709" w:hanging="721"/>
        <w:outlineLvl w:val="2"/>
        <w:rPr>
          <w:rFonts w:cstheme="majorBidi"/>
          <w:color w:val="54883D"/>
          <w:sz w:val="28"/>
          <w:lang w:bidi="en-US"/>
        </w:rPr>
      </w:pPr>
      <w:bookmarkStart w:id="355" w:name="_Toc136522874"/>
      <w:bookmarkStart w:id="356" w:name="_Toc103941250"/>
      <w:bookmarkStart w:id="357" w:name="_Toc99955733"/>
      <w:r>
        <w:rPr>
          <w:rFonts w:cstheme="majorBidi"/>
          <w:color w:val="54883D"/>
          <w:sz w:val="28"/>
          <w:lang w:bidi="en-US"/>
        </w:rPr>
        <w:t>6.7.3 Prikaz utjecaja na kritičnu strukturu</w:t>
      </w:r>
      <w:bookmarkEnd w:id="355"/>
      <w:bookmarkEnd w:id="356"/>
      <w:bookmarkEnd w:id="357"/>
    </w:p>
    <w:tbl>
      <w:tblPr>
        <w:tblStyle w:val="GridTable6ColorfulAccent3"/>
        <w:tblW w:w="9060" w:type="dxa"/>
        <w:tblLook w:val="04A0" w:firstRow="1" w:lastRow="0" w:firstColumn="1" w:lastColumn="0" w:noHBand="0" w:noVBand="1"/>
      </w:tblPr>
      <w:tblGrid>
        <w:gridCol w:w="1270"/>
        <w:gridCol w:w="7790"/>
      </w:tblGrid>
      <w:tr w:rsidR="00A07D92" w:rsidTr="00A07D9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sz w:val="20"/>
                <w:szCs w:val="20"/>
              </w:rPr>
            </w:pPr>
            <w:r>
              <w:rPr>
                <w:color w:val="76923C" w:themeColor="accent3" w:themeShade="BF"/>
                <w:sz w:val="20"/>
                <w:szCs w:val="20"/>
              </w:rPr>
              <w:t>UTJECAJ</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SEKTOR</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Komunikacijska i informacijska tehnologija (elektroničke komunikacije, prijenos podataka, informacijski sustavi, </w:t>
            </w:r>
            <w:r>
              <w:rPr>
                <w:color w:val="76923C" w:themeColor="accent3" w:themeShade="BF"/>
                <w:sz w:val="20"/>
                <w:szCs w:val="20"/>
              </w:rPr>
              <w:t>pružanje audio i audiovizualnih usluga)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 xml:space="preserve">Financije (bankarstvo, </w:t>
            </w:r>
            <w:r>
              <w:rPr>
                <w:color w:val="76923C" w:themeColor="accent3" w:themeShade="BF"/>
                <w:sz w:val="20"/>
                <w:szCs w:val="20"/>
              </w:rPr>
              <w:t>pošta)</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Prijevoz opasnih tvari (kemijski, biološki, radiološki i nuklearni materijali)</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civilna zaštita, hitna medicinska pomoć)</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rsidR="00A07D92" w:rsidRDefault="00A07D92"/>
    <w:p w:rsidR="00A07D92" w:rsidRDefault="00495E63">
      <w:pPr>
        <w:keepNext/>
        <w:keepLines/>
        <w:spacing w:before="40"/>
        <w:ind w:left="709" w:hanging="721"/>
        <w:outlineLvl w:val="2"/>
        <w:rPr>
          <w:rFonts w:cstheme="majorBidi"/>
          <w:color w:val="54883D"/>
          <w:sz w:val="28"/>
          <w:lang w:bidi="en-US"/>
        </w:rPr>
      </w:pPr>
      <w:bookmarkStart w:id="358" w:name="_Toc136522875"/>
      <w:bookmarkStart w:id="359" w:name="_Toc103941251"/>
      <w:bookmarkStart w:id="360" w:name="_Toc99955734"/>
      <w:r>
        <w:rPr>
          <w:rFonts w:cstheme="majorBidi"/>
          <w:color w:val="54883D"/>
          <w:sz w:val="28"/>
          <w:lang w:bidi="en-US"/>
        </w:rPr>
        <w:t>6.7.4 Kontekst</w:t>
      </w:r>
      <w:bookmarkEnd w:id="358"/>
      <w:bookmarkEnd w:id="359"/>
      <w:bookmarkEnd w:id="360"/>
    </w:p>
    <w:p w:rsidR="00A07D92" w:rsidRDefault="00495E63">
      <w:pPr>
        <w:spacing w:after="0"/>
        <w:rPr>
          <w:rFonts w:eastAsiaTheme="minorHAnsi"/>
          <w:color w:val="auto"/>
          <w:szCs w:val="22"/>
        </w:rPr>
      </w:pPr>
      <w:r>
        <w:rPr>
          <w:color w:val="auto"/>
          <w:szCs w:val="22"/>
        </w:rPr>
        <w:t>Grad Mali Lošinj</w:t>
      </w:r>
      <w:r>
        <w:rPr>
          <w:color w:val="auto"/>
          <w:szCs w:val="22"/>
        </w:rPr>
        <w:t xml:space="preserve"> ima mediteransku klimu s prosječnom temperaturom zraka 14</w:t>
      </w:r>
      <w:r>
        <w:rPr>
          <w:rFonts w:eastAsiaTheme="minorHAnsi"/>
          <w:color w:val="auto"/>
          <w:szCs w:val="22"/>
        </w:rPr>
        <w:t>°C</w:t>
      </w:r>
      <w:r>
        <w:rPr>
          <w:color w:val="auto"/>
          <w:szCs w:val="22"/>
        </w:rPr>
        <w:t>.  O</w:t>
      </w:r>
      <w:r>
        <w:rPr>
          <w:rFonts w:eastAsiaTheme="minorHAnsi"/>
          <w:color w:val="auto"/>
          <w:szCs w:val="22"/>
        </w:rPr>
        <w:t>bilježje ovog tipa klime jesu topla ljeta i kišne zime pri čemu je najsušniji dio godine ožujak i ljetni mjeseci, dok je najkišovitije razdoblje u listopadu, studenome i prosincu. Maksimalne t</w:t>
      </w:r>
      <w:r>
        <w:rPr>
          <w:rFonts w:eastAsiaTheme="minorHAnsi"/>
          <w:color w:val="auto"/>
          <w:szCs w:val="22"/>
        </w:rPr>
        <w:t xml:space="preserve">emperature bilježe se početkom srpnja a iznose od 30°C do 37°C. </w:t>
      </w:r>
    </w:p>
    <w:p w:rsidR="00A07D92" w:rsidRDefault="00495E63">
      <w:pPr>
        <w:spacing w:after="0"/>
      </w:pPr>
      <w:r>
        <w:t xml:space="preserve">Iznenadni porast temperature zraka često praćen i visokim postotkom vlage u zraku. Dakle izrazito toplo vrijeme u dugotrajnijem razdoblju mjereno u odnosu na uobičajeni vremenski obrazac </w:t>
      </w:r>
      <w:r>
        <w:t>određenog područja u promatranom godišnjem dobu dovodi do toplinskog vala.</w:t>
      </w:r>
    </w:p>
    <w:p w:rsidR="00A07D92" w:rsidRDefault="00495E63">
      <w:pPr>
        <w:spacing w:after="0"/>
        <w:rPr>
          <w:rFonts w:eastAsiaTheme="minorHAnsi"/>
          <w:color w:val="auto"/>
          <w:szCs w:val="22"/>
        </w:rPr>
      </w:pPr>
      <w:r>
        <w:t>Toplinski val je prirodna pojava uzrokovana klimatskim promjenama, nastaje naglo bez prethodnih najava. Toplina može biti okidač za uzrok mnogih zdravstvenih stanja i izazvati umor,</w:t>
      </w:r>
      <w:r>
        <w:t xml:space="preserve"> srčani udar ili konfuziju, inzult te pogoršati postojeće stanje kod kroničnih bolesnika.</w:t>
      </w:r>
    </w:p>
    <w:p w:rsidR="00A07D92" w:rsidRDefault="00495E63">
      <w:pPr>
        <w:spacing w:before="120" w:after="120"/>
        <w:rPr>
          <w:color w:val="auto"/>
          <w:szCs w:val="22"/>
        </w:rPr>
      </w:pPr>
      <w:r>
        <w:rPr>
          <w:color w:val="auto"/>
          <w:szCs w:val="22"/>
        </w:rPr>
        <w:t>Ekstremne temperature zraka mogu uzrokovati zdravstvene probleme i povećani broj smrtnih slučajeva i stoga predstavljaju javnozdravstveni problem. Osobito ugrožene sk</w:t>
      </w:r>
      <w:r>
        <w:rPr>
          <w:color w:val="auto"/>
          <w:szCs w:val="22"/>
        </w:rPr>
        <w:t>upine ljudi su mala djeca, kronični bolesnici, starije osobe te ljudi koji rade na otvorenom prostoru.</w:t>
      </w:r>
    </w:p>
    <w:p w:rsidR="00A07D92" w:rsidRDefault="00495E63">
      <w:pPr>
        <w:spacing w:after="0"/>
        <w:rPr>
          <w:rFonts w:eastAsiaTheme="minorHAnsi"/>
          <w:color w:val="auto"/>
          <w:szCs w:val="22"/>
        </w:rPr>
      </w:pPr>
      <w:r>
        <w:rPr>
          <w:color w:val="auto"/>
          <w:szCs w:val="22"/>
        </w:rPr>
        <w:t xml:space="preserve">Premda ovo razdoblje nije dugotrajno može imati štetne posljedice po stanovništvo. Osobito ugrožene skupine ljudi su mala djeca, kronični bolesnici, </w:t>
      </w:r>
      <w:r>
        <w:rPr>
          <w:color w:val="auto"/>
          <w:szCs w:val="22"/>
        </w:rPr>
        <w:t>starije osobe te ljudi koji rade na otvorenom prostoru.</w:t>
      </w:r>
    </w:p>
    <w:p w:rsidR="00A07D92" w:rsidRDefault="00A07D92">
      <w:pPr>
        <w:spacing w:before="0" w:after="0"/>
        <w:rPr>
          <w:color w:val="auto"/>
          <w:szCs w:val="22"/>
          <w:highlight w:val="yellow"/>
        </w:rPr>
      </w:pPr>
    </w:p>
    <w:p w:rsidR="00A07D92" w:rsidRDefault="00A07D92">
      <w:pPr>
        <w:spacing w:before="0" w:after="0"/>
        <w:rPr>
          <w:color w:val="auto"/>
          <w:szCs w:val="22"/>
          <w:highlight w:val="yellow"/>
        </w:rPr>
      </w:pPr>
    </w:p>
    <w:p w:rsidR="00A07D92" w:rsidRDefault="00495E63">
      <w:pPr>
        <w:spacing w:before="120" w:after="120"/>
        <w:jc w:val="center"/>
        <w:rPr>
          <w:iCs/>
          <w:color w:val="54883D"/>
          <w:sz w:val="20"/>
          <w:szCs w:val="18"/>
        </w:rPr>
      </w:pPr>
      <w:r>
        <w:rPr>
          <w:iCs/>
          <w:color w:val="54883D"/>
          <w:sz w:val="20"/>
          <w:szCs w:val="18"/>
        </w:rPr>
        <w:t xml:space="preserve">Slika </w:t>
      </w:r>
      <w:r>
        <w:rPr>
          <w:iCs/>
          <w:color w:val="54883D"/>
          <w:sz w:val="20"/>
          <w:szCs w:val="18"/>
        </w:rPr>
        <w:fldChar w:fldCharType="begin"/>
      </w:r>
      <w:r>
        <w:rPr>
          <w:iCs/>
          <w:sz w:val="20"/>
          <w:szCs w:val="18"/>
        </w:rPr>
        <w:instrText>SEQ Slika \* ARABIC</w:instrText>
      </w:r>
      <w:r>
        <w:rPr>
          <w:iCs/>
          <w:sz w:val="20"/>
          <w:szCs w:val="18"/>
        </w:rPr>
        <w:fldChar w:fldCharType="separate"/>
      </w:r>
      <w:r>
        <w:rPr>
          <w:iCs/>
          <w:sz w:val="20"/>
          <w:szCs w:val="18"/>
        </w:rPr>
        <w:t>28</w:t>
      </w:r>
      <w:r>
        <w:rPr>
          <w:iCs/>
          <w:sz w:val="20"/>
          <w:szCs w:val="18"/>
        </w:rPr>
        <w:fldChar w:fldCharType="end"/>
      </w:r>
      <w:r>
        <w:rPr>
          <w:iCs/>
          <w:color w:val="54883D"/>
          <w:sz w:val="20"/>
          <w:szCs w:val="18"/>
        </w:rPr>
        <w:t>: Ocjena vremenskih prilika u Hrvatskoj za ljeto 2019. godine</w:t>
      </w:r>
    </w:p>
    <w:p w:rsidR="00A07D92" w:rsidRDefault="00495E63">
      <w:pPr>
        <w:jc w:val="center"/>
      </w:pPr>
      <w:r>
        <w:rPr>
          <w:noProof/>
          <w:lang w:eastAsia="hr-HR"/>
        </w:rPr>
        <w:drawing>
          <wp:inline distT="0" distB="0" distL="0" distR="0">
            <wp:extent cx="4116705" cy="2705100"/>
            <wp:effectExtent l="0" t="0" r="0" b="0"/>
            <wp:docPr id="129" name="Slik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lika16"/>
                    <pic:cNvPicPr>
                      <a:picLocks noChangeAspect="1" noChangeArrowheads="1"/>
                    </pic:cNvPicPr>
                  </pic:nvPicPr>
                  <pic:blipFill>
                    <a:blip r:embed="rId122"/>
                    <a:stretch>
                      <a:fillRect/>
                    </a:stretch>
                  </pic:blipFill>
                  <pic:spPr bwMode="auto">
                    <a:xfrm>
                      <a:off x="0" y="0"/>
                      <a:ext cx="4116705" cy="2705100"/>
                    </a:xfrm>
                    <a:prstGeom prst="rect">
                      <a:avLst/>
                    </a:prstGeom>
                  </pic:spPr>
                </pic:pic>
              </a:graphicData>
            </a:graphic>
          </wp:inline>
        </w:drawing>
      </w:r>
    </w:p>
    <w:p w:rsidR="00A07D92" w:rsidRDefault="00495E63">
      <w:pPr>
        <w:jc w:val="center"/>
      </w:pPr>
      <w:r>
        <w:rPr>
          <w:noProof/>
          <w:lang w:eastAsia="hr-HR"/>
        </w:rPr>
        <w:lastRenderedPageBreak/>
        <w:drawing>
          <wp:inline distT="0" distB="0" distL="0" distR="0">
            <wp:extent cx="3893820" cy="2390140"/>
            <wp:effectExtent l="0" t="0" r="0" b="0"/>
            <wp:docPr id="130" name="Slik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lika17"/>
                    <pic:cNvPicPr>
                      <a:picLocks noChangeAspect="1" noChangeArrowheads="1"/>
                    </pic:cNvPicPr>
                  </pic:nvPicPr>
                  <pic:blipFill>
                    <a:blip r:embed="rId123"/>
                    <a:stretch>
                      <a:fillRect/>
                    </a:stretch>
                  </pic:blipFill>
                  <pic:spPr bwMode="auto">
                    <a:xfrm>
                      <a:off x="0" y="0"/>
                      <a:ext cx="3893820" cy="2390140"/>
                    </a:xfrm>
                    <a:prstGeom prst="rect">
                      <a:avLst/>
                    </a:prstGeom>
                  </pic:spPr>
                </pic:pic>
              </a:graphicData>
            </a:graphic>
          </wp:inline>
        </w:drawing>
      </w:r>
    </w:p>
    <w:p w:rsidR="00A07D92" w:rsidRDefault="00495E63">
      <w:pPr>
        <w:jc w:val="center"/>
        <w:rPr>
          <w:color w:val="auto"/>
          <w:szCs w:val="22"/>
        </w:rPr>
      </w:pPr>
      <w:r>
        <w:rPr>
          <w:bCs/>
          <w:i/>
          <w:color w:val="54883D"/>
          <w:sz w:val="20"/>
          <w:szCs w:val="18"/>
        </w:rPr>
        <w:t>Izvor: http://meteo.hr</w:t>
      </w:r>
    </w:p>
    <w:p w:rsidR="00A07D92" w:rsidRDefault="00A07D92">
      <w:pPr>
        <w:spacing w:before="0" w:after="0"/>
        <w:rPr>
          <w:color w:val="auto"/>
          <w:szCs w:val="22"/>
          <w:highlight w:val="yellow"/>
        </w:rPr>
      </w:pPr>
    </w:p>
    <w:p w:rsidR="00A07D92" w:rsidRDefault="00495E63">
      <w:pPr>
        <w:shd w:val="clear" w:color="auto" w:fill="FFFFFF"/>
        <w:spacing w:before="0" w:after="360"/>
        <w:rPr>
          <w:color w:val="1F1F1F"/>
          <w:szCs w:val="22"/>
          <w:lang w:eastAsia="hr-HR"/>
        </w:rPr>
      </w:pPr>
      <w:r>
        <w:rPr>
          <w:color w:val="1F1F1F"/>
          <w:szCs w:val="22"/>
          <w:lang w:eastAsia="hr-HR"/>
        </w:rPr>
        <w:t>Apsolutna maksimalna temperatura zraka na većini postaja bila je viša od odgov</w:t>
      </w:r>
      <w:r>
        <w:rPr>
          <w:color w:val="1F1F1F"/>
          <w:szCs w:val="22"/>
          <w:lang w:eastAsia="hr-HR"/>
        </w:rPr>
        <w:t>arajućeg prosjeka (1981. – 2010.), a odstupanja su se nalazila u rasponu od -0,6 °C (Lastovo) do 2,3 °C (Zagreb-Grič). Usporedba s raspoloživim nizom analiziranih postaja pokazuje da u srpnju 2019. godine nije bilo rekordnih vrijednosti apsolutne maksimaln</w:t>
      </w:r>
      <w:r>
        <w:rPr>
          <w:color w:val="1F1F1F"/>
          <w:szCs w:val="22"/>
          <w:lang w:eastAsia="hr-HR"/>
        </w:rPr>
        <w:t>e temperature zraka.</w:t>
      </w:r>
    </w:p>
    <w:p w:rsidR="00A07D92" w:rsidRDefault="00495E63">
      <w:pPr>
        <w:rPr>
          <w:color w:val="1F1F1F"/>
          <w:szCs w:val="22"/>
          <w:lang w:eastAsia="hr-HR"/>
        </w:rPr>
      </w:pPr>
      <w:r>
        <w:rPr>
          <w:color w:val="1F1F1F"/>
          <w:szCs w:val="22"/>
          <w:lang w:eastAsia="hr-HR"/>
        </w:rPr>
        <w:t>Analiza količina oborine za srpanj 2019. koje su izražene u postotcima (%) višegodišnjeg prosjeka (1981. – 2010.) pokazuje da su količine oborine bile većinom iznad višegodišnjeg prosjeka. Usporedba s višegodišnjim prosjekom pokazuje d</w:t>
      </w:r>
      <w:r>
        <w:rPr>
          <w:color w:val="1F1F1F"/>
          <w:szCs w:val="22"/>
          <w:lang w:eastAsia="hr-HR"/>
        </w:rPr>
        <w:t>a se količine oborine za srpanj 2019. godine nalaze u rasponu od 68 % višegodišnjeg prosjeka u Slavonskom Brodu (49,9 mm) do 499 % tog prosjeka u Malom Lošinju (142,5 mm).</w:t>
      </w:r>
    </w:p>
    <w:p w:rsidR="00A07D92" w:rsidRDefault="00495E63">
      <w:pPr>
        <w:spacing w:before="120" w:after="120"/>
        <w:jc w:val="center"/>
        <w:rPr>
          <w:iCs/>
          <w:color w:val="54883D"/>
          <w:sz w:val="20"/>
          <w:szCs w:val="18"/>
        </w:rPr>
      </w:pPr>
      <w:r>
        <w:rPr>
          <w:iCs/>
          <w:color w:val="54883D"/>
          <w:sz w:val="20"/>
          <w:szCs w:val="18"/>
        </w:rPr>
        <w:t xml:space="preserve">Slika </w:t>
      </w:r>
      <w:r>
        <w:rPr>
          <w:iCs/>
          <w:color w:val="54883D"/>
          <w:sz w:val="20"/>
          <w:szCs w:val="18"/>
        </w:rPr>
        <w:fldChar w:fldCharType="begin"/>
      </w:r>
      <w:r>
        <w:rPr>
          <w:iCs/>
          <w:sz w:val="20"/>
          <w:szCs w:val="18"/>
        </w:rPr>
        <w:instrText>SEQ Slika \* ARABIC</w:instrText>
      </w:r>
      <w:r>
        <w:rPr>
          <w:iCs/>
          <w:sz w:val="20"/>
          <w:szCs w:val="18"/>
        </w:rPr>
        <w:fldChar w:fldCharType="separate"/>
      </w:r>
      <w:r>
        <w:rPr>
          <w:iCs/>
          <w:sz w:val="20"/>
          <w:szCs w:val="18"/>
        </w:rPr>
        <w:t>29</w:t>
      </w:r>
      <w:r>
        <w:rPr>
          <w:iCs/>
          <w:sz w:val="20"/>
          <w:szCs w:val="18"/>
        </w:rPr>
        <w:fldChar w:fldCharType="end"/>
      </w:r>
      <w:r>
        <w:rPr>
          <w:iCs/>
          <w:color w:val="54883D"/>
          <w:sz w:val="20"/>
          <w:szCs w:val="18"/>
        </w:rPr>
        <w:t>: Odstupanje srednje mjesečne temperature zraka u Hrva</w:t>
      </w:r>
      <w:r>
        <w:rPr>
          <w:iCs/>
          <w:color w:val="54883D"/>
          <w:sz w:val="20"/>
          <w:szCs w:val="18"/>
        </w:rPr>
        <w:t>tskoj za ljeto 2020. godine</w:t>
      </w:r>
    </w:p>
    <w:p w:rsidR="00A07D92" w:rsidRDefault="00495E63">
      <w:pPr>
        <w:spacing w:before="120" w:after="120"/>
        <w:jc w:val="center"/>
        <w:rPr>
          <w:iCs/>
          <w:color w:val="54883D"/>
          <w:sz w:val="20"/>
          <w:szCs w:val="18"/>
        </w:rPr>
      </w:pPr>
      <w:r>
        <w:rPr>
          <w:noProof/>
          <w:lang w:eastAsia="hr-HR"/>
        </w:rPr>
        <w:drawing>
          <wp:inline distT="0" distB="0" distL="0" distR="0">
            <wp:extent cx="3573145" cy="3348990"/>
            <wp:effectExtent l="0" t="0" r="0" b="0"/>
            <wp:docPr id="131" name="Slik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lika18"/>
                    <pic:cNvPicPr>
                      <a:picLocks noChangeAspect="1" noChangeArrowheads="1"/>
                    </pic:cNvPicPr>
                  </pic:nvPicPr>
                  <pic:blipFill>
                    <a:blip r:embed="rId124"/>
                    <a:stretch>
                      <a:fillRect/>
                    </a:stretch>
                  </pic:blipFill>
                  <pic:spPr bwMode="auto">
                    <a:xfrm>
                      <a:off x="0" y="0"/>
                      <a:ext cx="3573145" cy="3348990"/>
                    </a:xfrm>
                    <a:prstGeom prst="rect">
                      <a:avLst/>
                    </a:prstGeom>
                  </pic:spPr>
                </pic:pic>
              </a:graphicData>
            </a:graphic>
          </wp:inline>
        </w:drawing>
      </w:r>
    </w:p>
    <w:p w:rsidR="00A07D92" w:rsidRDefault="00495E63">
      <w:pPr>
        <w:spacing w:before="120" w:after="120"/>
        <w:jc w:val="center"/>
        <w:rPr>
          <w:iCs/>
          <w:color w:val="54883D"/>
          <w:sz w:val="20"/>
          <w:szCs w:val="18"/>
        </w:rPr>
      </w:pPr>
      <w:r>
        <w:rPr>
          <w:bCs/>
          <w:i/>
          <w:color w:val="54883D"/>
          <w:sz w:val="20"/>
          <w:szCs w:val="18"/>
        </w:rPr>
        <w:t>Izvor: DHMZ</w:t>
      </w:r>
    </w:p>
    <w:p w:rsidR="00A07D92" w:rsidRDefault="00495E63">
      <w:pPr>
        <w:pStyle w:val="StandardWeb"/>
        <w:shd w:val="clear" w:color="auto" w:fill="FFFFFF"/>
        <w:spacing w:before="0" w:beforeAutospacing="0" w:after="360" w:afterAutospacing="0" w:line="276" w:lineRule="auto"/>
        <w:jc w:val="both"/>
        <w:rPr>
          <w:rFonts w:ascii="Arial" w:hAnsi="Arial" w:cs="Arial"/>
          <w:color w:val="1F1F1F"/>
          <w:sz w:val="22"/>
          <w:szCs w:val="22"/>
        </w:rPr>
      </w:pPr>
      <w:r>
        <w:rPr>
          <w:rFonts w:ascii="Arial" w:hAnsi="Arial" w:cs="Arial"/>
          <w:color w:val="1F1F1F"/>
          <w:sz w:val="22"/>
          <w:szCs w:val="22"/>
        </w:rPr>
        <w:lastRenderedPageBreak/>
        <w:t>Odstupanja srednje temperature zraka u srpnju 2020. u odnosu na normalu 1981. – 2010. nalaze se u rasponu od -0,9 °C (Makarska) do 0,9 °C (Puntijarka). Na većini postaja temperatura zraka je bila prosječna ili nezn</w:t>
      </w:r>
      <w:r>
        <w:rPr>
          <w:rFonts w:ascii="Arial" w:hAnsi="Arial" w:cs="Arial"/>
          <w:color w:val="1F1F1F"/>
          <w:sz w:val="22"/>
          <w:szCs w:val="22"/>
        </w:rPr>
        <w:t>atno viša od prosjeka normale 1981. - 2010., izuzev postaja Varaždin, Karlovac, Šibenik, Makarska, Hvar i Komiža na kojima je temperatura zraka bila većinom neznatno niža od prosječne.</w:t>
      </w:r>
    </w:p>
    <w:p w:rsidR="00A07D92" w:rsidRDefault="00495E63">
      <w:pPr>
        <w:pStyle w:val="StandardWeb"/>
        <w:shd w:val="clear" w:color="auto" w:fill="FFFFFF"/>
        <w:spacing w:before="0" w:beforeAutospacing="0" w:after="360" w:afterAutospacing="0" w:line="276" w:lineRule="auto"/>
        <w:jc w:val="both"/>
        <w:rPr>
          <w:rFonts w:ascii="Arial" w:hAnsi="Arial" w:cs="Arial"/>
          <w:color w:val="1F1F1F"/>
          <w:sz w:val="22"/>
          <w:szCs w:val="22"/>
        </w:rPr>
      </w:pPr>
      <w:r>
        <w:rPr>
          <w:rFonts w:ascii="Arial" w:hAnsi="Arial" w:cs="Arial"/>
          <w:color w:val="1F1F1F"/>
          <w:sz w:val="22"/>
          <w:szCs w:val="22"/>
        </w:rPr>
        <w:t>Temperaturne prilike u Hrvatskoj u srpnju 2020. godine izražene percent</w:t>
      </w:r>
      <w:r>
        <w:rPr>
          <w:rFonts w:ascii="Arial" w:hAnsi="Arial" w:cs="Arial"/>
          <w:color w:val="1F1F1F"/>
          <w:sz w:val="22"/>
          <w:szCs w:val="22"/>
        </w:rPr>
        <w:t>ilima bile su normalne na većem dijelu teritorija. Detaljnije su opisane sljedećim kategorijama: hladno (okolica Makarske), normalno (glavnina teritorija) i toplo (područje sjeverozapadno od Puntijarke i okolica Ploča).</w:t>
      </w:r>
    </w:p>
    <w:p w:rsidR="00A07D92" w:rsidRDefault="00495E63">
      <w:pPr>
        <w:spacing w:before="120" w:after="120"/>
        <w:jc w:val="center"/>
        <w:rPr>
          <w:iCs/>
          <w:color w:val="54883D"/>
          <w:sz w:val="20"/>
          <w:szCs w:val="18"/>
        </w:rPr>
      </w:pPr>
      <w:r>
        <w:rPr>
          <w:iCs/>
          <w:color w:val="54883D"/>
          <w:sz w:val="20"/>
          <w:szCs w:val="18"/>
        </w:rPr>
        <w:t xml:space="preserve">Slika </w:t>
      </w:r>
      <w:r>
        <w:rPr>
          <w:iCs/>
          <w:color w:val="54883D"/>
          <w:sz w:val="20"/>
          <w:szCs w:val="18"/>
        </w:rPr>
        <w:fldChar w:fldCharType="begin"/>
      </w:r>
      <w:r>
        <w:rPr>
          <w:iCs/>
          <w:sz w:val="20"/>
          <w:szCs w:val="18"/>
        </w:rPr>
        <w:instrText>SEQ Slika \* ARABIC</w:instrText>
      </w:r>
      <w:r>
        <w:rPr>
          <w:iCs/>
          <w:sz w:val="20"/>
          <w:szCs w:val="18"/>
        </w:rPr>
        <w:fldChar w:fldCharType="separate"/>
      </w:r>
      <w:r>
        <w:rPr>
          <w:iCs/>
          <w:sz w:val="20"/>
          <w:szCs w:val="18"/>
        </w:rPr>
        <w:t>30</w:t>
      </w:r>
      <w:r>
        <w:rPr>
          <w:iCs/>
          <w:sz w:val="20"/>
          <w:szCs w:val="18"/>
        </w:rPr>
        <w:fldChar w:fldCharType="end"/>
      </w:r>
      <w:r>
        <w:rPr>
          <w:iCs/>
          <w:color w:val="54883D"/>
          <w:sz w:val="20"/>
          <w:szCs w:val="18"/>
        </w:rPr>
        <w:t xml:space="preserve">: </w:t>
      </w:r>
      <w:r>
        <w:rPr>
          <w:iCs/>
          <w:color w:val="54883D"/>
          <w:sz w:val="20"/>
          <w:szCs w:val="18"/>
        </w:rPr>
        <w:t>Odstupanje srednje mjesečne temperature zraka u Hrvatskoj za ljeto 2021. godine</w:t>
      </w:r>
    </w:p>
    <w:p w:rsidR="00A07D92" w:rsidRDefault="00495E63">
      <w:pPr>
        <w:spacing w:before="120" w:after="120"/>
        <w:jc w:val="center"/>
        <w:rPr>
          <w:color w:val="auto"/>
          <w:szCs w:val="22"/>
        </w:rPr>
      </w:pPr>
      <w:r>
        <w:rPr>
          <w:noProof/>
          <w:lang w:eastAsia="hr-HR"/>
        </w:rPr>
        <w:drawing>
          <wp:inline distT="0" distB="0" distL="0" distR="0">
            <wp:extent cx="4907280" cy="4731385"/>
            <wp:effectExtent l="0" t="0" r="0" b="0"/>
            <wp:docPr id="1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7"/>
                    <pic:cNvPicPr>
                      <a:picLocks noChangeAspect="1" noChangeArrowheads="1"/>
                    </pic:cNvPicPr>
                  </pic:nvPicPr>
                  <pic:blipFill>
                    <a:blip r:embed="rId125"/>
                    <a:stretch>
                      <a:fillRect/>
                    </a:stretch>
                  </pic:blipFill>
                  <pic:spPr bwMode="auto">
                    <a:xfrm>
                      <a:off x="0" y="0"/>
                      <a:ext cx="4907280" cy="4731385"/>
                    </a:xfrm>
                    <a:prstGeom prst="rect">
                      <a:avLst/>
                    </a:prstGeom>
                  </pic:spPr>
                </pic:pic>
              </a:graphicData>
            </a:graphic>
          </wp:inline>
        </w:drawing>
      </w:r>
    </w:p>
    <w:p w:rsidR="00A07D92" w:rsidRDefault="00495E63">
      <w:pPr>
        <w:spacing w:before="120" w:after="120"/>
        <w:jc w:val="center"/>
        <w:rPr>
          <w:iCs/>
          <w:color w:val="54883D"/>
          <w:sz w:val="20"/>
          <w:szCs w:val="18"/>
        </w:rPr>
      </w:pPr>
      <w:r>
        <w:rPr>
          <w:bCs/>
          <w:i/>
          <w:color w:val="54883D"/>
          <w:sz w:val="20"/>
          <w:szCs w:val="18"/>
        </w:rPr>
        <w:t>Izvor: DHMZ</w:t>
      </w:r>
    </w:p>
    <w:p w:rsidR="00A07D92" w:rsidRDefault="00495E63">
      <w:pPr>
        <w:shd w:val="clear" w:color="auto" w:fill="FFFFFF"/>
        <w:spacing w:before="0" w:after="360"/>
        <w:rPr>
          <w:color w:val="1F1F1F"/>
          <w:szCs w:val="22"/>
          <w:lang w:eastAsia="hr-HR"/>
        </w:rPr>
      </w:pPr>
      <w:r>
        <w:rPr>
          <w:color w:val="1F1F1F"/>
          <w:szCs w:val="22"/>
          <w:lang w:eastAsia="hr-HR"/>
        </w:rPr>
        <w:t xml:space="preserve">Odstupanja srednje temperature zraka u srpnju 2021. u odnosu na normalu 1981. – 2010. nalaze se u rasponu od 1,4 °C (Rijeka i Rab) do 3,2 °C (Gradište). Na svim </w:t>
      </w:r>
      <w:r>
        <w:rPr>
          <w:color w:val="1F1F1F"/>
          <w:szCs w:val="22"/>
          <w:lang w:eastAsia="hr-HR"/>
        </w:rPr>
        <w:t>postajama temperatura zraka je bila značajno viša od prosječne.</w:t>
      </w:r>
    </w:p>
    <w:p w:rsidR="00A07D92" w:rsidRDefault="00495E63">
      <w:pPr>
        <w:shd w:val="clear" w:color="auto" w:fill="FFFFFF"/>
        <w:spacing w:before="0" w:after="360"/>
        <w:rPr>
          <w:color w:val="1F1F1F"/>
          <w:szCs w:val="22"/>
          <w:lang w:eastAsia="hr-HR"/>
        </w:rPr>
      </w:pPr>
      <w:r>
        <w:rPr>
          <w:color w:val="1F1F1F"/>
          <w:szCs w:val="22"/>
          <w:lang w:eastAsia="hr-HR"/>
        </w:rPr>
        <w:t>Prema raspodjeli percentila, temperaturne prilike u Hrvatskoj za srpanj 2021. godine opisane su sljedećim kategorijama: </w:t>
      </w:r>
      <w:r>
        <w:rPr>
          <w:b/>
          <w:bCs/>
          <w:color w:val="1F1F1F"/>
          <w:szCs w:val="22"/>
          <w:lang w:eastAsia="hr-HR"/>
        </w:rPr>
        <w:t>toplo</w:t>
      </w:r>
      <w:r>
        <w:rPr>
          <w:color w:val="1F1F1F"/>
          <w:szCs w:val="22"/>
          <w:lang w:eastAsia="hr-HR"/>
        </w:rPr>
        <w:t> (Kvarner s otocima izuzev južnog dijela otoka Cresa i Malog Lošinj</w:t>
      </w:r>
      <w:r>
        <w:rPr>
          <w:color w:val="1F1F1F"/>
          <w:szCs w:val="22"/>
          <w:lang w:eastAsia="hr-HR"/>
        </w:rPr>
        <w:t>a), </w:t>
      </w:r>
      <w:r>
        <w:rPr>
          <w:b/>
          <w:bCs/>
          <w:color w:val="1F1F1F"/>
          <w:szCs w:val="22"/>
          <w:lang w:eastAsia="hr-HR"/>
        </w:rPr>
        <w:t>vrlo toplo</w:t>
      </w:r>
      <w:r>
        <w:rPr>
          <w:color w:val="1F1F1F"/>
          <w:szCs w:val="22"/>
          <w:lang w:eastAsia="hr-HR"/>
        </w:rPr>
        <w:t xml:space="preserve"> (dijelovi istočne Hrvatske, sjeverna Hrvatska, Gorski kotar i </w:t>
      </w:r>
      <w:r>
        <w:rPr>
          <w:color w:val="1F1F1F"/>
          <w:szCs w:val="22"/>
          <w:lang w:eastAsia="hr-HR"/>
        </w:rPr>
        <w:lastRenderedPageBreak/>
        <w:t>sjeverni dio Velebita, Istra, sjevernodalmatinski otoci, Ravni kotari, otoci i dio srednje Dalmacije, dio južne Dalmacije) i </w:t>
      </w:r>
      <w:r>
        <w:rPr>
          <w:b/>
          <w:bCs/>
          <w:color w:val="1F1F1F"/>
          <w:szCs w:val="22"/>
          <w:lang w:eastAsia="hr-HR"/>
        </w:rPr>
        <w:t>ekstremno toplo</w:t>
      </w:r>
      <w:r>
        <w:rPr>
          <w:color w:val="1F1F1F"/>
          <w:szCs w:val="22"/>
          <w:lang w:eastAsia="hr-HR"/>
        </w:rPr>
        <w:t> (istok Hrvatske, veći dio središnje Hr</w:t>
      </w:r>
      <w:r>
        <w:rPr>
          <w:color w:val="1F1F1F"/>
          <w:szCs w:val="22"/>
          <w:lang w:eastAsia="hr-HR"/>
        </w:rPr>
        <w:t>vatske, Lika, južni Velebit, glavnina sjeverne Dalmacije, dijelovi srednje Dalmacije, Pelješac i Mljet).</w:t>
      </w:r>
    </w:p>
    <w:p w:rsidR="00A07D92" w:rsidRDefault="00495E63">
      <w:pPr>
        <w:spacing w:before="120" w:after="120"/>
        <w:jc w:val="center"/>
        <w:rPr>
          <w:iCs/>
          <w:color w:val="54883D"/>
          <w:sz w:val="20"/>
          <w:szCs w:val="18"/>
        </w:rPr>
      </w:pPr>
      <w:r>
        <w:rPr>
          <w:iCs/>
          <w:color w:val="54883D"/>
          <w:sz w:val="20"/>
          <w:szCs w:val="18"/>
        </w:rPr>
        <w:t xml:space="preserve">Slika </w:t>
      </w:r>
      <w:r>
        <w:rPr>
          <w:iCs/>
          <w:color w:val="54883D"/>
          <w:sz w:val="20"/>
          <w:szCs w:val="18"/>
        </w:rPr>
        <w:fldChar w:fldCharType="begin"/>
      </w:r>
      <w:r>
        <w:rPr>
          <w:iCs/>
          <w:sz w:val="20"/>
          <w:szCs w:val="18"/>
        </w:rPr>
        <w:instrText>SEQ Slika \* ARABIC</w:instrText>
      </w:r>
      <w:r>
        <w:rPr>
          <w:iCs/>
          <w:sz w:val="20"/>
          <w:szCs w:val="18"/>
        </w:rPr>
        <w:fldChar w:fldCharType="separate"/>
      </w:r>
      <w:r>
        <w:rPr>
          <w:iCs/>
          <w:sz w:val="20"/>
          <w:szCs w:val="18"/>
        </w:rPr>
        <w:t>31</w:t>
      </w:r>
      <w:r>
        <w:rPr>
          <w:iCs/>
          <w:sz w:val="20"/>
          <w:szCs w:val="18"/>
        </w:rPr>
        <w:fldChar w:fldCharType="end"/>
      </w:r>
      <w:r>
        <w:rPr>
          <w:iCs/>
          <w:color w:val="54883D"/>
          <w:sz w:val="20"/>
          <w:szCs w:val="18"/>
        </w:rPr>
        <w:t>: Odstupanje srednje mjesečne temperature zraka u Hrvatskoj za ljeto 2022. godine</w:t>
      </w:r>
      <w:bookmarkStart w:id="361" w:name="_Hlk135300288"/>
      <w:bookmarkEnd w:id="361"/>
    </w:p>
    <w:p w:rsidR="00A07D92" w:rsidRDefault="00495E63">
      <w:pPr>
        <w:spacing w:before="120" w:after="120"/>
        <w:jc w:val="center"/>
        <w:rPr>
          <w:color w:val="auto"/>
          <w:szCs w:val="22"/>
        </w:rPr>
      </w:pPr>
      <w:r>
        <w:rPr>
          <w:noProof/>
          <w:lang w:eastAsia="hr-HR"/>
        </w:rPr>
        <w:drawing>
          <wp:inline distT="0" distB="0" distL="0" distR="0">
            <wp:extent cx="4739640" cy="4417695"/>
            <wp:effectExtent l="0" t="0" r="0" b="0"/>
            <wp:docPr id="133" name="Slik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lika19"/>
                    <pic:cNvPicPr>
                      <a:picLocks noChangeAspect="1" noChangeArrowheads="1"/>
                    </pic:cNvPicPr>
                  </pic:nvPicPr>
                  <pic:blipFill>
                    <a:blip r:embed="rId126"/>
                    <a:stretch>
                      <a:fillRect/>
                    </a:stretch>
                  </pic:blipFill>
                  <pic:spPr bwMode="auto">
                    <a:xfrm>
                      <a:off x="0" y="0"/>
                      <a:ext cx="4739640" cy="4417695"/>
                    </a:xfrm>
                    <a:prstGeom prst="rect">
                      <a:avLst/>
                    </a:prstGeom>
                  </pic:spPr>
                </pic:pic>
              </a:graphicData>
            </a:graphic>
          </wp:inline>
        </w:drawing>
      </w:r>
    </w:p>
    <w:p w:rsidR="00A07D92" w:rsidRDefault="00495E63">
      <w:pPr>
        <w:spacing w:before="120" w:after="120"/>
        <w:jc w:val="center"/>
        <w:rPr>
          <w:iCs/>
          <w:color w:val="54883D"/>
          <w:sz w:val="20"/>
          <w:szCs w:val="18"/>
        </w:rPr>
      </w:pPr>
      <w:r>
        <w:rPr>
          <w:bCs/>
          <w:i/>
          <w:color w:val="54883D"/>
          <w:sz w:val="20"/>
          <w:szCs w:val="18"/>
        </w:rPr>
        <w:t>Izvor: DHMZ</w:t>
      </w:r>
    </w:p>
    <w:p w:rsidR="00A07D92" w:rsidRDefault="00495E63">
      <w:pPr>
        <w:shd w:val="clear" w:color="auto" w:fill="FFFFFF"/>
        <w:spacing w:before="0" w:after="360"/>
        <w:rPr>
          <w:color w:val="1F1F1F"/>
          <w:szCs w:val="22"/>
          <w:lang w:eastAsia="hr-HR"/>
        </w:rPr>
      </w:pPr>
      <w:r>
        <w:rPr>
          <w:color w:val="1F1F1F"/>
          <w:szCs w:val="22"/>
          <w:lang w:eastAsia="hr-HR"/>
        </w:rPr>
        <w:t>Odstupanja srednje temper</w:t>
      </w:r>
      <w:r>
        <w:rPr>
          <w:color w:val="1F1F1F"/>
          <w:szCs w:val="22"/>
          <w:lang w:eastAsia="hr-HR"/>
        </w:rPr>
        <w:t>ature zraka u srpnju 2022. u odnosu na normalu 1981. – 2010. nalaze se u rasponu od 1,3 °C (Komiža) do 3,0 °C (Pazin i Rijeka). Na svim postajama temperatura zraka je bila viša od prosječne.</w:t>
      </w:r>
    </w:p>
    <w:p w:rsidR="00A07D92" w:rsidRDefault="00495E63">
      <w:pPr>
        <w:shd w:val="clear" w:color="auto" w:fill="FFFFFF"/>
        <w:spacing w:before="0" w:after="360"/>
        <w:rPr>
          <w:color w:val="1F1F1F"/>
          <w:szCs w:val="22"/>
          <w:lang w:eastAsia="hr-HR"/>
        </w:rPr>
      </w:pPr>
      <w:r>
        <w:rPr>
          <w:color w:val="1F1F1F"/>
          <w:szCs w:val="22"/>
          <w:lang w:eastAsia="hr-HR"/>
        </w:rPr>
        <w:t xml:space="preserve">Prema raspodjeli percentila, temperaturne prilike u Hrvatskoj za </w:t>
      </w:r>
      <w:r>
        <w:rPr>
          <w:color w:val="1F1F1F"/>
          <w:szCs w:val="22"/>
          <w:lang w:eastAsia="hr-HR"/>
        </w:rPr>
        <w:t>srpanj 2022. godine bile su u kategorijama: </w:t>
      </w:r>
      <w:r>
        <w:rPr>
          <w:b/>
          <w:bCs/>
          <w:color w:val="1F1F1F"/>
          <w:szCs w:val="22"/>
          <w:lang w:eastAsia="hr-HR"/>
        </w:rPr>
        <w:t>toplo</w:t>
      </w:r>
      <w:r>
        <w:rPr>
          <w:color w:val="1F1F1F"/>
          <w:szCs w:val="22"/>
          <w:lang w:eastAsia="hr-HR"/>
        </w:rPr>
        <w:t> (sjeverni dio središnje Hrvatske, Vis), </w:t>
      </w:r>
      <w:r>
        <w:rPr>
          <w:b/>
          <w:bCs/>
          <w:color w:val="1F1F1F"/>
          <w:szCs w:val="22"/>
          <w:lang w:eastAsia="hr-HR"/>
        </w:rPr>
        <w:t>vrlo toplo</w:t>
      </w:r>
      <w:r>
        <w:rPr>
          <w:color w:val="1F1F1F"/>
          <w:szCs w:val="22"/>
          <w:lang w:eastAsia="hr-HR"/>
        </w:rPr>
        <w:t> (istočna, dijelovi središnje i gorske Hrvatske, veći dio srednje Dalmacije) i </w:t>
      </w:r>
      <w:r>
        <w:rPr>
          <w:b/>
          <w:bCs/>
          <w:color w:val="1F1F1F"/>
          <w:szCs w:val="22"/>
          <w:lang w:eastAsia="hr-HR"/>
        </w:rPr>
        <w:t>ekstremno toplo</w:t>
      </w:r>
      <w:r>
        <w:rPr>
          <w:color w:val="1F1F1F"/>
          <w:szCs w:val="22"/>
          <w:lang w:eastAsia="hr-HR"/>
        </w:rPr>
        <w:t> (okolica Gradišta, zapadni dio središnje Hrvatske, dijelovi g</w:t>
      </w:r>
      <w:r>
        <w:rPr>
          <w:color w:val="1F1F1F"/>
          <w:szCs w:val="22"/>
          <w:lang w:eastAsia="hr-HR"/>
        </w:rPr>
        <w:t>orske Hrvatske, Istra, dijelovi Kvarnera s otocima, sjeverna Dalmacija sa zaleđem, jug srednje Dalmacije, južna Dalmacija).</w:t>
      </w:r>
    </w:p>
    <w:p w:rsidR="00A07D92" w:rsidRDefault="00495E63">
      <w:pPr>
        <w:spacing w:before="0" w:after="0"/>
        <w:jc w:val="center"/>
        <w:rPr>
          <w:rFonts w:eastAsia="Calibri"/>
          <w:color w:val="54883D"/>
          <w:sz w:val="20"/>
          <w:szCs w:val="18"/>
        </w:rPr>
      </w:pPr>
      <w:r>
        <w:rPr>
          <w:rFonts w:eastAsia="Calibri"/>
          <w:color w:val="54883D"/>
          <w:sz w:val="20"/>
          <w:szCs w:val="18"/>
        </w:rPr>
        <w:t xml:space="preserve">Tablica </w:t>
      </w:r>
      <w:r>
        <w:rPr>
          <w:rFonts w:eastAsia="Calibri"/>
          <w:color w:val="54883D"/>
          <w:sz w:val="20"/>
          <w:szCs w:val="18"/>
        </w:rPr>
        <w:fldChar w:fldCharType="begin"/>
      </w:r>
      <w:r>
        <w:rPr>
          <w:rFonts w:eastAsia="Calibri"/>
          <w:sz w:val="20"/>
          <w:szCs w:val="18"/>
        </w:rPr>
        <w:instrText>SEQ Tabela \* ARABIC</w:instrText>
      </w:r>
      <w:r>
        <w:rPr>
          <w:rFonts w:eastAsia="Calibri"/>
          <w:sz w:val="20"/>
          <w:szCs w:val="18"/>
        </w:rPr>
        <w:fldChar w:fldCharType="separate"/>
      </w:r>
      <w:r>
        <w:rPr>
          <w:rFonts w:eastAsia="Calibri"/>
          <w:sz w:val="20"/>
          <w:szCs w:val="18"/>
        </w:rPr>
        <w:t>70</w:t>
      </w:r>
      <w:r>
        <w:rPr>
          <w:rFonts w:eastAsia="Calibri"/>
          <w:sz w:val="20"/>
          <w:szCs w:val="18"/>
        </w:rPr>
        <w:fldChar w:fldCharType="end"/>
      </w:r>
      <w:r>
        <w:rPr>
          <w:rFonts w:eastAsia="Calibri"/>
          <w:color w:val="54883D"/>
          <w:sz w:val="20"/>
          <w:szCs w:val="18"/>
        </w:rPr>
        <w:t>.  Mjesečni broj vrućih dana (</w:t>
      </w:r>
      <w:r>
        <w:rPr>
          <w:rFonts w:eastAsia="Calibri"/>
          <w:color w:val="54883D"/>
          <w:sz w:val="20"/>
          <w:szCs w:val="18"/>
          <w:u w:val="single"/>
        </w:rPr>
        <w:t>&gt;</w:t>
      </w:r>
      <w:r>
        <w:rPr>
          <w:rFonts w:eastAsia="Calibri"/>
          <w:color w:val="54883D"/>
          <w:sz w:val="20"/>
          <w:szCs w:val="18"/>
        </w:rPr>
        <w:t xml:space="preserve"> 30°C), Mali Lošinj 2002. – 2021.</w:t>
      </w:r>
    </w:p>
    <w:tbl>
      <w:tblPr>
        <w:tblStyle w:val="ivopisnatablicareetke6-isticanje344"/>
        <w:tblW w:w="9058" w:type="dxa"/>
        <w:jc w:val="center"/>
        <w:tblLook w:val="04A0" w:firstRow="1" w:lastRow="0" w:firstColumn="1" w:lastColumn="0" w:noHBand="0" w:noVBand="1"/>
      </w:tblPr>
      <w:tblGrid>
        <w:gridCol w:w="928"/>
        <w:gridCol w:w="621"/>
        <w:gridCol w:w="620"/>
        <w:gridCol w:w="620"/>
        <w:gridCol w:w="553"/>
        <w:gridCol w:w="553"/>
        <w:gridCol w:w="552"/>
        <w:gridCol w:w="621"/>
        <w:gridCol w:w="622"/>
        <w:gridCol w:w="552"/>
        <w:gridCol w:w="553"/>
        <w:gridCol w:w="621"/>
        <w:gridCol w:w="622"/>
        <w:gridCol w:w="1020"/>
      </w:tblGrid>
      <w:tr w:rsidR="00A07D92" w:rsidTr="00A07D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4" w:space="0" w:color="54883D"/>
              <w:left w:val="single" w:sz="4" w:space="0" w:color="54883D"/>
              <w:bottom w:val="single" w:sz="12" w:space="0" w:color="C2D69B"/>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Godina</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I.</w:t>
            </w:r>
          </w:p>
        </w:tc>
        <w:tc>
          <w:tcPr>
            <w:tcW w:w="6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II.</w:t>
            </w:r>
          </w:p>
        </w:tc>
        <w:tc>
          <w:tcPr>
            <w:tcW w:w="6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III.</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IV.</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V.</w:t>
            </w:r>
          </w:p>
        </w:tc>
        <w:tc>
          <w:tcPr>
            <w:tcW w:w="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VI.</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VII.</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VIII.</w:t>
            </w:r>
          </w:p>
        </w:tc>
        <w:tc>
          <w:tcPr>
            <w:tcW w:w="5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IX.</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X.</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XI.</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XII.</w:t>
            </w:r>
          </w:p>
        </w:tc>
        <w:tc>
          <w:tcPr>
            <w:tcW w:w="1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Zbroj</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Zbroj</w:t>
            </w:r>
          </w:p>
        </w:tc>
        <w:tc>
          <w:tcPr>
            <w:tcW w:w="621" w:type="dxa"/>
            <w:tcBorders>
              <w:top w:val="single" w:sz="4" w:space="0" w:color="54883D"/>
              <w:left w:val="nil"/>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620"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620"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8</w:t>
            </w:r>
          </w:p>
        </w:tc>
        <w:tc>
          <w:tcPr>
            <w:tcW w:w="55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185</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370</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316</w:t>
            </w:r>
          </w:p>
        </w:tc>
        <w:tc>
          <w:tcPr>
            <w:tcW w:w="55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41</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w:t>
            </w:r>
          </w:p>
        </w:tc>
        <w:tc>
          <w:tcPr>
            <w:tcW w:w="1020"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920</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r>
              <w:rPr>
                <w:color w:val="76923C" w:themeColor="accent3" w:themeShade="BF"/>
                <w:sz w:val="20"/>
                <w:szCs w:val="20"/>
              </w:rPr>
              <w:t>Sred</w:t>
            </w:r>
          </w:p>
        </w:tc>
        <w:tc>
          <w:tcPr>
            <w:tcW w:w="621" w:type="dxa"/>
            <w:tcBorders>
              <w:top w:val="single" w:sz="4" w:space="0" w:color="54883D"/>
              <w:left w:val="nil"/>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620"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620"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0.4</w:t>
            </w:r>
          </w:p>
        </w:tc>
        <w:tc>
          <w:tcPr>
            <w:tcW w:w="55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9.3</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18.5</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15.8</w:t>
            </w:r>
          </w:p>
        </w:tc>
        <w:tc>
          <w:tcPr>
            <w:tcW w:w="55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2.0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0.0</w:t>
            </w:r>
          </w:p>
        </w:tc>
        <w:tc>
          <w:tcPr>
            <w:tcW w:w="1020"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76923C" w:themeColor="accent3" w:themeShade="BF"/>
                <w:sz w:val="20"/>
                <w:szCs w:val="20"/>
              </w:rPr>
              <w:t>46.0</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auto"/>
                <w:sz w:val="20"/>
                <w:szCs w:val="20"/>
              </w:rPr>
            </w:pPr>
            <w:proofErr w:type="spellStart"/>
            <w:r>
              <w:rPr>
                <w:color w:val="76923C" w:themeColor="accent3" w:themeShade="BF"/>
                <w:sz w:val="20"/>
                <w:szCs w:val="20"/>
              </w:rPr>
              <w:lastRenderedPageBreak/>
              <w:t>Std</w:t>
            </w:r>
            <w:proofErr w:type="spellEnd"/>
          </w:p>
        </w:tc>
        <w:tc>
          <w:tcPr>
            <w:tcW w:w="621" w:type="dxa"/>
            <w:tcBorders>
              <w:top w:val="single" w:sz="4" w:space="0" w:color="54883D"/>
              <w:left w:val="nil"/>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620"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620"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1.0</w:t>
            </w:r>
          </w:p>
        </w:tc>
        <w:tc>
          <w:tcPr>
            <w:tcW w:w="55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4.9</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5.1</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8.2</w:t>
            </w:r>
          </w:p>
        </w:tc>
        <w:tc>
          <w:tcPr>
            <w:tcW w:w="55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3.4</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0.0</w:t>
            </w:r>
          </w:p>
        </w:tc>
        <w:tc>
          <w:tcPr>
            <w:tcW w:w="1020" w:type="dxa"/>
            <w:tcBorders>
              <w:top w:val="single" w:sz="4" w:space="0" w:color="54883D"/>
              <w:left w:val="single" w:sz="4" w:space="0" w:color="54883D"/>
              <w:bottom w:val="single" w:sz="4" w:space="0" w:color="54883D"/>
              <w:right w:val="single" w:sz="4" w:space="0" w:color="54883D"/>
            </w:tcBorders>
            <w:shd w:val="clear" w:color="auto" w:fill="auto"/>
            <w:vAlign w:val="bottom"/>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sz w:val="20"/>
                <w:szCs w:val="20"/>
              </w:rPr>
              <w:t>14.2</w:t>
            </w:r>
          </w:p>
        </w:tc>
      </w:tr>
    </w:tbl>
    <w:p w:rsidR="00A07D92" w:rsidRDefault="00495E63">
      <w:pPr>
        <w:jc w:val="center"/>
        <w:rPr>
          <w:i/>
          <w:color w:val="54883D"/>
          <w:sz w:val="20"/>
        </w:rPr>
      </w:pPr>
      <w:r>
        <w:rPr>
          <w:i/>
          <w:color w:val="54883D"/>
          <w:sz w:val="20"/>
        </w:rPr>
        <w:t>Izvor: Državni hidrometeorološki zavod</w:t>
      </w:r>
    </w:p>
    <w:p w:rsidR="00A07D92" w:rsidRDefault="00495E63">
      <w:pPr>
        <w:jc w:val="left"/>
        <w:rPr>
          <w:color w:val="auto"/>
        </w:rPr>
      </w:pPr>
      <w:r>
        <w:rPr>
          <w:color w:val="auto"/>
        </w:rPr>
        <w:t xml:space="preserve">Prema analiziranom 10-godišnjem razdoblju vidimo da se vrući dani pojavljuju od svibnja do rujna, no najveći broj dana sa vrući danima se pojavljuje u srpnju. </w:t>
      </w:r>
    </w:p>
    <w:p w:rsidR="00A07D92" w:rsidRDefault="00495E63">
      <w:pPr>
        <w:rPr>
          <w:color w:val="auto"/>
          <w:szCs w:val="22"/>
        </w:rPr>
      </w:pPr>
      <w:r>
        <w:rPr>
          <w:color w:val="auto"/>
          <w:szCs w:val="22"/>
        </w:rPr>
        <w:t>Državni zavod u navedenom razdoblju, stalno prati temperature i u slučaju kada postoji 70% vjero</w:t>
      </w:r>
      <w:r>
        <w:rPr>
          <w:color w:val="auto"/>
          <w:szCs w:val="22"/>
        </w:rPr>
        <w:t>jatnosti da temperatura prijeđe prag, izvještava Ministarstvo zdravlja i Hrvatski zavod za javno zdravstvo o nastupanju toplinskog vala. Najveći broj smrti događa se u prva dva dana nakon pojave visoke temperature i kada razdoblje „opasnih razina“ temperat</w:t>
      </w:r>
      <w:r>
        <w:rPr>
          <w:color w:val="auto"/>
          <w:szCs w:val="22"/>
        </w:rPr>
        <w:t>ura potraje dulje vrijeme.</w:t>
      </w:r>
    </w:p>
    <w:p w:rsidR="00A07D92" w:rsidRDefault="00495E63">
      <w:pPr>
        <w:rPr>
          <w:color w:val="auto"/>
          <w:szCs w:val="22"/>
        </w:rPr>
      </w:pPr>
      <w:r>
        <w:rPr>
          <w:color w:val="auto"/>
          <w:szCs w:val="22"/>
        </w:rPr>
        <w:t>Najugroženije – ranjive skupine izloženog stanovništva su mala djeca i starije dobne skupine, kronični bolesnici, osobe s invaliditetom te osobe koji rade na otvorenom prostoru.</w:t>
      </w:r>
    </w:p>
    <w:p w:rsidR="00A07D92" w:rsidRDefault="00495E63">
      <w:pPr>
        <w:rPr>
          <w:color w:val="auto"/>
          <w:szCs w:val="22"/>
        </w:rPr>
      </w:pPr>
      <w:r>
        <w:rPr>
          <w:color w:val="auto"/>
          <w:szCs w:val="22"/>
        </w:rPr>
        <w:t>Za predočenje opsega opterećenosti zdravstvenih ust</w:t>
      </w:r>
      <w:r>
        <w:rPr>
          <w:color w:val="auto"/>
          <w:szCs w:val="22"/>
        </w:rPr>
        <w:t>anova navodi se koje skupine bolesnika će biti toliko ugrožene da se hospitaliziraju ili će zatražiti stručnu medicinsku pomoć i intervenciju. Prvenstveno su to osobe s već postojećim kroničnim bolestima (</w:t>
      </w:r>
      <w:proofErr w:type="spellStart"/>
      <w:r>
        <w:rPr>
          <w:color w:val="auto"/>
          <w:szCs w:val="22"/>
        </w:rPr>
        <w:t>hipertoničari</w:t>
      </w:r>
      <w:proofErr w:type="spellEnd"/>
      <w:r>
        <w:rPr>
          <w:color w:val="auto"/>
          <w:szCs w:val="22"/>
        </w:rPr>
        <w:t>, šećeraši, bubrežni, mentalni/depresi</w:t>
      </w:r>
      <w:r>
        <w:rPr>
          <w:color w:val="auto"/>
          <w:szCs w:val="22"/>
        </w:rPr>
        <w:t>ja najviše).</w:t>
      </w:r>
      <w:r>
        <w:t xml:space="preserve"> </w:t>
      </w:r>
      <w:r>
        <w:rPr>
          <w:color w:val="auto"/>
          <w:szCs w:val="22"/>
        </w:rPr>
        <w:t xml:space="preserve">U skupinu posebno ugroženih osoba pritom treba nadodati radnike na otvorenom. </w:t>
      </w:r>
    </w:p>
    <w:p w:rsidR="00A07D92" w:rsidRDefault="00495E63">
      <w:pPr>
        <w:spacing w:before="120" w:after="120"/>
        <w:rPr>
          <w:color w:val="000000"/>
        </w:rPr>
      </w:pPr>
      <w:r>
        <w:rPr>
          <w:color w:val="auto"/>
          <w:szCs w:val="22"/>
        </w:rPr>
        <w:t>Pojavnost ekstremnih temperatura poklapa se s razdobljem turističke sezone kada je  koncentracija osoba, a samim tim i opasnost daleko veća. U skupinu posebno ugrož</w:t>
      </w:r>
      <w:r>
        <w:rPr>
          <w:color w:val="auto"/>
          <w:szCs w:val="22"/>
        </w:rPr>
        <w:t xml:space="preserve">enih osoba pritom treba nadodati turiste te radnike na otvorenom. </w:t>
      </w:r>
      <w:r>
        <w:rPr>
          <w:color w:val="000000"/>
        </w:rPr>
        <w:t>Iznimno visoke dnevne temperature u kombinaciji s naglim ulaskom u more česti su uzrok smrti, naročito turista.</w:t>
      </w:r>
    </w:p>
    <w:p w:rsidR="00A07D92" w:rsidRDefault="00495E63">
      <w:pPr>
        <w:spacing w:before="120" w:after="120"/>
        <w:jc w:val="center"/>
        <w:rPr>
          <w:iCs/>
          <w:color w:val="54883D"/>
          <w:sz w:val="20"/>
          <w:szCs w:val="18"/>
        </w:rPr>
      </w:pPr>
      <w:r>
        <w:rPr>
          <w:iCs/>
          <w:color w:val="54883D"/>
          <w:sz w:val="20"/>
          <w:szCs w:val="18"/>
        </w:rPr>
        <w:t xml:space="preserve">Slika </w:t>
      </w:r>
      <w:r>
        <w:rPr>
          <w:iCs/>
          <w:color w:val="54883D"/>
          <w:sz w:val="20"/>
          <w:szCs w:val="18"/>
        </w:rPr>
        <w:fldChar w:fldCharType="begin"/>
      </w:r>
      <w:r>
        <w:rPr>
          <w:iCs/>
          <w:sz w:val="20"/>
          <w:szCs w:val="18"/>
        </w:rPr>
        <w:instrText>SEQ Slika \* ARABIC</w:instrText>
      </w:r>
      <w:r>
        <w:rPr>
          <w:iCs/>
          <w:sz w:val="20"/>
          <w:szCs w:val="18"/>
        </w:rPr>
        <w:fldChar w:fldCharType="separate"/>
      </w:r>
      <w:r>
        <w:rPr>
          <w:iCs/>
          <w:sz w:val="20"/>
          <w:szCs w:val="18"/>
        </w:rPr>
        <w:t>32</w:t>
      </w:r>
      <w:r>
        <w:rPr>
          <w:iCs/>
          <w:sz w:val="20"/>
          <w:szCs w:val="18"/>
        </w:rPr>
        <w:fldChar w:fldCharType="end"/>
      </w:r>
      <w:r>
        <w:rPr>
          <w:iCs/>
          <w:color w:val="54883D"/>
          <w:sz w:val="20"/>
          <w:szCs w:val="18"/>
        </w:rPr>
        <w:t xml:space="preserve">: Odstupanje količine oborine u Hrvatskoj za </w:t>
      </w:r>
      <w:r>
        <w:rPr>
          <w:iCs/>
          <w:color w:val="54883D"/>
          <w:sz w:val="20"/>
          <w:szCs w:val="18"/>
        </w:rPr>
        <w:t>ljeto 2020. godine</w:t>
      </w:r>
    </w:p>
    <w:p w:rsidR="00A07D92" w:rsidRDefault="00495E63">
      <w:pPr>
        <w:shd w:val="clear" w:color="auto" w:fill="FFFFFF"/>
        <w:spacing w:before="0" w:after="360"/>
        <w:jc w:val="center"/>
        <w:rPr>
          <w:color w:val="1F1F1F"/>
          <w:szCs w:val="22"/>
          <w:lang w:eastAsia="hr-HR"/>
        </w:rPr>
      </w:pPr>
      <w:r>
        <w:rPr>
          <w:noProof/>
          <w:lang w:eastAsia="hr-HR"/>
        </w:rPr>
        <w:drawing>
          <wp:inline distT="0" distB="0" distL="0" distR="0">
            <wp:extent cx="3927475" cy="3771900"/>
            <wp:effectExtent l="0" t="0" r="0" b="0"/>
            <wp:docPr id="134" name="Slik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lika20"/>
                    <pic:cNvPicPr>
                      <a:picLocks noChangeAspect="1" noChangeArrowheads="1"/>
                    </pic:cNvPicPr>
                  </pic:nvPicPr>
                  <pic:blipFill>
                    <a:blip r:embed="rId127"/>
                    <a:stretch>
                      <a:fillRect/>
                    </a:stretch>
                  </pic:blipFill>
                  <pic:spPr bwMode="auto">
                    <a:xfrm>
                      <a:off x="0" y="0"/>
                      <a:ext cx="3927475" cy="3771900"/>
                    </a:xfrm>
                    <a:prstGeom prst="rect">
                      <a:avLst/>
                    </a:prstGeom>
                  </pic:spPr>
                </pic:pic>
              </a:graphicData>
            </a:graphic>
          </wp:inline>
        </w:drawing>
      </w:r>
    </w:p>
    <w:p w:rsidR="00A07D92" w:rsidRDefault="00495E63">
      <w:pPr>
        <w:spacing w:before="120" w:after="120"/>
        <w:jc w:val="center"/>
        <w:rPr>
          <w:iCs/>
          <w:color w:val="54883D"/>
          <w:sz w:val="20"/>
          <w:szCs w:val="18"/>
        </w:rPr>
      </w:pPr>
      <w:r>
        <w:rPr>
          <w:bCs/>
          <w:i/>
          <w:color w:val="54883D"/>
          <w:sz w:val="20"/>
          <w:szCs w:val="18"/>
        </w:rPr>
        <w:t>Izvor: DHMZ</w:t>
      </w:r>
    </w:p>
    <w:p w:rsidR="00A07D92" w:rsidRDefault="00495E63">
      <w:pPr>
        <w:shd w:val="clear" w:color="auto" w:fill="FFFFFF"/>
        <w:spacing w:before="0" w:after="360"/>
        <w:rPr>
          <w:color w:val="1F1F1F"/>
          <w:szCs w:val="22"/>
          <w:lang w:eastAsia="hr-HR"/>
        </w:rPr>
      </w:pPr>
      <w:r>
        <w:rPr>
          <w:color w:val="1F1F1F"/>
          <w:szCs w:val="22"/>
          <w:lang w:eastAsia="hr-HR"/>
        </w:rPr>
        <w:lastRenderedPageBreak/>
        <w:t>Odstupanja količine oborine u srpnju 2020. godine u odnosu na normalu 1981. – 2010. nalaze se u rasponu od 10 % višegodišnjeg prosjeka na postaji Dubrovnik gdje je palo 2,7 mm oborine, do 250 % u Varaždinu gdje je palo 205,</w:t>
      </w:r>
      <w:r>
        <w:rPr>
          <w:color w:val="1F1F1F"/>
          <w:szCs w:val="22"/>
          <w:lang w:eastAsia="hr-HR"/>
        </w:rPr>
        <w:t>2 mm oborine. Analiza odstupanja količina oborine za srpanj 2020. izraženih u postotcima (%) višegodišnjeg prosjeka pokazuje da su količine oborine bile iznad prosjeka na postajama Gradište, Bilogora, Bjelovar, Križevci, Varaždin, Puntijarka, Zagreb-Maksim</w:t>
      </w:r>
      <w:r>
        <w:rPr>
          <w:color w:val="1F1F1F"/>
          <w:szCs w:val="22"/>
          <w:lang w:eastAsia="hr-HR"/>
        </w:rPr>
        <w:t xml:space="preserve">ir, </w:t>
      </w:r>
      <w:proofErr w:type="spellStart"/>
      <w:r>
        <w:rPr>
          <w:color w:val="1F1F1F"/>
          <w:szCs w:val="22"/>
          <w:lang w:eastAsia="hr-HR"/>
        </w:rPr>
        <w:t>Parg</w:t>
      </w:r>
      <w:proofErr w:type="spellEnd"/>
      <w:r>
        <w:rPr>
          <w:color w:val="1F1F1F"/>
          <w:szCs w:val="22"/>
          <w:lang w:eastAsia="hr-HR"/>
        </w:rPr>
        <w:t>, Ogulin, Senj, Zavižan, Rab, Mali Lošinj i Gospić. Na ostalim postajama količine oborine su bile prosječne ili ispod prosjeka.</w:t>
      </w:r>
    </w:p>
    <w:p w:rsidR="00A07D92" w:rsidRDefault="00495E63">
      <w:pPr>
        <w:spacing w:before="120" w:after="120"/>
        <w:jc w:val="center"/>
        <w:rPr>
          <w:iCs/>
          <w:color w:val="54883D"/>
          <w:sz w:val="20"/>
          <w:szCs w:val="18"/>
        </w:rPr>
      </w:pPr>
      <w:r>
        <w:rPr>
          <w:iCs/>
          <w:color w:val="54883D"/>
          <w:sz w:val="20"/>
          <w:szCs w:val="18"/>
        </w:rPr>
        <w:t xml:space="preserve">Slika </w:t>
      </w:r>
      <w:r>
        <w:rPr>
          <w:iCs/>
          <w:color w:val="54883D"/>
          <w:sz w:val="20"/>
          <w:szCs w:val="18"/>
        </w:rPr>
        <w:fldChar w:fldCharType="begin"/>
      </w:r>
      <w:r>
        <w:rPr>
          <w:iCs/>
          <w:sz w:val="20"/>
          <w:szCs w:val="18"/>
        </w:rPr>
        <w:instrText>SEQ Slika \* ARABIC</w:instrText>
      </w:r>
      <w:r>
        <w:rPr>
          <w:iCs/>
          <w:sz w:val="20"/>
          <w:szCs w:val="18"/>
        </w:rPr>
        <w:fldChar w:fldCharType="separate"/>
      </w:r>
      <w:r>
        <w:rPr>
          <w:iCs/>
          <w:sz w:val="20"/>
          <w:szCs w:val="18"/>
        </w:rPr>
        <w:t>33</w:t>
      </w:r>
      <w:r>
        <w:rPr>
          <w:iCs/>
          <w:sz w:val="20"/>
          <w:szCs w:val="18"/>
        </w:rPr>
        <w:fldChar w:fldCharType="end"/>
      </w:r>
      <w:r>
        <w:rPr>
          <w:iCs/>
          <w:color w:val="54883D"/>
          <w:sz w:val="20"/>
          <w:szCs w:val="18"/>
        </w:rPr>
        <w:t>: Odstupanje količine oborine u Hrvatskoj za ljeto 2021. godine</w:t>
      </w:r>
    </w:p>
    <w:p w:rsidR="00A07D92" w:rsidRDefault="00495E63">
      <w:pPr>
        <w:shd w:val="clear" w:color="auto" w:fill="FFFFFF"/>
        <w:spacing w:before="0" w:after="360"/>
        <w:jc w:val="center"/>
        <w:rPr>
          <w:color w:val="1F1F1F"/>
          <w:szCs w:val="22"/>
          <w:lang w:eastAsia="hr-HR"/>
        </w:rPr>
      </w:pPr>
      <w:r>
        <w:rPr>
          <w:noProof/>
          <w:lang w:eastAsia="hr-HR"/>
        </w:rPr>
        <w:drawing>
          <wp:inline distT="0" distB="0" distL="0" distR="0">
            <wp:extent cx="4328160" cy="4062095"/>
            <wp:effectExtent l="0" t="0" r="0" b="0"/>
            <wp:docPr id="135" name="Slik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lika21"/>
                    <pic:cNvPicPr>
                      <a:picLocks noChangeAspect="1" noChangeArrowheads="1"/>
                    </pic:cNvPicPr>
                  </pic:nvPicPr>
                  <pic:blipFill>
                    <a:blip r:embed="rId128"/>
                    <a:stretch>
                      <a:fillRect/>
                    </a:stretch>
                  </pic:blipFill>
                  <pic:spPr bwMode="auto">
                    <a:xfrm>
                      <a:off x="0" y="0"/>
                      <a:ext cx="4328160" cy="4062095"/>
                    </a:xfrm>
                    <a:prstGeom prst="rect">
                      <a:avLst/>
                    </a:prstGeom>
                  </pic:spPr>
                </pic:pic>
              </a:graphicData>
            </a:graphic>
          </wp:inline>
        </w:drawing>
      </w:r>
    </w:p>
    <w:p w:rsidR="00A07D92" w:rsidRDefault="00495E63">
      <w:pPr>
        <w:spacing w:before="120" w:after="120"/>
        <w:jc w:val="center"/>
        <w:rPr>
          <w:iCs/>
          <w:color w:val="54883D"/>
          <w:sz w:val="20"/>
          <w:szCs w:val="18"/>
        </w:rPr>
      </w:pPr>
      <w:r>
        <w:rPr>
          <w:bCs/>
          <w:i/>
          <w:color w:val="54883D"/>
          <w:sz w:val="20"/>
          <w:szCs w:val="18"/>
        </w:rPr>
        <w:t>Izvor: DHMZ</w:t>
      </w:r>
    </w:p>
    <w:p w:rsidR="00A07D92" w:rsidRDefault="00495E63">
      <w:pPr>
        <w:shd w:val="clear" w:color="auto" w:fill="FFFFFF"/>
        <w:spacing w:before="0" w:after="360"/>
        <w:rPr>
          <w:color w:val="1F1F1F"/>
          <w:szCs w:val="22"/>
          <w:lang w:eastAsia="hr-HR"/>
        </w:rPr>
      </w:pPr>
      <w:proofErr w:type="spellStart"/>
      <w:r>
        <w:rPr>
          <w:color w:val="1F1F1F"/>
          <w:szCs w:val="22"/>
          <w:lang w:eastAsia="hr-HR"/>
        </w:rPr>
        <w:t>Oborinske</w:t>
      </w:r>
      <w:proofErr w:type="spellEnd"/>
      <w:r>
        <w:rPr>
          <w:color w:val="1F1F1F"/>
          <w:szCs w:val="22"/>
          <w:lang w:eastAsia="hr-HR"/>
        </w:rPr>
        <w:t xml:space="preserve"> pr</w:t>
      </w:r>
      <w:r>
        <w:rPr>
          <w:color w:val="1F1F1F"/>
          <w:szCs w:val="22"/>
          <w:lang w:eastAsia="hr-HR"/>
        </w:rPr>
        <w:t xml:space="preserve">ilike u Hrvatskoj u srpnju 2021. godine izražene percentilima detaljnije su opisane sljedećim kategorijama: sušno (okolica Makarske, Komiže i Dubrovnika), normalno (središnja i dio istočne Hrvatske, Dalmacija izuzev spomenutih sušnih područja), kišno (dio </w:t>
      </w:r>
      <w:r>
        <w:rPr>
          <w:color w:val="1F1F1F"/>
          <w:szCs w:val="22"/>
          <w:lang w:eastAsia="hr-HR"/>
        </w:rPr>
        <w:t>istočne Hrvatske, okolica Bilogore, gorska Hrvatska, Istra, Kvarner s otocima), vrlo kišno (okolica Rijeke, područje od Senja do Zavižana, okolica Gospića) i ekstremno kišno (Senj i Zavižan).</w:t>
      </w:r>
    </w:p>
    <w:p w:rsidR="00A07D92" w:rsidRDefault="00A07D92">
      <w:pPr>
        <w:spacing w:before="120" w:after="120"/>
        <w:jc w:val="center"/>
        <w:rPr>
          <w:iCs/>
          <w:color w:val="54883D"/>
          <w:sz w:val="20"/>
          <w:szCs w:val="18"/>
        </w:rPr>
      </w:pPr>
    </w:p>
    <w:p w:rsidR="00A07D92" w:rsidRDefault="00A07D92">
      <w:pPr>
        <w:spacing w:before="120" w:after="120"/>
        <w:jc w:val="center"/>
        <w:rPr>
          <w:iCs/>
          <w:color w:val="54883D"/>
          <w:sz w:val="20"/>
          <w:szCs w:val="18"/>
        </w:rPr>
      </w:pPr>
    </w:p>
    <w:p w:rsidR="00A07D92" w:rsidRDefault="00A07D92">
      <w:pPr>
        <w:spacing w:before="120" w:after="120"/>
        <w:jc w:val="center"/>
        <w:rPr>
          <w:iCs/>
          <w:color w:val="54883D"/>
          <w:sz w:val="20"/>
          <w:szCs w:val="18"/>
        </w:rPr>
      </w:pPr>
    </w:p>
    <w:p w:rsidR="00A07D92" w:rsidRDefault="00A07D92">
      <w:pPr>
        <w:spacing w:before="120" w:after="120"/>
        <w:jc w:val="center"/>
        <w:rPr>
          <w:iCs/>
          <w:color w:val="54883D"/>
          <w:sz w:val="20"/>
          <w:szCs w:val="18"/>
        </w:rPr>
      </w:pPr>
    </w:p>
    <w:p w:rsidR="00A07D92" w:rsidRDefault="00A07D92">
      <w:pPr>
        <w:spacing w:before="120" w:after="120"/>
        <w:jc w:val="center"/>
        <w:rPr>
          <w:iCs/>
          <w:color w:val="54883D"/>
          <w:sz w:val="20"/>
          <w:szCs w:val="18"/>
        </w:rPr>
      </w:pPr>
    </w:p>
    <w:p w:rsidR="00A07D92" w:rsidRDefault="00A07D92">
      <w:pPr>
        <w:spacing w:before="120" w:after="120"/>
        <w:jc w:val="center"/>
        <w:rPr>
          <w:iCs/>
          <w:color w:val="54883D"/>
          <w:sz w:val="20"/>
          <w:szCs w:val="18"/>
        </w:rPr>
      </w:pPr>
    </w:p>
    <w:p w:rsidR="00A07D92" w:rsidRDefault="00495E63">
      <w:pPr>
        <w:spacing w:before="120" w:after="120"/>
        <w:jc w:val="center"/>
        <w:rPr>
          <w:iCs/>
          <w:color w:val="54883D"/>
          <w:sz w:val="20"/>
          <w:szCs w:val="18"/>
        </w:rPr>
      </w:pPr>
      <w:r>
        <w:rPr>
          <w:iCs/>
          <w:color w:val="54883D"/>
          <w:sz w:val="20"/>
          <w:szCs w:val="18"/>
        </w:rPr>
        <w:t xml:space="preserve">Slika </w:t>
      </w:r>
      <w:r>
        <w:rPr>
          <w:iCs/>
          <w:color w:val="54883D"/>
          <w:sz w:val="20"/>
          <w:szCs w:val="18"/>
        </w:rPr>
        <w:fldChar w:fldCharType="begin"/>
      </w:r>
      <w:r>
        <w:rPr>
          <w:iCs/>
          <w:sz w:val="20"/>
          <w:szCs w:val="18"/>
        </w:rPr>
        <w:instrText>SEQ Slika \* ARABIC</w:instrText>
      </w:r>
      <w:r>
        <w:rPr>
          <w:iCs/>
          <w:sz w:val="20"/>
          <w:szCs w:val="18"/>
        </w:rPr>
        <w:fldChar w:fldCharType="separate"/>
      </w:r>
      <w:r>
        <w:rPr>
          <w:iCs/>
          <w:sz w:val="20"/>
          <w:szCs w:val="18"/>
        </w:rPr>
        <w:t>34</w:t>
      </w:r>
      <w:r>
        <w:rPr>
          <w:iCs/>
          <w:sz w:val="20"/>
          <w:szCs w:val="18"/>
        </w:rPr>
        <w:fldChar w:fldCharType="end"/>
      </w:r>
      <w:r>
        <w:rPr>
          <w:iCs/>
          <w:color w:val="54883D"/>
          <w:sz w:val="20"/>
          <w:szCs w:val="18"/>
        </w:rPr>
        <w:t>: Odstupanje količine oborin</w:t>
      </w:r>
      <w:r>
        <w:rPr>
          <w:iCs/>
          <w:color w:val="54883D"/>
          <w:sz w:val="20"/>
          <w:szCs w:val="18"/>
        </w:rPr>
        <w:t>e u Hrvatskoj za ljeto 2022. godine</w:t>
      </w:r>
    </w:p>
    <w:p w:rsidR="00A07D92" w:rsidRDefault="00495E63">
      <w:pPr>
        <w:shd w:val="clear" w:color="auto" w:fill="FFFFFF"/>
        <w:spacing w:before="0" w:after="360"/>
        <w:jc w:val="center"/>
        <w:rPr>
          <w:color w:val="1F1F1F"/>
          <w:szCs w:val="22"/>
          <w:lang w:eastAsia="hr-HR"/>
        </w:rPr>
      </w:pPr>
      <w:r>
        <w:rPr>
          <w:noProof/>
          <w:lang w:eastAsia="hr-HR"/>
        </w:rPr>
        <w:drawing>
          <wp:inline distT="0" distB="0" distL="0" distR="0">
            <wp:extent cx="3870960" cy="3780155"/>
            <wp:effectExtent l="0" t="0" r="0" b="0"/>
            <wp:docPr id="136" name="Slik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lika22"/>
                    <pic:cNvPicPr>
                      <a:picLocks noChangeAspect="1" noChangeArrowheads="1"/>
                    </pic:cNvPicPr>
                  </pic:nvPicPr>
                  <pic:blipFill>
                    <a:blip r:embed="rId129"/>
                    <a:stretch>
                      <a:fillRect/>
                    </a:stretch>
                  </pic:blipFill>
                  <pic:spPr bwMode="auto">
                    <a:xfrm>
                      <a:off x="0" y="0"/>
                      <a:ext cx="3870960" cy="3780155"/>
                    </a:xfrm>
                    <a:prstGeom prst="rect">
                      <a:avLst/>
                    </a:prstGeom>
                  </pic:spPr>
                </pic:pic>
              </a:graphicData>
            </a:graphic>
          </wp:inline>
        </w:drawing>
      </w:r>
    </w:p>
    <w:p w:rsidR="00A07D92" w:rsidRDefault="00495E63">
      <w:pPr>
        <w:spacing w:before="120" w:after="120"/>
        <w:jc w:val="center"/>
        <w:rPr>
          <w:iCs/>
          <w:color w:val="54883D"/>
          <w:sz w:val="20"/>
          <w:szCs w:val="18"/>
        </w:rPr>
      </w:pPr>
      <w:r>
        <w:rPr>
          <w:bCs/>
          <w:i/>
          <w:color w:val="54883D"/>
          <w:sz w:val="20"/>
          <w:szCs w:val="18"/>
        </w:rPr>
        <w:t>Izvor: DHMZ</w:t>
      </w:r>
    </w:p>
    <w:p w:rsidR="00A07D92" w:rsidRDefault="00495E63">
      <w:pPr>
        <w:shd w:val="clear" w:color="auto" w:fill="FFFFFF"/>
        <w:spacing w:before="0" w:after="360"/>
        <w:rPr>
          <w:color w:val="1F1F1F"/>
          <w:szCs w:val="22"/>
          <w:lang w:eastAsia="hr-HR"/>
        </w:rPr>
      </w:pPr>
      <w:proofErr w:type="spellStart"/>
      <w:r>
        <w:rPr>
          <w:color w:val="1F1F1F"/>
          <w:szCs w:val="22"/>
          <w:lang w:eastAsia="hr-HR"/>
        </w:rPr>
        <w:t>Oborinske</w:t>
      </w:r>
      <w:proofErr w:type="spellEnd"/>
      <w:r>
        <w:rPr>
          <w:color w:val="1F1F1F"/>
          <w:szCs w:val="22"/>
          <w:lang w:eastAsia="hr-HR"/>
        </w:rPr>
        <w:t xml:space="preserve"> prilike u Hrvatskoj u srpnju 2022. godine izražene percentilima detaljnije su opisane sljedećim kategorijama: ekstremno sušno (okolica Križevaca), vrlo sušno (šira okolica Slavonskog Broda i Križe</w:t>
      </w:r>
      <w:r>
        <w:rPr>
          <w:color w:val="1F1F1F"/>
          <w:szCs w:val="22"/>
          <w:lang w:eastAsia="hr-HR"/>
        </w:rPr>
        <w:t>vaca), sušno (istočna i dijelovi središnje Hrvatske, okolica Karlovca, okolica Zavižana i dijelovi kvarnerskih otoka, okolica Zadra i postaje Split-Marjan), normalno (dijelovi središnje i gorske Hrvatske, Kvarner i dijelovi otoka, Istra, Dalmacija izuzev o</w:t>
      </w:r>
      <w:r>
        <w:rPr>
          <w:color w:val="1F1F1F"/>
          <w:szCs w:val="22"/>
          <w:lang w:eastAsia="hr-HR"/>
        </w:rPr>
        <w:t>kolice Zadra, Šibenika i postaje Split-Marjan), kišno (šira okolica Šibenika) i vrlo kišno (okolica Šibenika).</w:t>
      </w:r>
    </w:p>
    <w:p w:rsidR="00A07D92" w:rsidRDefault="00495E63">
      <w:pPr>
        <w:spacing w:before="0"/>
        <w:jc w:val="center"/>
        <w:rPr>
          <w:bCs/>
          <w:color w:val="54883D"/>
          <w:sz w:val="20"/>
          <w:szCs w:val="18"/>
          <w:lang w:bidi="en-US"/>
        </w:rPr>
      </w:pPr>
      <w:r>
        <w:rPr>
          <w:rFonts w:eastAsia="Calibri"/>
          <w:bCs/>
          <w:color w:val="54883D"/>
          <w:sz w:val="20"/>
          <w:szCs w:val="18"/>
        </w:rPr>
        <w:t xml:space="preserve">Tablica </w:t>
      </w:r>
      <w:r>
        <w:rPr>
          <w:rFonts w:eastAsia="Calibri"/>
          <w:bCs/>
          <w:color w:val="54883D"/>
          <w:sz w:val="20"/>
          <w:szCs w:val="18"/>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71</w:t>
      </w:r>
      <w:r>
        <w:rPr>
          <w:rFonts w:eastAsia="Calibri"/>
          <w:bCs/>
          <w:sz w:val="20"/>
          <w:szCs w:val="18"/>
        </w:rPr>
        <w:fldChar w:fldCharType="end"/>
      </w:r>
      <w:r>
        <w:rPr>
          <w:rFonts w:eastAsia="Calibri"/>
          <w:bCs/>
          <w:color w:val="54883D"/>
          <w:sz w:val="20"/>
          <w:szCs w:val="18"/>
        </w:rPr>
        <w:t>.</w:t>
      </w:r>
      <w:r>
        <w:rPr>
          <w:bCs/>
          <w:color w:val="54883D"/>
          <w:sz w:val="20"/>
          <w:szCs w:val="18"/>
          <w:lang w:bidi="en-US"/>
        </w:rPr>
        <w:t xml:space="preserve"> Broj dana s količinom oborine &gt;=0,1 mm, Mali Lošinj 2002. - 2021.</w:t>
      </w:r>
    </w:p>
    <w:tbl>
      <w:tblPr>
        <w:tblW w:w="9217" w:type="dxa"/>
        <w:jc w:val="center"/>
        <w:tblCellMar>
          <w:left w:w="5" w:type="dxa"/>
          <w:right w:w="5" w:type="dxa"/>
        </w:tblCellMar>
        <w:tblLook w:val="04A0" w:firstRow="1" w:lastRow="0" w:firstColumn="1" w:lastColumn="0" w:noHBand="0" w:noVBand="1"/>
      </w:tblPr>
      <w:tblGrid>
        <w:gridCol w:w="1117"/>
        <w:gridCol w:w="685"/>
        <w:gridCol w:w="590"/>
        <w:gridCol w:w="590"/>
        <w:gridCol w:w="590"/>
        <w:gridCol w:w="590"/>
        <w:gridCol w:w="590"/>
        <w:gridCol w:w="634"/>
        <w:gridCol w:w="747"/>
        <w:gridCol w:w="589"/>
        <w:gridCol w:w="590"/>
        <w:gridCol w:w="590"/>
        <w:gridCol w:w="634"/>
        <w:gridCol w:w="681"/>
      </w:tblGrid>
      <w:tr w:rsidR="00A07D92">
        <w:trPr>
          <w:trHeight w:hRule="exact" w:val="451"/>
          <w:tblHeader/>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MJESECI</w:t>
            </w:r>
          </w:p>
        </w:tc>
        <w:tc>
          <w:tcPr>
            <w:tcW w:w="6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II.</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III.</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IV.</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VI.</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VII.</w:t>
            </w:r>
          </w:p>
        </w:tc>
        <w:tc>
          <w:tcPr>
            <w:tcW w:w="74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VIII.</w:t>
            </w:r>
          </w:p>
        </w:tc>
        <w:tc>
          <w:tcPr>
            <w:tcW w:w="5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IX.</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X.</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XI.</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rPr>
              <w:t>XII.</w:t>
            </w:r>
          </w:p>
        </w:tc>
        <w:tc>
          <w:tcPr>
            <w:tcW w:w="68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 xml:space="preserve">Zbroj </w:t>
            </w:r>
          </w:p>
        </w:tc>
      </w:tr>
      <w:tr w:rsidR="00A07D92">
        <w:trPr>
          <w:trHeight w:hRule="exact" w:val="522"/>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SRED</w:t>
            </w:r>
          </w:p>
        </w:tc>
        <w:tc>
          <w:tcPr>
            <w:tcW w:w="68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10.1</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8.8</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10.3</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10.6</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6.5</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5.9</w:t>
            </w:r>
          </w:p>
        </w:tc>
        <w:tc>
          <w:tcPr>
            <w:tcW w:w="74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6.4</w:t>
            </w:r>
          </w:p>
        </w:tc>
        <w:tc>
          <w:tcPr>
            <w:tcW w:w="5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7.9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9.9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12.4</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12.4</w:t>
            </w:r>
          </w:p>
        </w:tc>
        <w:tc>
          <w:tcPr>
            <w:tcW w:w="68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112.2</w:t>
            </w:r>
          </w:p>
        </w:tc>
      </w:tr>
      <w:tr w:rsidR="00A07D92">
        <w:trPr>
          <w:trHeight w:hRule="exact" w:val="522"/>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STD</w:t>
            </w:r>
          </w:p>
        </w:tc>
        <w:tc>
          <w:tcPr>
            <w:tcW w:w="685"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3.9</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4.7</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4.3</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4.1</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4.3</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2.8</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3.9</w:t>
            </w:r>
          </w:p>
        </w:tc>
        <w:tc>
          <w:tcPr>
            <w:tcW w:w="74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3.6</w:t>
            </w:r>
          </w:p>
        </w:tc>
        <w:tc>
          <w:tcPr>
            <w:tcW w:w="5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3.2</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3.7</w:t>
            </w:r>
          </w:p>
        </w:tc>
        <w:tc>
          <w:tcPr>
            <w:tcW w:w="59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5.7</w:t>
            </w:r>
          </w:p>
        </w:tc>
        <w:tc>
          <w:tcPr>
            <w:tcW w:w="6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5.2</w:t>
            </w:r>
          </w:p>
        </w:tc>
        <w:tc>
          <w:tcPr>
            <w:tcW w:w="68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0"/>
                <w:lang w:eastAsia="hr-HR"/>
              </w:rPr>
            </w:pPr>
            <w:r>
              <w:rPr>
                <w:color w:val="auto"/>
                <w:sz w:val="20"/>
                <w:szCs w:val="20"/>
              </w:rPr>
              <w:t>19.1</w:t>
            </w:r>
          </w:p>
        </w:tc>
      </w:tr>
      <w:tr w:rsidR="00A07D92">
        <w:trPr>
          <w:trHeight w:hRule="exact" w:val="522"/>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MAX</w:t>
            </w:r>
          </w:p>
        </w:tc>
        <w:tc>
          <w:tcPr>
            <w:tcW w:w="6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19</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21</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18</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18</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18</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13</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17</w:t>
            </w:r>
          </w:p>
        </w:tc>
        <w:tc>
          <w:tcPr>
            <w:tcW w:w="74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14</w:t>
            </w:r>
          </w:p>
        </w:tc>
        <w:tc>
          <w:tcPr>
            <w:tcW w:w="5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14</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16</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25</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19</w:t>
            </w:r>
          </w:p>
        </w:tc>
        <w:tc>
          <w:tcPr>
            <w:tcW w:w="68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151</w:t>
            </w:r>
          </w:p>
        </w:tc>
      </w:tr>
      <w:tr w:rsidR="00A07D92">
        <w:trPr>
          <w:trHeight w:hRule="exact" w:val="475"/>
          <w:jc w:val="center"/>
        </w:trPr>
        <w:tc>
          <w:tcPr>
            <w:tcW w:w="11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auto"/>
                <w:sz w:val="20"/>
                <w:szCs w:val="20"/>
                <w:lang w:eastAsia="hr-HR"/>
              </w:rPr>
            </w:pPr>
            <w:r>
              <w:rPr>
                <w:b/>
                <w:color w:val="auto"/>
                <w:sz w:val="20"/>
                <w:szCs w:val="20"/>
                <w:lang w:eastAsia="hr-HR"/>
              </w:rPr>
              <w:t>MIN</w:t>
            </w:r>
          </w:p>
        </w:tc>
        <w:tc>
          <w:tcPr>
            <w:tcW w:w="6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4</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3</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74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58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2</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3</w:t>
            </w:r>
          </w:p>
        </w:tc>
        <w:tc>
          <w:tcPr>
            <w:tcW w:w="59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3</w:t>
            </w:r>
          </w:p>
        </w:tc>
        <w:tc>
          <w:tcPr>
            <w:tcW w:w="6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1</w:t>
            </w:r>
          </w:p>
        </w:tc>
        <w:tc>
          <w:tcPr>
            <w:tcW w:w="68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0"/>
                <w:lang w:eastAsia="hr-HR"/>
              </w:rPr>
            </w:pPr>
            <w:r>
              <w:rPr>
                <w:color w:val="auto"/>
                <w:sz w:val="20"/>
                <w:szCs w:val="20"/>
                <w:lang w:eastAsia="hr-HR"/>
              </w:rPr>
              <w:t>65</w:t>
            </w:r>
          </w:p>
        </w:tc>
      </w:tr>
    </w:tbl>
    <w:p w:rsidR="00A07D92" w:rsidRDefault="00495E63">
      <w:pPr>
        <w:jc w:val="center"/>
        <w:rPr>
          <w:i/>
          <w:color w:val="54883D"/>
          <w:sz w:val="20"/>
        </w:rPr>
      </w:pPr>
      <w:r>
        <w:rPr>
          <w:i/>
          <w:color w:val="54883D"/>
          <w:sz w:val="20"/>
        </w:rPr>
        <w:t>Izvor: DHMZ</w:t>
      </w:r>
    </w:p>
    <w:p w:rsidR="00A07D92" w:rsidRDefault="00A07D92">
      <w:pPr>
        <w:spacing w:before="120" w:after="120"/>
        <w:jc w:val="center"/>
        <w:rPr>
          <w:color w:val="000000"/>
        </w:rPr>
      </w:pPr>
    </w:p>
    <w:p w:rsidR="00A07D92" w:rsidRDefault="00A07D92">
      <w:pPr>
        <w:spacing w:before="120" w:after="120"/>
        <w:rPr>
          <w:b/>
          <w:color w:val="auto"/>
          <w:szCs w:val="22"/>
          <w:u w:val="single"/>
        </w:rPr>
      </w:pPr>
    </w:p>
    <w:p w:rsidR="00A07D92" w:rsidRDefault="00495E63">
      <w:pPr>
        <w:spacing w:before="120" w:after="120"/>
        <w:rPr>
          <w:b/>
          <w:color w:val="auto"/>
          <w:szCs w:val="22"/>
          <w:u w:val="single"/>
        </w:rPr>
      </w:pPr>
      <w:r>
        <w:rPr>
          <w:b/>
          <w:color w:val="auto"/>
          <w:szCs w:val="22"/>
          <w:u w:val="single"/>
        </w:rPr>
        <w:lastRenderedPageBreak/>
        <w:t xml:space="preserve">Klimatske </w:t>
      </w:r>
      <w:r>
        <w:rPr>
          <w:b/>
          <w:color w:val="auto"/>
          <w:szCs w:val="22"/>
          <w:u w:val="single"/>
        </w:rPr>
        <w:t>promjene</w:t>
      </w:r>
    </w:p>
    <w:p w:rsidR="00A07D92" w:rsidRDefault="00495E63">
      <w:pPr>
        <w:spacing w:before="120" w:after="120"/>
        <w:rPr>
          <w:color w:val="auto"/>
          <w:szCs w:val="22"/>
        </w:rPr>
      </w:pPr>
      <w:r>
        <w:rPr>
          <w:color w:val="auto"/>
          <w:szCs w:val="22"/>
        </w:rPr>
        <w:t>Predviđeni porast temperature zraka u 21. stoljeću globalnog je karaktera pri čemu se najveće zatopljenje može očekivati nad kopnom i u visokim zemljopisnim širinama sjeverne hemisfere zimi. Amplituda zatopljenja najmanja je nad oceanima na južnoj</w:t>
      </w:r>
      <w:r>
        <w:rPr>
          <w:color w:val="auto"/>
          <w:szCs w:val="22"/>
        </w:rPr>
        <w:t xml:space="preserve"> hemisferi. Dugoročna mjerenja površinske temperature zraka ukazuju da u cijeloj Hrvatskoj temperature zraka rastu te će se trendovi porasta temperature nastaviti.</w:t>
      </w:r>
    </w:p>
    <w:p w:rsidR="00A07D92" w:rsidRDefault="00495E63">
      <w:pPr>
        <w:spacing w:before="120" w:after="120"/>
        <w:rPr>
          <w:color w:val="auto"/>
          <w:szCs w:val="22"/>
        </w:rPr>
      </w:pPr>
      <w:r>
        <w:rPr>
          <w:noProof/>
          <w:lang w:eastAsia="hr-HR"/>
        </w:rPr>
        <w:drawing>
          <wp:inline distT="0" distB="0" distL="0" distR="0">
            <wp:extent cx="5759450" cy="3531235"/>
            <wp:effectExtent l="0" t="0" r="0" b="0"/>
            <wp:docPr id="137" name="Slika 11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lika 111" descr="Slika na kojoj se prikazuje tekst&#10;&#10;Opis je automatski generiran"/>
                    <pic:cNvPicPr>
                      <a:picLocks noChangeAspect="1" noChangeArrowheads="1"/>
                    </pic:cNvPicPr>
                  </pic:nvPicPr>
                  <pic:blipFill>
                    <a:blip r:embed="rId130"/>
                    <a:stretch>
                      <a:fillRect/>
                    </a:stretch>
                  </pic:blipFill>
                  <pic:spPr bwMode="auto">
                    <a:xfrm>
                      <a:off x="0" y="0"/>
                      <a:ext cx="5759450" cy="3531235"/>
                    </a:xfrm>
                    <a:prstGeom prst="rect">
                      <a:avLst/>
                    </a:prstGeom>
                  </pic:spPr>
                </pic:pic>
              </a:graphicData>
            </a:graphic>
          </wp:inline>
        </w:drawing>
      </w:r>
    </w:p>
    <w:p w:rsidR="00A07D92" w:rsidRDefault="00495E63">
      <w:pPr>
        <w:keepNext/>
        <w:spacing w:before="120" w:after="0" w:line="240" w:lineRule="auto"/>
        <w:jc w:val="center"/>
        <w:rPr>
          <w:b/>
          <w:i/>
          <w:color w:val="54883D"/>
          <w:sz w:val="20"/>
          <w:szCs w:val="18"/>
          <w:lang w:bidi="en-US"/>
        </w:rPr>
      </w:pPr>
      <w:r>
        <w:rPr>
          <w:b/>
          <w:i/>
          <w:color w:val="54883D"/>
          <w:sz w:val="20"/>
          <w:szCs w:val="18"/>
          <w:lang w:bidi="en-US"/>
        </w:rPr>
        <w:t xml:space="preserve">Slika </w:t>
      </w:r>
      <w:r>
        <w:rPr>
          <w:b/>
          <w:i/>
          <w:color w:val="54883D"/>
          <w:sz w:val="20"/>
          <w:szCs w:val="18"/>
          <w:lang w:bidi="en-US"/>
        </w:rPr>
        <w:fldChar w:fldCharType="begin"/>
      </w:r>
      <w:r>
        <w:rPr>
          <w:b/>
          <w:i/>
          <w:sz w:val="20"/>
          <w:szCs w:val="18"/>
        </w:rPr>
        <w:instrText>SEQ Slika \* ARABIC</w:instrText>
      </w:r>
      <w:r>
        <w:rPr>
          <w:b/>
          <w:i/>
          <w:sz w:val="20"/>
          <w:szCs w:val="18"/>
        </w:rPr>
        <w:fldChar w:fldCharType="separate"/>
      </w:r>
      <w:r>
        <w:rPr>
          <w:b/>
          <w:i/>
          <w:sz w:val="20"/>
          <w:szCs w:val="18"/>
        </w:rPr>
        <w:t>35</w:t>
      </w:r>
      <w:r>
        <w:rPr>
          <w:b/>
          <w:i/>
          <w:sz w:val="20"/>
          <w:szCs w:val="18"/>
        </w:rPr>
        <w:fldChar w:fldCharType="end"/>
      </w:r>
      <w:r>
        <w:rPr>
          <w:b/>
          <w:i/>
          <w:color w:val="54883D"/>
          <w:sz w:val="20"/>
          <w:szCs w:val="18"/>
          <w:lang w:bidi="en-US"/>
        </w:rPr>
        <w:t xml:space="preserve">. </w:t>
      </w:r>
      <w:r>
        <w:rPr>
          <w:b/>
          <w:i/>
          <w:color w:val="54883D"/>
          <w:sz w:val="20"/>
          <w:szCs w:val="18"/>
        </w:rPr>
        <w:t>Srednje godišnje zagrijavanje (promjena prizemne temperature zraka u °C) iz simulacija više modela prema B1 (gore), A1B (sredina) i A2 (dolje) scenarijima za tri razdoblja: 2011. - 2030. (lijevo), 2046. - 2065. (sredina) i 2080. - 2099. (desno). Zagrijavan</w:t>
      </w:r>
      <w:r>
        <w:rPr>
          <w:b/>
          <w:i/>
          <w:color w:val="54883D"/>
          <w:sz w:val="20"/>
          <w:szCs w:val="18"/>
        </w:rPr>
        <w:t xml:space="preserve">je je izračunato u odnosu na razdoblje 1980. - 1999. </w:t>
      </w:r>
    </w:p>
    <w:p w:rsidR="00A07D92" w:rsidRDefault="00495E63">
      <w:pPr>
        <w:jc w:val="center"/>
        <w:rPr>
          <w:bCs/>
          <w:i/>
          <w:color w:val="54883D"/>
          <w:sz w:val="20"/>
          <w:szCs w:val="18"/>
        </w:rPr>
      </w:pPr>
      <w:r>
        <w:rPr>
          <w:bCs/>
          <w:i/>
          <w:color w:val="54883D"/>
          <w:sz w:val="20"/>
          <w:szCs w:val="18"/>
        </w:rPr>
        <w:t>Izvor: DHMZ</w:t>
      </w:r>
    </w:p>
    <w:p w:rsidR="00A07D92" w:rsidRDefault="00495E63">
      <w:pPr>
        <w:spacing w:before="120" w:after="120"/>
        <w:rPr>
          <w:i/>
          <w:color w:val="auto"/>
          <w:szCs w:val="22"/>
          <w:u w:val="single"/>
        </w:rPr>
      </w:pPr>
      <w:r>
        <w:rPr>
          <w:i/>
          <w:color w:val="auto"/>
          <w:szCs w:val="22"/>
          <w:u w:val="single"/>
        </w:rPr>
        <w:t>Rezultati globalnog klimatskog modela ECHAM5/MPI-OM za područje Europe</w:t>
      </w:r>
      <w:r>
        <w:rPr>
          <w:rStyle w:val="Sidrofusnote"/>
          <w:i/>
          <w:color w:val="auto"/>
          <w:szCs w:val="22"/>
          <w:u w:val="single"/>
        </w:rPr>
        <w:footnoteReference w:id="12"/>
      </w:r>
    </w:p>
    <w:p w:rsidR="00A07D92" w:rsidRDefault="00495E63">
      <w:pPr>
        <w:spacing w:before="120" w:after="120"/>
        <w:rPr>
          <w:color w:val="auto"/>
          <w:szCs w:val="22"/>
        </w:rPr>
      </w:pPr>
      <w:r>
        <w:rPr>
          <w:color w:val="auto"/>
          <w:szCs w:val="22"/>
        </w:rPr>
        <w:t xml:space="preserve">U Državnom hidrometeorološkom zavodu (DHMZ) analizirani su rezultati združenog globalnog klimatskog modela </w:t>
      </w:r>
      <w:r>
        <w:rPr>
          <w:color w:val="auto"/>
          <w:szCs w:val="22"/>
        </w:rPr>
        <w:t xml:space="preserve">ECHAM5/MPI-OM nad područjem Europe. Ovaj model je razvijen u </w:t>
      </w:r>
      <w:proofErr w:type="spellStart"/>
      <w:r>
        <w:rPr>
          <w:color w:val="auto"/>
          <w:szCs w:val="22"/>
        </w:rPr>
        <w:t>Max</w:t>
      </w:r>
      <w:proofErr w:type="spellEnd"/>
      <w:r>
        <w:rPr>
          <w:color w:val="auto"/>
          <w:szCs w:val="22"/>
        </w:rPr>
        <w:t xml:space="preserve"> </w:t>
      </w:r>
      <w:proofErr w:type="spellStart"/>
      <w:r>
        <w:rPr>
          <w:color w:val="auto"/>
          <w:szCs w:val="22"/>
        </w:rPr>
        <w:t>Planck</w:t>
      </w:r>
      <w:proofErr w:type="spellEnd"/>
      <w:r>
        <w:rPr>
          <w:color w:val="auto"/>
          <w:szCs w:val="22"/>
        </w:rPr>
        <w:t xml:space="preserve"> institutu u Hamburgu u Njemačkoj i uključen je u posljednje izvješće Međuvladinog panela za klimatske promjene.</w:t>
      </w:r>
    </w:p>
    <w:p w:rsidR="00A07D92" w:rsidRDefault="00495E63">
      <w:pPr>
        <w:spacing w:before="120" w:after="120"/>
        <w:rPr>
          <w:color w:val="auto"/>
          <w:szCs w:val="22"/>
        </w:rPr>
      </w:pPr>
      <w:r>
        <w:rPr>
          <w:color w:val="auto"/>
          <w:szCs w:val="22"/>
        </w:rPr>
        <w:t xml:space="preserve">Integracije ECHAM5/MPI-OM modela sastoje se od 3 člana ansambla koji se </w:t>
      </w:r>
      <w:r>
        <w:rPr>
          <w:color w:val="auto"/>
          <w:szCs w:val="22"/>
        </w:rPr>
        <w:t>međusobno razlikuju u definiciji početnih uvjeta te obuhvaćaju razdoblje 1860. - 2000. u kojem koncentracije plinova staklenika odgovaraju izmjerenim vrijednostima. U budućoj klimi globalni model integriran je prema nekoliko scenarija emisije plinova stakl</w:t>
      </w:r>
      <w:r>
        <w:rPr>
          <w:color w:val="auto"/>
          <w:szCs w:val="22"/>
        </w:rPr>
        <w:t>enika, a u DHMZ-u su korišteni rezultati modela dobiveni prema A2 scenariju koji je jedan od najnepovoljnijih scenarija za okoliš. Rezultati modela za A2 scenarij obuhvaćaju razdoblje 2001. - 2100. i također su dostupni za 3 realizacije koje se nastavljaju</w:t>
      </w:r>
      <w:r>
        <w:rPr>
          <w:color w:val="auto"/>
          <w:szCs w:val="22"/>
        </w:rPr>
        <w:t xml:space="preserve"> na simulacije modelom do 2001. godine.</w:t>
      </w:r>
    </w:p>
    <w:p w:rsidR="00A07D92" w:rsidRDefault="00495E63">
      <w:pPr>
        <w:spacing w:before="120" w:after="0"/>
        <w:rPr>
          <w:color w:val="auto"/>
          <w:szCs w:val="22"/>
        </w:rPr>
      </w:pPr>
      <w:r>
        <w:rPr>
          <w:color w:val="auto"/>
          <w:szCs w:val="22"/>
        </w:rPr>
        <w:lastRenderedPageBreak/>
        <w:t>Prema rezultatima ovog modela za područje Europe sredinom 21. stoljeća (2041. - 2070.) očekuje se porast prizemne temperature zraka u odnosu na temperaturu u klimi 20. stoljeća (1961. - 1990.). Zimi (prosinac - velja</w:t>
      </w:r>
      <w:r>
        <w:rPr>
          <w:color w:val="auto"/>
          <w:szCs w:val="22"/>
        </w:rPr>
        <w:t>ča) je predviđeno zatopljenje najveće u sjeveroistočnoj Europi (više od 3 °C), dok je ljeti (lipanj - kolovoz) područje najvećeg porasta prizemne temperature zraka južna Europa gdje na Pirinejskom poluotoku temperature mogu biti više i za 4 °C.</w:t>
      </w:r>
    </w:p>
    <w:p w:rsidR="00A07D92" w:rsidRDefault="00495E63">
      <w:pPr>
        <w:spacing w:before="120" w:after="120"/>
        <w:jc w:val="center"/>
        <w:rPr>
          <w:color w:val="auto"/>
          <w:szCs w:val="22"/>
        </w:rPr>
      </w:pPr>
      <w:r>
        <w:rPr>
          <w:noProof/>
          <w:lang w:eastAsia="hr-HR"/>
        </w:rPr>
        <w:drawing>
          <wp:inline distT="0" distB="0" distL="0" distR="0">
            <wp:extent cx="5270500" cy="2334260"/>
            <wp:effectExtent l="0" t="0" r="0" b="0"/>
            <wp:docPr id="138"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lika 112"/>
                    <pic:cNvPicPr>
                      <a:picLocks noChangeAspect="1" noChangeArrowheads="1"/>
                    </pic:cNvPicPr>
                  </pic:nvPicPr>
                  <pic:blipFill>
                    <a:blip r:embed="rId131"/>
                    <a:stretch>
                      <a:fillRect/>
                    </a:stretch>
                  </pic:blipFill>
                  <pic:spPr bwMode="auto">
                    <a:xfrm>
                      <a:off x="0" y="0"/>
                      <a:ext cx="5270500" cy="2334260"/>
                    </a:xfrm>
                    <a:prstGeom prst="rect">
                      <a:avLst/>
                    </a:prstGeom>
                  </pic:spPr>
                </pic:pic>
              </a:graphicData>
            </a:graphic>
          </wp:inline>
        </w:drawing>
      </w:r>
    </w:p>
    <w:p w:rsidR="00A07D92" w:rsidRDefault="00495E63">
      <w:pPr>
        <w:keepNext/>
        <w:spacing w:before="120" w:after="0" w:line="240" w:lineRule="auto"/>
        <w:jc w:val="center"/>
        <w:rPr>
          <w:b/>
          <w:i/>
          <w:color w:val="54883D"/>
          <w:sz w:val="20"/>
          <w:szCs w:val="18"/>
          <w:lang w:bidi="en-US"/>
        </w:rPr>
      </w:pPr>
      <w:r>
        <w:rPr>
          <w:b/>
          <w:i/>
          <w:color w:val="54883D"/>
          <w:sz w:val="20"/>
          <w:szCs w:val="18"/>
          <w:lang w:bidi="en-US"/>
        </w:rPr>
        <w:t xml:space="preserve">Slika </w:t>
      </w:r>
      <w:r>
        <w:rPr>
          <w:b/>
          <w:i/>
          <w:color w:val="54883D"/>
          <w:sz w:val="20"/>
          <w:szCs w:val="18"/>
          <w:lang w:bidi="en-US"/>
        </w:rPr>
        <w:fldChar w:fldCharType="begin"/>
      </w:r>
      <w:r>
        <w:rPr>
          <w:b/>
          <w:i/>
          <w:sz w:val="20"/>
          <w:szCs w:val="18"/>
        </w:rPr>
        <w:instrText>SEQ</w:instrText>
      </w:r>
      <w:r>
        <w:rPr>
          <w:b/>
          <w:i/>
          <w:sz w:val="20"/>
          <w:szCs w:val="18"/>
        </w:rPr>
        <w:instrText xml:space="preserve"> Slika \* ARABIC</w:instrText>
      </w:r>
      <w:r>
        <w:rPr>
          <w:b/>
          <w:i/>
          <w:sz w:val="20"/>
          <w:szCs w:val="18"/>
        </w:rPr>
        <w:fldChar w:fldCharType="separate"/>
      </w:r>
      <w:r>
        <w:rPr>
          <w:b/>
          <w:i/>
          <w:sz w:val="20"/>
          <w:szCs w:val="18"/>
        </w:rPr>
        <w:t>36</w:t>
      </w:r>
      <w:r>
        <w:rPr>
          <w:b/>
          <w:i/>
          <w:sz w:val="20"/>
          <w:szCs w:val="18"/>
        </w:rPr>
        <w:fldChar w:fldCharType="end"/>
      </w:r>
      <w:r>
        <w:rPr>
          <w:b/>
          <w:i/>
          <w:color w:val="54883D"/>
          <w:sz w:val="20"/>
          <w:szCs w:val="18"/>
          <w:lang w:bidi="en-US"/>
        </w:rPr>
        <w:t xml:space="preserve">. </w:t>
      </w:r>
      <w:r>
        <w:rPr>
          <w:b/>
          <w:i/>
          <w:color w:val="54883D"/>
          <w:sz w:val="20"/>
          <w:szCs w:val="18"/>
        </w:rPr>
        <w:t>Promjena prizemne temperature zraka (u °C) u Europi u razdoblju 2041-2070. u odnosu na razdoblje 1961. - 1990. prema rezultatima srednjaka ansambla globalnog klimatskog modela ECHAM5/MPI-OM za A2 scenarij emisije plinova staklenika z</w:t>
      </w:r>
      <w:r>
        <w:rPr>
          <w:b/>
          <w:i/>
          <w:color w:val="54883D"/>
          <w:sz w:val="20"/>
          <w:szCs w:val="18"/>
        </w:rPr>
        <w:t>a zimu (lijevo) i ljeto (desno)</w:t>
      </w:r>
    </w:p>
    <w:p w:rsidR="00A07D92" w:rsidRDefault="00495E63">
      <w:pPr>
        <w:jc w:val="center"/>
        <w:rPr>
          <w:bCs/>
          <w:color w:val="54883D"/>
          <w:sz w:val="20"/>
          <w:szCs w:val="18"/>
        </w:rPr>
      </w:pPr>
      <w:r>
        <w:rPr>
          <w:bCs/>
          <w:color w:val="54883D"/>
          <w:sz w:val="20"/>
          <w:szCs w:val="18"/>
        </w:rPr>
        <w:t>Izvor: DHMZ</w:t>
      </w:r>
    </w:p>
    <w:p w:rsidR="00A07D92" w:rsidRDefault="00495E63">
      <w:pPr>
        <w:spacing w:before="120" w:after="120"/>
        <w:rPr>
          <w:i/>
          <w:color w:val="auto"/>
          <w:szCs w:val="22"/>
          <w:u w:val="single"/>
        </w:rPr>
      </w:pPr>
      <w:r>
        <w:rPr>
          <w:i/>
          <w:color w:val="auto"/>
          <w:szCs w:val="22"/>
          <w:u w:val="single"/>
        </w:rPr>
        <w:t>Projicirane promjene prizemne temperature zraka i oborine u Hrvatskoj</w:t>
      </w:r>
    </w:p>
    <w:p w:rsidR="00A07D92" w:rsidRDefault="00495E63">
      <w:pPr>
        <w:spacing w:before="120" w:after="0"/>
        <w:rPr>
          <w:color w:val="auto"/>
          <w:szCs w:val="22"/>
        </w:rPr>
      </w:pPr>
      <w:r>
        <w:rPr>
          <w:color w:val="auto"/>
          <w:szCs w:val="22"/>
        </w:rPr>
        <w:t xml:space="preserve">Klimatske promjene u budućoj klimi na području Hrvatske dobivene simulacijama klime regionalnim klimatskim modelom </w:t>
      </w:r>
      <w:proofErr w:type="spellStart"/>
      <w:r>
        <w:rPr>
          <w:color w:val="auto"/>
          <w:szCs w:val="22"/>
        </w:rPr>
        <w:t>RegCM</w:t>
      </w:r>
      <w:proofErr w:type="spellEnd"/>
      <w:r>
        <w:rPr>
          <w:color w:val="auto"/>
          <w:szCs w:val="22"/>
        </w:rPr>
        <w:t xml:space="preserve"> prema A2 scenariju an</w:t>
      </w:r>
      <w:r>
        <w:rPr>
          <w:color w:val="auto"/>
          <w:szCs w:val="22"/>
        </w:rPr>
        <w:t>alizirane su za dva 30-godišnja razdoblja:</w:t>
      </w:r>
    </w:p>
    <w:p w:rsidR="00A07D92" w:rsidRDefault="00495E63">
      <w:pPr>
        <w:numPr>
          <w:ilvl w:val="0"/>
          <w:numId w:val="23"/>
        </w:numPr>
        <w:tabs>
          <w:tab w:val="left" w:pos="2445"/>
        </w:tabs>
        <w:spacing w:before="72" w:after="72" w:line="240" w:lineRule="auto"/>
        <w:contextualSpacing/>
      </w:pPr>
      <w:r>
        <w:t>Razdoblje od 2011. do 2040. godine predstavlja bližu budućnost i od najvećeg je interesa za korisnike klimatskih informacija u dugoročnom planiranju prilagodbe na klimatske promjene.</w:t>
      </w:r>
    </w:p>
    <w:p w:rsidR="00A07D92" w:rsidRDefault="00495E63">
      <w:pPr>
        <w:numPr>
          <w:ilvl w:val="0"/>
          <w:numId w:val="23"/>
        </w:numPr>
        <w:tabs>
          <w:tab w:val="left" w:pos="2445"/>
        </w:tabs>
        <w:spacing w:before="72" w:after="72" w:line="240" w:lineRule="auto"/>
        <w:contextualSpacing/>
      </w:pPr>
      <w:r>
        <w:t>Razdoblje od 2041. do 2070. go</w:t>
      </w:r>
      <w:r>
        <w:t>dine predstavlja sredinu 21. stoljeća u kojem je prema A2 scenariju predviđen daljnji porast koncentracije ugljikovog dioksida (CO2) u atmosferi te je signal klimatskih promjena jači.</w:t>
      </w:r>
    </w:p>
    <w:p w:rsidR="00A07D92" w:rsidRDefault="00A07D92">
      <w:pPr>
        <w:spacing w:before="120" w:after="120"/>
        <w:rPr>
          <w:i/>
          <w:color w:val="auto"/>
          <w:szCs w:val="22"/>
        </w:rPr>
      </w:pPr>
    </w:p>
    <w:p w:rsidR="00A07D92" w:rsidRDefault="00495E63">
      <w:pPr>
        <w:spacing w:before="0" w:after="0"/>
        <w:rPr>
          <w:i/>
          <w:color w:val="auto"/>
          <w:szCs w:val="22"/>
          <w:u w:val="single"/>
        </w:rPr>
      </w:pPr>
      <w:r>
        <w:rPr>
          <w:i/>
          <w:color w:val="auto"/>
          <w:szCs w:val="22"/>
          <w:u w:val="single"/>
        </w:rPr>
        <w:t>Projicirane promjene temperature zraka</w:t>
      </w:r>
    </w:p>
    <w:p w:rsidR="00A07D92" w:rsidRDefault="00495E63">
      <w:pPr>
        <w:spacing w:before="120" w:after="0"/>
        <w:rPr>
          <w:color w:val="auto"/>
          <w:szCs w:val="22"/>
        </w:rPr>
      </w:pPr>
      <w:r>
        <w:rPr>
          <w:color w:val="auto"/>
          <w:szCs w:val="22"/>
        </w:rPr>
        <w:t xml:space="preserve">Prema rezultatima </w:t>
      </w:r>
      <w:proofErr w:type="spellStart"/>
      <w:r>
        <w:rPr>
          <w:color w:val="auto"/>
          <w:szCs w:val="22"/>
        </w:rPr>
        <w:t>RegCM</w:t>
      </w:r>
      <w:proofErr w:type="spellEnd"/>
      <w:r>
        <w:rPr>
          <w:color w:val="auto"/>
          <w:szCs w:val="22"/>
        </w:rPr>
        <w:t xml:space="preserve">-a za </w:t>
      </w:r>
      <w:r>
        <w:rPr>
          <w:color w:val="auto"/>
          <w:szCs w:val="22"/>
        </w:rPr>
        <w:t>područje Hrvatske, srednjak ansambla simulacija upućuje na povećanje temperature zraka u oba razdoblja i u svim sezonama. Amplituda porasta veća je u drugom nego u prvom razdoblju, ali je statistički značajna u oba razdoblja. Povećanje srednje dnevne tempe</w:t>
      </w:r>
      <w:r>
        <w:rPr>
          <w:color w:val="auto"/>
          <w:szCs w:val="22"/>
        </w:rPr>
        <w:t>rature zraka veće je ljeti (lipanj - kolovoz) nego zimi (prosinac - veljača).</w:t>
      </w:r>
    </w:p>
    <w:p w:rsidR="00A07D92" w:rsidRDefault="00A07D92">
      <w:pPr>
        <w:spacing w:before="0" w:after="0"/>
        <w:rPr>
          <w:color w:val="auto"/>
          <w:szCs w:val="22"/>
        </w:rPr>
      </w:pPr>
    </w:p>
    <w:p w:rsidR="00A07D92" w:rsidRDefault="00495E63">
      <w:pPr>
        <w:spacing w:before="0" w:after="0"/>
        <w:rPr>
          <w:color w:val="auto"/>
          <w:szCs w:val="22"/>
        </w:rPr>
      </w:pPr>
      <w:r>
        <w:rPr>
          <w:color w:val="auto"/>
          <w:szCs w:val="22"/>
        </w:rPr>
        <w:t xml:space="preserve">U </w:t>
      </w:r>
      <w:r>
        <w:rPr>
          <w:color w:val="auto"/>
          <w:szCs w:val="22"/>
          <w:u w:val="single"/>
        </w:rPr>
        <w:t>prvom razdoblju buduće klime</w:t>
      </w:r>
      <w:r>
        <w:rPr>
          <w:color w:val="auto"/>
          <w:szCs w:val="22"/>
        </w:rPr>
        <w:t xml:space="preserve"> (2011. - 2040.) na području Hrvatske zimi se očekuje porast temperature do 0,6 °C, a ljeti do 1 °C.</w:t>
      </w:r>
    </w:p>
    <w:p w:rsidR="00A07D92" w:rsidRDefault="00495E63">
      <w:pPr>
        <w:spacing w:before="120" w:after="120"/>
        <w:jc w:val="center"/>
        <w:rPr>
          <w:color w:val="auto"/>
          <w:szCs w:val="22"/>
        </w:rPr>
      </w:pPr>
      <w:r>
        <w:rPr>
          <w:noProof/>
          <w:lang w:eastAsia="hr-HR"/>
        </w:rPr>
        <w:lastRenderedPageBreak/>
        <w:drawing>
          <wp:inline distT="0" distB="0" distL="0" distR="0">
            <wp:extent cx="5124450" cy="2598420"/>
            <wp:effectExtent l="0" t="0" r="0" b="0"/>
            <wp:docPr id="139" name="Slika 113"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lika 113" descr="Slika na kojoj se prikazuje karta&#10;&#10;Opis je automatski generiran"/>
                    <pic:cNvPicPr>
                      <a:picLocks noChangeAspect="1" noChangeArrowheads="1"/>
                    </pic:cNvPicPr>
                  </pic:nvPicPr>
                  <pic:blipFill>
                    <a:blip r:embed="rId132"/>
                    <a:srcRect t="2877"/>
                    <a:stretch>
                      <a:fillRect/>
                    </a:stretch>
                  </pic:blipFill>
                  <pic:spPr bwMode="auto">
                    <a:xfrm>
                      <a:off x="0" y="0"/>
                      <a:ext cx="5124450" cy="2598420"/>
                    </a:xfrm>
                    <a:prstGeom prst="rect">
                      <a:avLst/>
                    </a:prstGeom>
                  </pic:spPr>
                </pic:pic>
              </a:graphicData>
            </a:graphic>
          </wp:inline>
        </w:drawing>
      </w:r>
    </w:p>
    <w:p w:rsidR="00A07D92" w:rsidRDefault="00495E63">
      <w:pPr>
        <w:keepNext/>
        <w:spacing w:before="120" w:after="0" w:line="240" w:lineRule="auto"/>
        <w:jc w:val="center"/>
        <w:rPr>
          <w:b/>
          <w:i/>
          <w:color w:val="54883D"/>
          <w:sz w:val="20"/>
          <w:szCs w:val="18"/>
          <w:lang w:bidi="en-US"/>
        </w:rPr>
      </w:pPr>
      <w:r>
        <w:rPr>
          <w:b/>
          <w:i/>
          <w:color w:val="54883D"/>
          <w:sz w:val="20"/>
          <w:szCs w:val="18"/>
          <w:lang w:bidi="en-US"/>
        </w:rPr>
        <w:t xml:space="preserve">Slika </w:t>
      </w:r>
      <w:r>
        <w:rPr>
          <w:b/>
          <w:i/>
          <w:color w:val="54883D"/>
          <w:sz w:val="20"/>
          <w:szCs w:val="18"/>
          <w:lang w:bidi="en-US"/>
        </w:rPr>
        <w:fldChar w:fldCharType="begin"/>
      </w:r>
      <w:r>
        <w:rPr>
          <w:b/>
          <w:i/>
          <w:sz w:val="20"/>
          <w:szCs w:val="18"/>
        </w:rPr>
        <w:instrText>SEQ Slika \* ARABIC</w:instrText>
      </w:r>
      <w:r>
        <w:rPr>
          <w:b/>
          <w:i/>
          <w:sz w:val="20"/>
          <w:szCs w:val="18"/>
        </w:rPr>
        <w:fldChar w:fldCharType="separate"/>
      </w:r>
      <w:r>
        <w:rPr>
          <w:b/>
          <w:i/>
          <w:sz w:val="20"/>
          <w:szCs w:val="18"/>
        </w:rPr>
        <w:t>37</w:t>
      </w:r>
      <w:r>
        <w:rPr>
          <w:b/>
          <w:i/>
          <w:sz w:val="20"/>
          <w:szCs w:val="18"/>
        </w:rPr>
        <w:fldChar w:fldCharType="end"/>
      </w:r>
      <w:r>
        <w:rPr>
          <w:b/>
          <w:i/>
          <w:color w:val="54883D"/>
          <w:sz w:val="20"/>
          <w:szCs w:val="18"/>
          <w:lang w:bidi="en-US"/>
        </w:rPr>
        <w:t xml:space="preserve">. </w:t>
      </w:r>
      <w:r>
        <w:rPr>
          <w:b/>
          <w:i/>
          <w:color w:val="54883D"/>
          <w:sz w:val="20"/>
          <w:szCs w:val="18"/>
        </w:rPr>
        <w:t>Promjena pri</w:t>
      </w:r>
      <w:r>
        <w:rPr>
          <w:b/>
          <w:i/>
          <w:color w:val="54883D"/>
          <w:sz w:val="20"/>
          <w:szCs w:val="18"/>
        </w:rPr>
        <w:t xml:space="preserve">zemne temperature zraka (u °C) u Hrvatskoj u razdoblju 2011. - 2040. u odnosu na razdoblje 1961. - 1990. prema rezultatima srednjaka ansambla regionalnog klimatskog modela </w:t>
      </w:r>
      <w:proofErr w:type="spellStart"/>
      <w:r>
        <w:rPr>
          <w:b/>
          <w:i/>
          <w:color w:val="54883D"/>
          <w:sz w:val="20"/>
          <w:szCs w:val="18"/>
        </w:rPr>
        <w:t>RegCM</w:t>
      </w:r>
      <w:proofErr w:type="spellEnd"/>
      <w:r>
        <w:rPr>
          <w:b/>
          <w:i/>
          <w:color w:val="54883D"/>
          <w:sz w:val="20"/>
          <w:szCs w:val="18"/>
        </w:rPr>
        <w:t xml:space="preserve"> za A2 scenarij emisije plinova staklenika za zimu (lijevo) i ljeto (desno)</w:t>
      </w:r>
    </w:p>
    <w:p w:rsidR="00A07D92" w:rsidRDefault="00495E63">
      <w:pPr>
        <w:spacing w:after="0"/>
        <w:jc w:val="center"/>
        <w:rPr>
          <w:bCs/>
          <w:color w:val="54883D"/>
          <w:sz w:val="20"/>
          <w:szCs w:val="18"/>
        </w:rPr>
      </w:pPr>
      <w:r>
        <w:rPr>
          <w:bCs/>
          <w:color w:val="54883D"/>
          <w:sz w:val="20"/>
          <w:szCs w:val="18"/>
        </w:rPr>
        <w:t>Izvor: DHMZ</w:t>
      </w:r>
    </w:p>
    <w:p w:rsidR="00A07D92" w:rsidRDefault="00A07D92">
      <w:pPr>
        <w:spacing w:before="120" w:after="120"/>
        <w:rPr>
          <w:color w:val="auto"/>
          <w:szCs w:val="22"/>
        </w:rPr>
      </w:pPr>
    </w:p>
    <w:p w:rsidR="00A07D92" w:rsidRDefault="00495E63">
      <w:pPr>
        <w:spacing w:before="120" w:after="120"/>
        <w:rPr>
          <w:color w:val="auto"/>
          <w:szCs w:val="22"/>
        </w:rPr>
      </w:pPr>
      <w:r>
        <w:rPr>
          <w:color w:val="auto"/>
          <w:szCs w:val="22"/>
        </w:rPr>
        <w:t xml:space="preserve">U </w:t>
      </w:r>
      <w:r>
        <w:rPr>
          <w:color w:val="auto"/>
          <w:szCs w:val="22"/>
          <w:u w:val="single"/>
        </w:rPr>
        <w:t>drugom razdoblju buduće klime</w:t>
      </w:r>
      <w:r>
        <w:rPr>
          <w:color w:val="auto"/>
          <w:szCs w:val="22"/>
        </w:rPr>
        <w:t xml:space="preserve"> (2041. - 2070.) očekivana amplituda porasta u Hrvatskoj zimi iznosi do 2 °C u kontinentalnom dijelu i do 1,6 °C na jugu, a ljeti do 2,4 °C u kontinentalnom dijelu Hrvatske, odnosno do 3 °C u priobalnom pojasu.</w:t>
      </w:r>
    </w:p>
    <w:p w:rsidR="00A07D92" w:rsidRDefault="00495E63">
      <w:pPr>
        <w:spacing w:before="120" w:after="120"/>
        <w:jc w:val="center"/>
        <w:rPr>
          <w:color w:val="auto"/>
          <w:szCs w:val="22"/>
        </w:rPr>
      </w:pPr>
      <w:r>
        <w:rPr>
          <w:noProof/>
          <w:lang w:eastAsia="hr-HR"/>
        </w:rPr>
        <w:drawing>
          <wp:inline distT="0" distB="0" distL="0" distR="0">
            <wp:extent cx="4865370" cy="2489835"/>
            <wp:effectExtent l="0" t="0" r="0" b="0"/>
            <wp:docPr id="140"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lika 114"/>
                    <pic:cNvPicPr>
                      <a:picLocks noChangeAspect="1" noChangeArrowheads="1"/>
                    </pic:cNvPicPr>
                  </pic:nvPicPr>
                  <pic:blipFill>
                    <a:blip r:embed="rId133"/>
                    <a:srcRect t="2562"/>
                    <a:stretch>
                      <a:fillRect/>
                    </a:stretch>
                  </pic:blipFill>
                  <pic:spPr bwMode="auto">
                    <a:xfrm>
                      <a:off x="0" y="0"/>
                      <a:ext cx="4865370" cy="2489835"/>
                    </a:xfrm>
                    <a:prstGeom prst="rect">
                      <a:avLst/>
                    </a:prstGeom>
                  </pic:spPr>
                </pic:pic>
              </a:graphicData>
            </a:graphic>
          </wp:inline>
        </w:drawing>
      </w:r>
    </w:p>
    <w:p w:rsidR="00A07D92" w:rsidRDefault="00495E63">
      <w:pPr>
        <w:keepNext/>
        <w:spacing w:before="120" w:after="120" w:line="240" w:lineRule="auto"/>
        <w:jc w:val="center"/>
        <w:rPr>
          <w:b/>
          <w:i/>
          <w:color w:val="54883D"/>
          <w:sz w:val="20"/>
          <w:szCs w:val="18"/>
          <w:lang w:bidi="en-US"/>
        </w:rPr>
      </w:pPr>
      <w:r>
        <w:rPr>
          <w:b/>
          <w:i/>
          <w:color w:val="54883D"/>
          <w:sz w:val="20"/>
          <w:szCs w:val="18"/>
          <w:lang w:bidi="en-US"/>
        </w:rPr>
        <w:t xml:space="preserve">Slika </w:t>
      </w:r>
      <w:r>
        <w:rPr>
          <w:b/>
          <w:i/>
          <w:color w:val="54883D"/>
          <w:sz w:val="20"/>
          <w:szCs w:val="18"/>
          <w:lang w:bidi="en-US"/>
        </w:rPr>
        <w:fldChar w:fldCharType="begin"/>
      </w:r>
      <w:r>
        <w:rPr>
          <w:b/>
          <w:i/>
          <w:sz w:val="20"/>
          <w:szCs w:val="18"/>
        </w:rPr>
        <w:instrText>SEQ Slika \* ARABIC</w:instrText>
      </w:r>
      <w:r>
        <w:rPr>
          <w:b/>
          <w:i/>
          <w:sz w:val="20"/>
          <w:szCs w:val="18"/>
        </w:rPr>
        <w:fldChar w:fldCharType="separate"/>
      </w:r>
      <w:r>
        <w:rPr>
          <w:b/>
          <w:i/>
          <w:sz w:val="20"/>
          <w:szCs w:val="18"/>
        </w:rPr>
        <w:t>38</w:t>
      </w:r>
      <w:r>
        <w:rPr>
          <w:b/>
          <w:i/>
          <w:sz w:val="20"/>
          <w:szCs w:val="18"/>
        </w:rPr>
        <w:fldChar w:fldCharType="end"/>
      </w:r>
      <w:r>
        <w:rPr>
          <w:b/>
          <w:i/>
          <w:color w:val="54883D"/>
          <w:sz w:val="20"/>
          <w:szCs w:val="18"/>
          <w:lang w:bidi="en-US"/>
        </w:rPr>
        <w:t xml:space="preserve">. </w:t>
      </w:r>
      <w:r>
        <w:rPr>
          <w:b/>
          <w:i/>
          <w:color w:val="54883D"/>
          <w:sz w:val="20"/>
          <w:szCs w:val="18"/>
        </w:rPr>
        <w:t xml:space="preserve">Promjena prizemne temperature zraka (u °C) u Hrvatskoj u razdoblju 2041. - 2070. u odnosu na razdoblje 1961. - 1990. prema rezultatima srednjaka ansambla regionalnog klimatskog modela </w:t>
      </w:r>
      <w:proofErr w:type="spellStart"/>
      <w:r>
        <w:rPr>
          <w:b/>
          <w:i/>
          <w:color w:val="54883D"/>
          <w:sz w:val="20"/>
          <w:szCs w:val="18"/>
        </w:rPr>
        <w:t>RegCM</w:t>
      </w:r>
      <w:proofErr w:type="spellEnd"/>
      <w:r>
        <w:rPr>
          <w:b/>
          <w:i/>
          <w:color w:val="54883D"/>
          <w:sz w:val="20"/>
          <w:szCs w:val="18"/>
        </w:rPr>
        <w:t xml:space="preserve"> za A2 scenarij emisije plinova st</w:t>
      </w:r>
      <w:r>
        <w:rPr>
          <w:b/>
          <w:i/>
          <w:color w:val="54883D"/>
          <w:sz w:val="20"/>
          <w:szCs w:val="18"/>
        </w:rPr>
        <w:t>aklenika za zimu (lijevo) i ljeto (desno)</w:t>
      </w:r>
    </w:p>
    <w:p w:rsidR="00A07D92" w:rsidRDefault="00495E63">
      <w:pPr>
        <w:jc w:val="center"/>
        <w:rPr>
          <w:bCs/>
          <w:color w:val="54883D"/>
          <w:sz w:val="20"/>
          <w:szCs w:val="18"/>
        </w:rPr>
      </w:pPr>
      <w:r>
        <w:rPr>
          <w:bCs/>
          <w:color w:val="54883D"/>
          <w:sz w:val="20"/>
          <w:szCs w:val="18"/>
        </w:rPr>
        <w:t>Izvor: DHMZ</w:t>
      </w:r>
    </w:p>
    <w:p w:rsidR="00A07D92" w:rsidRDefault="00A07D92">
      <w:pPr>
        <w:jc w:val="center"/>
        <w:rPr>
          <w:bCs/>
          <w:color w:val="54883D"/>
          <w:sz w:val="20"/>
          <w:szCs w:val="18"/>
        </w:rPr>
      </w:pPr>
    </w:p>
    <w:p w:rsidR="00A07D92" w:rsidRDefault="00A07D92">
      <w:pPr>
        <w:jc w:val="center"/>
        <w:rPr>
          <w:bCs/>
          <w:color w:val="54883D"/>
          <w:sz w:val="20"/>
          <w:szCs w:val="18"/>
        </w:rPr>
      </w:pPr>
    </w:p>
    <w:p w:rsidR="00A07D92" w:rsidRDefault="00495E63">
      <w:pPr>
        <w:keepNext/>
        <w:keepLines/>
        <w:spacing w:before="40"/>
        <w:ind w:left="709" w:hanging="721"/>
        <w:outlineLvl w:val="2"/>
        <w:rPr>
          <w:rFonts w:cstheme="majorBidi"/>
          <w:color w:val="54883D"/>
          <w:sz w:val="28"/>
          <w:lang w:bidi="en-US"/>
        </w:rPr>
      </w:pPr>
      <w:bookmarkStart w:id="362" w:name="_Toc136522876"/>
      <w:bookmarkStart w:id="363" w:name="_Toc103941252"/>
      <w:bookmarkStart w:id="364" w:name="_Toc99955735"/>
      <w:r>
        <w:rPr>
          <w:rFonts w:cstheme="majorBidi"/>
          <w:color w:val="54883D"/>
          <w:sz w:val="28"/>
          <w:lang w:bidi="en-US"/>
        </w:rPr>
        <w:lastRenderedPageBreak/>
        <w:t>6.7.5 Uzrok</w:t>
      </w:r>
      <w:bookmarkEnd w:id="362"/>
      <w:bookmarkEnd w:id="363"/>
      <w:bookmarkEnd w:id="364"/>
    </w:p>
    <w:p w:rsidR="00A07D92" w:rsidRDefault="00495E63">
      <w:pPr>
        <w:rPr>
          <w:bCs/>
          <w:u w:val="single"/>
          <w:lang w:bidi="en-US"/>
        </w:rPr>
      </w:pPr>
      <w:r>
        <w:rPr>
          <w:bCs/>
          <w:u w:val="single"/>
          <w:lang w:bidi="en-US"/>
        </w:rPr>
        <w:t>RAZVOJ DOGAĐAJA KOJI JE PRETHODIO VELIKOJ NESREĆI</w:t>
      </w:r>
    </w:p>
    <w:p w:rsidR="00A07D92" w:rsidRDefault="00495E63">
      <w:pPr>
        <w:rPr>
          <w:lang w:bidi="en-US"/>
        </w:rPr>
      </w:pPr>
      <w:r>
        <w:rPr>
          <w:lang w:bidi="en-US"/>
        </w:rPr>
        <w:t>Obzirom na proljetne hladnije vremenske prilike koje prethode toplinskom ekstremu, osjetljivost ljudi na nagli temperaturni porast, nije prilagođena. Posebno nepovoljan učinak na ljudski organizam ovaj klimatski stres uzrokuje pri nagloj, iznenadnoj pojavi</w:t>
      </w:r>
      <w:r>
        <w:rPr>
          <w:lang w:bidi="en-US"/>
        </w:rPr>
        <w:t xml:space="preserve"> ekstremno visokih temperatura koje potraju dulje vrijeme. </w:t>
      </w:r>
    </w:p>
    <w:p w:rsidR="00A07D92" w:rsidRDefault="00A07D92">
      <w:pPr>
        <w:rPr>
          <w:lang w:bidi="en-US"/>
        </w:rPr>
      </w:pPr>
    </w:p>
    <w:p w:rsidR="00A07D92" w:rsidRDefault="00495E63">
      <w:pPr>
        <w:rPr>
          <w:bCs/>
          <w:u w:val="single"/>
          <w:lang w:bidi="en-US"/>
        </w:rPr>
      </w:pPr>
      <w:r>
        <w:rPr>
          <w:bCs/>
          <w:u w:val="single"/>
          <w:lang w:bidi="en-US"/>
        </w:rPr>
        <w:t>OKIDAČ KOJI JE UZROKOVAO VELIKU NESREĆU</w:t>
      </w:r>
    </w:p>
    <w:p w:rsidR="00A07D92" w:rsidRDefault="00495E63">
      <w:pPr>
        <w:rPr>
          <w:szCs w:val="22"/>
        </w:rPr>
      </w:pPr>
      <w:r>
        <w:rPr>
          <w:szCs w:val="22"/>
        </w:rPr>
        <w:t>Toplinski val je prirodna pojava uzrokovana klimatskim promjenama, nastaje naglo bez prethodnih najava. Toplina može biti okidač za uzrok mnogih zdravstven</w:t>
      </w:r>
      <w:r>
        <w:rPr>
          <w:szCs w:val="22"/>
        </w:rPr>
        <w:t>ih stanja i izazvati umor, srčani udar ili konfuziju, inzult te pogoršati postojeće stanje kod kroničnih bolesnika. Nepravovremeno poduzimanje mjera zaštite rezultira simptomima toplotnog udara kod stanovništva te stočnog fonda i propadanje uroda. Posljedi</w:t>
      </w:r>
      <w:r>
        <w:rPr>
          <w:szCs w:val="22"/>
        </w:rPr>
        <w:t>ce se javljaju boravkom stanovništva na direktnom suncu, te u zatvorenom prostoru koji nema adekvatan rashladni sustav.</w:t>
      </w:r>
    </w:p>
    <w:p w:rsidR="00A07D92" w:rsidRDefault="00A07D92">
      <w:pPr>
        <w:rPr>
          <w:sz w:val="23"/>
          <w:szCs w:val="23"/>
          <w:highlight w:val="yellow"/>
        </w:rPr>
      </w:pPr>
    </w:p>
    <w:p w:rsidR="00A07D92" w:rsidRDefault="00495E63">
      <w:pPr>
        <w:keepNext/>
        <w:keepLines/>
        <w:spacing w:before="40"/>
        <w:ind w:left="709" w:hanging="721"/>
        <w:outlineLvl w:val="2"/>
        <w:rPr>
          <w:rFonts w:cstheme="majorBidi"/>
          <w:color w:val="54883D"/>
          <w:sz w:val="28"/>
          <w:lang w:bidi="en-US"/>
        </w:rPr>
      </w:pPr>
      <w:bookmarkStart w:id="365" w:name="_Toc136522877"/>
      <w:bookmarkStart w:id="366" w:name="_Toc103941253"/>
      <w:bookmarkStart w:id="367" w:name="_Toc99955736"/>
      <w:r>
        <w:rPr>
          <w:rFonts w:cstheme="majorBidi"/>
          <w:color w:val="54883D"/>
          <w:sz w:val="28"/>
          <w:lang w:bidi="en-US"/>
        </w:rPr>
        <w:t>6.7.6 Događaj s najgorim mogućim posljedicama</w:t>
      </w:r>
      <w:bookmarkEnd w:id="365"/>
      <w:bookmarkEnd w:id="366"/>
      <w:bookmarkEnd w:id="367"/>
    </w:p>
    <w:p w:rsidR="00A07D92" w:rsidRDefault="00495E63">
      <w:pPr>
        <w:rPr>
          <w:lang w:bidi="en-US"/>
        </w:rPr>
      </w:pPr>
      <w:r>
        <w:rPr>
          <w:lang w:bidi="en-US"/>
        </w:rPr>
        <w:t>Pojava toplinskog vala zahvatila je područje Grada Malog Lošinja, a temperatura iznosi 38</w:t>
      </w:r>
      <w:r>
        <w:rPr>
          <w:lang w:bidi="en-US"/>
        </w:rPr>
        <w:t xml:space="preserve">°C. </w:t>
      </w:r>
    </w:p>
    <w:p w:rsidR="00A07D92" w:rsidRDefault="00495E63">
      <w:pPr>
        <w:rPr>
          <w:lang w:bidi="en-US"/>
        </w:rPr>
      </w:pPr>
      <w:r>
        <w:rPr>
          <w:lang w:bidi="en-US"/>
        </w:rPr>
        <w:t>Na temelju egzaktnih podataka mjerenih u Državnom hidrometeorološkom zavodu godišnje ima oko 13 umjerenih, 9 jakih i 5-6 ekstremnih toplinskih valova.</w:t>
      </w:r>
    </w:p>
    <w:p w:rsidR="00A07D92" w:rsidRDefault="00495E63">
      <w:pPr>
        <w:rPr>
          <w:color w:val="auto"/>
          <w:lang w:bidi="en-US"/>
        </w:rPr>
      </w:pPr>
      <w:r>
        <w:rPr>
          <w:color w:val="auto"/>
          <w:lang w:bidi="en-US"/>
        </w:rPr>
        <w:t>Ekonomska analiza zdravstvenih učinaka i prilagodbe na klimatske promjene ukazuje na direktne i indi</w:t>
      </w:r>
      <w:r>
        <w:rPr>
          <w:color w:val="auto"/>
          <w:lang w:bidi="en-US"/>
        </w:rPr>
        <w:t xml:space="preserve">rektne posljedice na zdravlje od pojave ekstremnih temperatura uslijed klimatskih promjena to su: povećana smrtnost i broj ozljeda, povećan rizik od zaraznih bolesti, prehrana i razvoj djece, negativan utjecaj na mentalno zdravlje i </w:t>
      </w:r>
      <w:proofErr w:type="spellStart"/>
      <w:r>
        <w:rPr>
          <w:color w:val="auto"/>
          <w:lang w:bidi="en-US"/>
        </w:rPr>
        <w:t>kardio</w:t>
      </w:r>
      <w:proofErr w:type="spellEnd"/>
      <w:r>
        <w:rPr>
          <w:color w:val="auto"/>
          <w:lang w:bidi="en-US"/>
        </w:rPr>
        <w:t>-respiratorne bol</w:t>
      </w:r>
      <w:r>
        <w:rPr>
          <w:color w:val="auto"/>
          <w:lang w:bidi="en-US"/>
        </w:rPr>
        <w:t>esti.</w:t>
      </w:r>
    </w:p>
    <w:p w:rsidR="00A07D92" w:rsidRDefault="00495E63">
      <w:pPr>
        <w:rPr>
          <w:color w:val="auto"/>
          <w:szCs w:val="22"/>
        </w:rPr>
      </w:pPr>
      <w:r>
        <w:rPr>
          <w:color w:val="auto"/>
          <w:szCs w:val="22"/>
        </w:rPr>
        <w:t xml:space="preserve">Mala djeca od 0 do 6 godina starosti jako su osjetljiva na dehidraciju i stariji iznad 60 godina života kod kojih je smanjena </w:t>
      </w:r>
      <w:proofErr w:type="spellStart"/>
      <w:r>
        <w:rPr>
          <w:color w:val="auto"/>
          <w:szCs w:val="22"/>
        </w:rPr>
        <w:t>kompenzatorna</w:t>
      </w:r>
      <w:proofErr w:type="spellEnd"/>
      <w:r>
        <w:rPr>
          <w:color w:val="auto"/>
          <w:szCs w:val="22"/>
        </w:rPr>
        <w:t xml:space="preserve"> </w:t>
      </w:r>
      <w:proofErr w:type="spellStart"/>
      <w:r>
        <w:rPr>
          <w:color w:val="auto"/>
          <w:szCs w:val="22"/>
        </w:rPr>
        <w:t>kardio</w:t>
      </w:r>
      <w:proofErr w:type="spellEnd"/>
      <w:r>
        <w:rPr>
          <w:color w:val="auto"/>
          <w:szCs w:val="22"/>
        </w:rPr>
        <w:t>-vaskularna sposobnost organizma. Među starijim osobama, razdoblja ekstremne vrućine su povezana s poveć</w:t>
      </w:r>
      <w:r>
        <w:rPr>
          <w:color w:val="auto"/>
          <w:szCs w:val="22"/>
        </w:rPr>
        <w:t>anim rizikom od hospitalizacije za nadoknade tekućine i poremećaje elektrolita, zatajenja bubrega, infekcije urinarnog trakta, sepsu i toplinski udar. Ekstremna toplina stavlja starije osobe na 18% veći rizik od hospitalizacije za nadoknadu tekućine i pore</w:t>
      </w:r>
      <w:r>
        <w:rPr>
          <w:color w:val="auto"/>
          <w:szCs w:val="22"/>
        </w:rPr>
        <w:t>mećaje elektrolita; 14% veći rizik za zatajenje bubrega; 10% veći rizik za infekcije mokraćnog sustava; i 6% veći rizik od sepse. Starije osobe imaju 2½ puta veću vjerojatnost da će biti hospitalizirani od toplinskog udara tijekom razdoblja toplinskog vala</w:t>
      </w:r>
      <w:r>
        <w:rPr>
          <w:color w:val="auto"/>
          <w:szCs w:val="22"/>
        </w:rPr>
        <w:t xml:space="preserve"> nego tijekom dana bez toplinskog vala. Za trošenje prekomjernog stvaranja topline, pretile osobe moraju više protok krvi usmjeriti kroz potkožne žile te stoga imaju veće kardiovaskularno naprezanje i s višim frekvencijama kada su izložene toplinskom stres</w:t>
      </w:r>
      <w:r>
        <w:rPr>
          <w:color w:val="auto"/>
          <w:szCs w:val="22"/>
        </w:rPr>
        <w:t>u. Iz tih razloga, pretili ljudi su osjetljiviji na umjereni toplinski stres, ozljede i toplinski udar.</w:t>
      </w:r>
    </w:p>
    <w:p w:rsidR="00A07D92" w:rsidRDefault="00495E63">
      <w:pPr>
        <w:rPr>
          <w:color w:val="auto"/>
          <w:szCs w:val="22"/>
        </w:rPr>
      </w:pPr>
      <w:r>
        <w:rPr>
          <w:color w:val="auto"/>
          <w:szCs w:val="22"/>
        </w:rPr>
        <w:t>Općenito, najveći broj smrtnih slučajeva događa se u prva dva dana nakon pojave opasne temperature te kada razdoblje opasnih temperatura potraje duže vr</w:t>
      </w:r>
      <w:r>
        <w:rPr>
          <w:color w:val="auto"/>
          <w:szCs w:val="22"/>
        </w:rPr>
        <w:t xml:space="preserve">ijeme. U odnosu na muški </w:t>
      </w:r>
      <w:r>
        <w:rPr>
          <w:color w:val="auto"/>
          <w:szCs w:val="22"/>
        </w:rPr>
        <w:lastRenderedPageBreak/>
        <w:t>i ženski rod, žene uglavnom više traže medicinsku pomoć za vrijeme trajanja toplinskih valova. Ekstremne temperature dovode do smanjenja koncentracije i sposobnosti kod radno aktivnih osoba. Kod ekstremnijih temperatura zraka poveć</w:t>
      </w:r>
      <w:r>
        <w:rPr>
          <w:color w:val="auto"/>
          <w:szCs w:val="22"/>
        </w:rPr>
        <w:t>ana je potrošnja električne energije zbog većeg korištenja rashladnih uređaja kao i troškovi hitnih medicinskih usluga.</w:t>
      </w:r>
    </w:p>
    <w:p w:rsidR="00A07D92" w:rsidRDefault="00495E63">
      <w:pPr>
        <w:rPr>
          <w:color w:val="auto"/>
          <w:szCs w:val="22"/>
        </w:rPr>
      </w:pPr>
      <w:r>
        <w:rPr>
          <w:color w:val="auto"/>
          <w:szCs w:val="22"/>
        </w:rPr>
        <w:t>Starost i bolest su u korelaciji što je dob viša povećan je broj bolesti, invalidnosti, uzimanja lijekova i smanjena je kondicija. Ovi u</w:t>
      </w:r>
      <w:r>
        <w:rPr>
          <w:color w:val="auto"/>
          <w:szCs w:val="22"/>
        </w:rPr>
        <w:t>činci stavljaju starije osobe u viši rizik tijekom ekstremnih toplotnih uvjeta koji dovode do višeg pobola i smrtnosti.</w:t>
      </w:r>
    </w:p>
    <w:p w:rsidR="00A07D92" w:rsidRDefault="00495E63">
      <w:pPr>
        <w:rPr>
          <w:color w:val="auto"/>
          <w:lang w:bidi="en-US"/>
        </w:rPr>
      </w:pPr>
      <w:r>
        <w:rPr>
          <w:color w:val="auto"/>
          <w:lang w:bidi="en-US"/>
        </w:rPr>
        <w:t xml:space="preserve">Radnik na otvorenom bez adekvatne opskrbe tekućinom i dovoljno odmora svih 8 sati vrlo teškog rada izložen jakom i direktnom sunčevom </w:t>
      </w:r>
      <w:r>
        <w:rPr>
          <w:color w:val="auto"/>
          <w:lang w:bidi="en-US"/>
        </w:rPr>
        <w:t>svjetlu na kritičnoj temperaturi zraka &gt;30</w:t>
      </w:r>
      <w:r>
        <w:rPr>
          <w:color w:val="auto"/>
          <w:vertAlign w:val="superscript"/>
          <w:lang w:bidi="en-US"/>
        </w:rPr>
        <w:t>o</w:t>
      </w:r>
      <w:r>
        <w:rPr>
          <w:color w:val="auto"/>
          <w:lang w:bidi="en-US"/>
        </w:rPr>
        <w:t xml:space="preserve">C u opasnosti je od toplinskog stresa. Za analizu uvjeta rada na otvorenom, pri visokim temperaturama, upotrebljava se </w:t>
      </w:r>
      <w:proofErr w:type="spellStart"/>
      <w:r>
        <w:rPr>
          <w:color w:val="auto"/>
          <w:lang w:bidi="en-US"/>
        </w:rPr>
        <w:t>humidity</w:t>
      </w:r>
      <w:proofErr w:type="spellEnd"/>
      <w:r>
        <w:rPr>
          <w:color w:val="auto"/>
          <w:lang w:bidi="en-US"/>
        </w:rPr>
        <w:t xml:space="preserve"> </w:t>
      </w:r>
      <w:proofErr w:type="spellStart"/>
      <w:r>
        <w:rPr>
          <w:color w:val="auto"/>
          <w:lang w:bidi="en-US"/>
        </w:rPr>
        <w:t>index</w:t>
      </w:r>
      <w:proofErr w:type="spellEnd"/>
      <w:r>
        <w:rPr>
          <w:color w:val="auto"/>
          <w:lang w:bidi="en-US"/>
        </w:rPr>
        <w:t xml:space="preserve"> – HI mjerenjem temperature i vlage. Ako je izmjerena temperatura zraka 31°C pri</w:t>
      </w:r>
      <w:r>
        <w:rPr>
          <w:color w:val="auto"/>
          <w:lang w:bidi="en-US"/>
        </w:rPr>
        <w:t xml:space="preserve"> relativnoj vlazi od 65% </w:t>
      </w:r>
      <w:proofErr w:type="spellStart"/>
      <w:r>
        <w:rPr>
          <w:color w:val="auto"/>
          <w:lang w:bidi="en-US"/>
        </w:rPr>
        <w:t>Humidex</w:t>
      </w:r>
      <w:proofErr w:type="spellEnd"/>
      <w:r>
        <w:rPr>
          <w:color w:val="auto"/>
          <w:lang w:bidi="en-US"/>
        </w:rPr>
        <w:t xml:space="preserve"> iznosi 42°C. Mogući su simptomi toplinskog stresa i obavezno je uzimanje dodatnih količina vode te radnika treba uputiti liječniku. Za rad na direktnom suncu se dodaje 1 do 2°C (ovisno o stupnju naoblake).</w:t>
      </w:r>
    </w:p>
    <w:p w:rsidR="00A07D92" w:rsidRDefault="00495E63">
      <w:pPr>
        <w:rPr>
          <w:color w:val="auto"/>
          <w:lang w:bidi="en-US"/>
        </w:rPr>
      </w:pPr>
      <w:r>
        <w:rPr>
          <w:color w:val="auto"/>
          <w:lang w:bidi="en-US"/>
        </w:rPr>
        <w:t>U Gradu Malom Loš</w:t>
      </w:r>
      <w:r>
        <w:rPr>
          <w:color w:val="auto"/>
          <w:lang w:bidi="en-US"/>
        </w:rPr>
        <w:t>inju najugroženijim poslovima na otvorenom smatraju se poslovi ugostiteljstva, prijevoz, građevinarstva te poljoprivreda, šumarstvo i ribarstvo.</w:t>
      </w:r>
    </w:p>
    <w:p w:rsidR="00A07D92" w:rsidRDefault="00495E63">
      <w:pPr>
        <w:rPr>
          <w:b/>
          <w:iCs/>
          <w:u w:val="single"/>
        </w:rPr>
      </w:pPr>
      <w:r>
        <w:rPr>
          <w:b/>
          <w:iCs/>
          <w:u w:val="single"/>
        </w:rPr>
        <w:t>Posljedice</w:t>
      </w:r>
    </w:p>
    <w:p w:rsidR="00A07D92" w:rsidRDefault="00495E63">
      <w:r>
        <w:t>Sposobnost sustava zdravstvene zaštite u Gradu Malom Lošinju za odgovor na ukupnost krize koju topli</w:t>
      </w:r>
      <w:r>
        <w:t>nski val kao izvanredna okolnost može izazvati, čine zdravstveni kapaciteti u Gradu:</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Dom zdravlja dr. Dinko Kozulić</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Nastavni Zavod za javno zdravstvo Primorsko goranske županije, ispostava Mali Lošinj</w:t>
      </w:r>
    </w:p>
    <w:p w:rsidR="00A07D92" w:rsidRDefault="00495E63">
      <w:pPr>
        <w:pStyle w:val="Odlomakpopisa"/>
        <w:numPr>
          <w:ilvl w:val="0"/>
          <w:numId w:val="27"/>
        </w:numPr>
        <w:spacing w:line="276" w:lineRule="auto"/>
        <w:rPr>
          <w:rFonts w:eastAsiaTheme="minorEastAsia"/>
        </w:rPr>
      </w:pPr>
      <w:r>
        <w:rPr>
          <w:rFonts w:eastAsiaTheme="minorEastAsia"/>
        </w:rPr>
        <w:t xml:space="preserve">privatnih ordinacija opće medicine </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 xml:space="preserve">2 privatne specijalističke ordinacije, </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 xml:space="preserve">5 stomatoloških ordinacija </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2 zubotehnička laboratorija.</w:t>
      </w:r>
    </w:p>
    <w:p w:rsidR="00A07D92" w:rsidRDefault="00495E63">
      <w:pPr>
        <w:pStyle w:val="Odlomakpopisa"/>
        <w:numPr>
          <w:ilvl w:val="0"/>
          <w:numId w:val="26"/>
        </w:numPr>
        <w:tabs>
          <w:tab w:val="left" w:pos="1410"/>
        </w:tabs>
        <w:spacing w:line="276" w:lineRule="auto"/>
        <w:rPr>
          <w:rFonts w:eastAsiaTheme="minorEastAsia"/>
          <w:color w:val="auto"/>
        </w:rPr>
      </w:pPr>
      <w:r>
        <w:rPr>
          <w:rFonts w:eastAsiaTheme="minorEastAsia"/>
          <w:color w:val="auto"/>
        </w:rPr>
        <w:t>3 ljekarne</w:t>
      </w:r>
    </w:p>
    <w:p w:rsidR="00A07D92" w:rsidRDefault="00495E63">
      <w:pPr>
        <w:tabs>
          <w:tab w:val="left" w:pos="1410"/>
        </w:tabs>
        <w:spacing w:before="120" w:after="120"/>
        <w:rPr>
          <w:rFonts w:eastAsiaTheme="minorEastAsia"/>
          <w:color w:val="auto"/>
          <w:szCs w:val="22"/>
          <w:lang w:eastAsia="hr-HR"/>
        </w:rPr>
      </w:pPr>
      <w:r>
        <w:rPr>
          <w:rFonts w:eastAsiaTheme="minorEastAsia"/>
          <w:color w:val="auto"/>
          <w:szCs w:val="22"/>
          <w:lang w:eastAsia="hr-HR"/>
        </w:rPr>
        <w:t>Kod pojave toplinskog vala povećanje intervencija je dnevno za 20%. Budući da scenarij pretpostavlja pojavu toplinskog vala za vrijeme turističke se</w:t>
      </w:r>
      <w:r>
        <w:rPr>
          <w:rFonts w:eastAsiaTheme="minorEastAsia"/>
          <w:color w:val="auto"/>
          <w:szCs w:val="22"/>
          <w:lang w:eastAsia="hr-HR"/>
        </w:rPr>
        <w:t>zone kada je broj osoba na području Grada uvećan za jedan puta, broj intervencija biti će veći do 30%. Pružanje hitne medicinske pomoći u vrijeme toplinskog vala ovisi o raspoloživim timovima Zavoda za hitnu medicinu PGŽ, Ispostave Mali Lošinj</w:t>
      </w:r>
    </w:p>
    <w:p w:rsidR="00A07D92" w:rsidRDefault="00A07D92"/>
    <w:p w:rsidR="00A07D92" w:rsidRDefault="00495E63">
      <w:pPr>
        <w:rPr>
          <w:i/>
          <w:color w:val="40883D"/>
        </w:rPr>
      </w:pPr>
      <w:r>
        <w:rPr>
          <w:i/>
          <w:color w:val="40883D"/>
        </w:rPr>
        <w:t>Život i zdr</w:t>
      </w:r>
      <w:r>
        <w:rPr>
          <w:i/>
          <w:color w:val="40883D"/>
        </w:rPr>
        <w:t>avlje ljudi</w:t>
      </w:r>
    </w:p>
    <w:p w:rsidR="00A07D92" w:rsidRDefault="00495E63">
      <w:pPr>
        <w:rPr>
          <w:szCs w:val="22"/>
        </w:rPr>
      </w:pPr>
      <w:r>
        <w:rPr>
          <w:szCs w:val="22"/>
        </w:rPr>
        <w:t>U slučaju toplinskog vala predviđa se veće obolijevanje stanovništva nego inače, posebice skupina s postojećom kroničnom bolešću. Obzirom na nepostojanje prethodne metodologije ekonomske analize i procjene šteta za klimatsku nepogodu toplinskog</w:t>
      </w:r>
      <w:r>
        <w:rPr>
          <w:szCs w:val="22"/>
        </w:rPr>
        <w:t xml:space="preserve"> vala uzete su dosadašnja stručna iskustva i prosudbe djelatnika zavoda za hitnu medicinu i transfuzijsku medicinu. Očekuje se 20% više hitnih intervencija, viša stopa bolovanja radno aktivnog stanovništva, kao i više komplikacija i smrtnih ishoda kod ranj</w:t>
      </w:r>
      <w:r>
        <w:rPr>
          <w:szCs w:val="22"/>
        </w:rPr>
        <w:t xml:space="preserve">ivih skupina stanovništva i radnika na otvorenom. Pojava događaja toplinskog vala umjerenog rizika od 1 – 2 dana očekuje se jednom u 9 dana u ljetnoj sezoni (120 dana) s porastom smrtnosti stanovništva za 5%. Moguće je očekivati male posljedice na život i </w:t>
      </w:r>
      <w:r>
        <w:rPr>
          <w:szCs w:val="22"/>
        </w:rPr>
        <w:t>zdravlje ljudi.</w:t>
      </w:r>
    </w:p>
    <w:p w:rsidR="00A07D92" w:rsidRDefault="00A07D92">
      <w:pPr>
        <w:spacing w:before="240" w:after="0"/>
        <w:jc w:val="center"/>
        <w:rPr>
          <w:rFonts w:eastAsiaTheme="minorHAnsi"/>
          <w:bCs/>
          <w:iCs/>
          <w:color w:val="54883D"/>
          <w:sz w:val="20"/>
          <w:szCs w:val="20"/>
        </w:rPr>
      </w:pPr>
    </w:p>
    <w:p w:rsidR="00A07D92" w:rsidRDefault="00495E63">
      <w:pPr>
        <w:spacing w:before="240" w:after="0"/>
        <w:jc w:val="center"/>
        <w:rPr>
          <w:rFonts w:eastAsiaTheme="minorHAnsi"/>
          <w:bCs/>
          <w:iCs/>
          <w:color w:val="54883D"/>
          <w:sz w:val="20"/>
          <w:szCs w:val="20"/>
        </w:rPr>
      </w:pPr>
      <w:r>
        <w:rPr>
          <w:rFonts w:eastAsiaTheme="minorHAnsi"/>
          <w:bCs/>
          <w:iCs/>
          <w:color w:val="54883D"/>
          <w:sz w:val="20"/>
          <w:szCs w:val="20"/>
        </w:rPr>
        <w:t xml:space="preserve">Tablica </w:t>
      </w:r>
      <w:r>
        <w:rPr>
          <w:rFonts w:eastAsiaTheme="minorHAnsi"/>
          <w:bCs/>
          <w:iCs/>
          <w:color w:val="54883D"/>
          <w:sz w:val="20"/>
          <w:szCs w:val="20"/>
        </w:rPr>
        <w:fldChar w:fldCharType="begin"/>
      </w:r>
      <w:r>
        <w:rPr>
          <w:rFonts w:eastAsia="Calibri"/>
          <w:bCs/>
          <w:iCs/>
          <w:sz w:val="20"/>
          <w:szCs w:val="20"/>
        </w:rPr>
        <w:instrText>SEQ Tabela \* ARABIC</w:instrText>
      </w:r>
      <w:r>
        <w:rPr>
          <w:rFonts w:eastAsia="Calibri"/>
          <w:bCs/>
          <w:iCs/>
          <w:sz w:val="20"/>
          <w:szCs w:val="20"/>
        </w:rPr>
        <w:fldChar w:fldCharType="separate"/>
      </w:r>
      <w:r>
        <w:rPr>
          <w:rFonts w:eastAsia="Calibri"/>
          <w:bCs/>
          <w:iCs/>
          <w:sz w:val="20"/>
          <w:szCs w:val="20"/>
        </w:rPr>
        <w:t>72</w:t>
      </w:r>
      <w:r>
        <w:rPr>
          <w:rFonts w:eastAsia="Calibri"/>
          <w:bCs/>
          <w:iCs/>
          <w:sz w:val="20"/>
          <w:szCs w:val="20"/>
        </w:rPr>
        <w:fldChar w:fldCharType="end"/>
      </w:r>
      <w:r>
        <w:rPr>
          <w:rFonts w:eastAsiaTheme="minorHAnsi"/>
          <w:bCs/>
          <w:iCs/>
          <w:color w:val="54883D"/>
          <w:sz w:val="20"/>
          <w:szCs w:val="20"/>
        </w:rPr>
        <w:t>. Vrijednost kriterija za posljedice na život i zdravlje ljudi po kategorijama – ekstremne temperature</w:t>
      </w:r>
    </w:p>
    <w:tbl>
      <w:tblPr>
        <w:tblStyle w:val="ivopisnatablicareetke6-isticanje374"/>
        <w:tblW w:w="9060" w:type="dxa"/>
        <w:jc w:val="center"/>
        <w:tblLook w:val="04A0" w:firstRow="1" w:lastRow="0" w:firstColumn="1" w:lastColumn="0" w:noHBand="0" w:noVBand="1"/>
      </w:tblPr>
      <w:tblGrid>
        <w:gridCol w:w="2483"/>
        <w:gridCol w:w="2280"/>
        <w:gridCol w:w="2631"/>
        <w:gridCol w:w="1666"/>
      </w:tblGrid>
      <w:tr w:rsidR="00A07D92" w:rsidTr="00A07D92">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2"/>
              </w:rPr>
            </w:pPr>
            <w:r>
              <w:rPr>
                <w:color w:val="auto"/>
                <w:sz w:val="20"/>
                <w:szCs w:val="22"/>
              </w:rPr>
              <w:t>KATEGORIJA</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Pr>
                <w:color w:val="7B7B7B"/>
                <w:sz w:val="20"/>
              </w:rPr>
              <w:t>POSLJEDICE</w:t>
            </w:r>
          </w:p>
        </w:tc>
        <w:tc>
          <w:tcPr>
            <w:tcW w:w="263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Pr>
                <w:color w:val="auto"/>
                <w:sz w:val="20"/>
                <w:szCs w:val="22"/>
              </w:rPr>
              <w:t>BROJ UGROŽENIH OSOBA %</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Pr>
                <w:color w:val="auto"/>
                <w:sz w:val="20"/>
                <w:szCs w:val="22"/>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1</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7B7B7B"/>
                <w:sz w:val="20"/>
              </w:rPr>
              <w:t>Neznatne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auto"/>
                <w:sz w:val="20"/>
                <w:szCs w:val="22"/>
              </w:rPr>
              <w:t>&lt; 0,001</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2</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7B7B7B"/>
                <w:sz w:val="20"/>
              </w:rPr>
              <w:t>Male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auto"/>
                <w:sz w:val="20"/>
                <w:szCs w:val="22"/>
              </w:rPr>
              <w:t>0,001 - 0,0046</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000000" w:firstRow="0" w:lastRow="0" w:firstColumn="0" w:lastColumn="0" w:oddVBand="0" w:evenVBand="0" w:oddHBand="0" w:evenHBand="0" w:firstRowFirstColumn="0" w:firstRowLastColumn="0" w:lastRowFirstColumn="0" w:lastRowLastColumn="0"/>
              <w:rPr>
                <w:b/>
                <w:color w:val="auto"/>
                <w:sz w:val="20"/>
                <w:szCs w:val="22"/>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3</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7B7B7B"/>
                <w:sz w:val="20"/>
              </w:rPr>
              <w:t>Umjerene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auto"/>
                <w:sz w:val="20"/>
                <w:szCs w:val="22"/>
              </w:rPr>
              <w:t>0,0047 - 0,011</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r>
              <w:rPr>
                <w:b/>
                <w:color w:val="auto"/>
                <w:sz w:val="20"/>
                <w:szCs w:val="22"/>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4</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7B7B7B"/>
                <w:sz w:val="20"/>
              </w:rPr>
              <w:t>Značajne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auto"/>
                <w:sz w:val="20"/>
                <w:szCs w:val="22"/>
              </w:rPr>
              <w:t>0,012 - 0,035</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000000" w:firstRow="0" w:lastRow="0" w:firstColumn="0" w:lastColumn="0" w:oddVBand="0" w:evenVBand="0" w:oddHBand="0" w:evenHBand="0" w:firstRowFirstColumn="0" w:firstRowLastColumn="0" w:lastRowFirstColumn="0" w:lastRowLastColumn="0"/>
              <w:rPr>
                <w:b/>
                <w:color w:val="auto"/>
                <w:sz w:val="20"/>
                <w:szCs w:val="22"/>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5</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7B7B7B"/>
                <w:sz w:val="20"/>
              </w:rPr>
              <w:t>Katastrofalne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auto"/>
                <w:sz w:val="20"/>
                <w:szCs w:val="22"/>
              </w:rPr>
              <w:t>0,036 &gt;</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p>
        </w:tc>
      </w:tr>
    </w:tbl>
    <w:p w:rsidR="00A07D92" w:rsidRDefault="00A07D92">
      <w:pPr>
        <w:rPr>
          <w:u w:val="single"/>
        </w:rPr>
      </w:pPr>
    </w:p>
    <w:p w:rsidR="00A07D92" w:rsidRDefault="00495E63">
      <w:pPr>
        <w:rPr>
          <w:iCs/>
          <w:color w:val="40883D"/>
        </w:rPr>
      </w:pPr>
      <w:r>
        <w:rPr>
          <w:iCs/>
          <w:color w:val="40883D"/>
        </w:rPr>
        <w:t>Gospodarstvo</w:t>
      </w:r>
    </w:p>
    <w:p w:rsidR="00A07D92" w:rsidRDefault="00495E63">
      <w:pPr>
        <w:spacing w:before="120" w:after="120"/>
        <w:rPr>
          <w:color w:val="auto"/>
          <w:szCs w:val="23"/>
        </w:rPr>
      </w:pPr>
      <w:r>
        <w:rPr>
          <w:color w:val="auto"/>
          <w:szCs w:val="23"/>
        </w:rPr>
        <w:t xml:space="preserve">Tijekom toplinskog vala povećan je prijem u hitne medicinske službe. U ovom slučaju izražena je i povećana potrošnja električne energije i vode. Moguća veća </w:t>
      </w:r>
      <w:r>
        <w:rPr>
          <w:color w:val="auto"/>
          <w:szCs w:val="23"/>
        </w:rPr>
        <w:t>opterećenja elektroinstalacija i potrošnje vode neće dovesti do obustave isporuke električne energije ili vode, već će se uputiti zamolba stanovništvu na potrebu štednje.</w:t>
      </w:r>
    </w:p>
    <w:p w:rsidR="00A07D92" w:rsidRDefault="00A07D92"/>
    <w:p w:rsidR="00A07D92" w:rsidRDefault="00495E63">
      <w:pPr>
        <w:spacing w:before="240" w:after="0"/>
        <w:jc w:val="center"/>
        <w:rPr>
          <w:rFonts w:eastAsiaTheme="minorHAnsi"/>
          <w:bCs/>
          <w:iCs/>
          <w:color w:val="54883D"/>
          <w:sz w:val="20"/>
          <w:szCs w:val="20"/>
        </w:rPr>
      </w:pPr>
      <w:r>
        <w:rPr>
          <w:rFonts w:eastAsiaTheme="minorHAnsi"/>
          <w:bCs/>
          <w:iCs/>
          <w:color w:val="54883D"/>
          <w:sz w:val="20"/>
          <w:szCs w:val="20"/>
        </w:rPr>
        <w:t xml:space="preserve">Tablica </w:t>
      </w:r>
      <w:r>
        <w:rPr>
          <w:rFonts w:eastAsiaTheme="minorHAnsi"/>
          <w:bCs/>
          <w:iCs/>
          <w:color w:val="54883D"/>
          <w:sz w:val="20"/>
          <w:szCs w:val="20"/>
        </w:rPr>
        <w:fldChar w:fldCharType="begin"/>
      </w:r>
      <w:r>
        <w:rPr>
          <w:rFonts w:eastAsia="Calibri"/>
          <w:bCs/>
          <w:iCs/>
          <w:sz w:val="20"/>
          <w:szCs w:val="20"/>
        </w:rPr>
        <w:instrText>SEQ Tabela \* ARABIC</w:instrText>
      </w:r>
      <w:r>
        <w:rPr>
          <w:rFonts w:eastAsia="Calibri"/>
          <w:bCs/>
          <w:iCs/>
          <w:sz w:val="20"/>
          <w:szCs w:val="20"/>
        </w:rPr>
        <w:fldChar w:fldCharType="separate"/>
      </w:r>
      <w:r>
        <w:rPr>
          <w:rFonts w:eastAsia="Calibri"/>
          <w:bCs/>
          <w:iCs/>
          <w:sz w:val="20"/>
          <w:szCs w:val="20"/>
        </w:rPr>
        <w:t>73</w:t>
      </w:r>
      <w:r>
        <w:rPr>
          <w:rFonts w:eastAsia="Calibri"/>
          <w:bCs/>
          <w:iCs/>
          <w:sz w:val="20"/>
          <w:szCs w:val="20"/>
        </w:rPr>
        <w:fldChar w:fldCharType="end"/>
      </w:r>
      <w:r>
        <w:rPr>
          <w:rFonts w:eastAsiaTheme="minorHAnsi"/>
          <w:bCs/>
          <w:iCs/>
          <w:color w:val="54883D"/>
          <w:sz w:val="20"/>
          <w:szCs w:val="20"/>
        </w:rPr>
        <w:t xml:space="preserve">. Vrijednost kriterija za posljedice na </w:t>
      </w:r>
      <w:r>
        <w:rPr>
          <w:rFonts w:eastAsiaTheme="minorHAnsi"/>
          <w:bCs/>
          <w:iCs/>
          <w:color w:val="54883D"/>
          <w:sz w:val="20"/>
          <w:szCs w:val="20"/>
        </w:rPr>
        <w:t>gospodarstvo po kategorijama – ekstremne temperature</w:t>
      </w:r>
    </w:p>
    <w:tbl>
      <w:tblPr>
        <w:tblStyle w:val="ivopisnatablicareetke6-isticanje3223"/>
        <w:tblW w:w="8439" w:type="dxa"/>
        <w:jc w:val="center"/>
        <w:tblLook w:val="04A0" w:firstRow="1" w:lastRow="0" w:firstColumn="1" w:lastColumn="0" w:noHBand="0" w:noVBand="1"/>
      </w:tblPr>
      <w:tblGrid>
        <w:gridCol w:w="1528"/>
        <w:gridCol w:w="2420"/>
        <w:gridCol w:w="2992"/>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rPr>
          <w:iCs/>
          <w:highlight w:val="yellow"/>
          <w:u w:val="single"/>
        </w:rPr>
      </w:pPr>
    </w:p>
    <w:p w:rsidR="00A07D92" w:rsidRDefault="00495E63">
      <w:pPr>
        <w:rPr>
          <w:iCs/>
          <w:color w:val="40883D"/>
        </w:rPr>
      </w:pPr>
      <w:r>
        <w:rPr>
          <w:iCs/>
          <w:color w:val="40883D"/>
        </w:rPr>
        <w:t>Društvena stabilnost i politika</w:t>
      </w:r>
    </w:p>
    <w:p w:rsidR="00A07D92" w:rsidRDefault="00495E63">
      <w:pPr>
        <w:rPr>
          <w:rFonts w:eastAsiaTheme="minorHAnsi"/>
          <w:b/>
          <w:u w:val="single"/>
        </w:rPr>
      </w:pPr>
      <w:r>
        <w:rPr>
          <w:rFonts w:eastAsiaTheme="minorHAnsi"/>
          <w:b/>
          <w:u w:val="single"/>
        </w:rPr>
        <w:t>Posljedice po kritičnu infrastrukturu:</w:t>
      </w:r>
    </w:p>
    <w:p w:rsidR="00A07D92" w:rsidRDefault="00A07D92">
      <w:pPr>
        <w:spacing w:after="0"/>
        <w:rPr>
          <w:i/>
          <w:iCs/>
          <w:color w:val="54883D"/>
        </w:rPr>
      </w:pPr>
    </w:p>
    <w:p w:rsidR="00A07D92" w:rsidRDefault="00495E63">
      <w:pPr>
        <w:spacing w:after="0"/>
        <w:rPr>
          <w:color w:val="54883D"/>
        </w:rPr>
      </w:pPr>
      <w:r>
        <w:rPr>
          <w:color w:val="54883D"/>
        </w:rPr>
        <w:t>Javne službe</w:t>
      </w:r>
    </w:p>
    <w:p w:rsidR="00A07D92" w:rsidRDefault="00495E63">
      <w:pPr>
        <w:spacing w:before="120" w:after="120"/>
        <w:rPr>
          <w:color w:val="auto"/>
          <w:szCs w:val="23"/>
        </w:rPr>
      </w:pPr>
      <w:r>
        <w:rPr>
          <w:color w:val="auto"/>
          <w:szCs w:val="23"/>
        </w:rPr>
        <w:t xml:space="preserve">Zbog velikog broja turista može doći do opterećenosti medicinskih službi. Potrebno je naglasiti da je postojeća organizacija hitne </w:t>
      </w:r>
      <w:r>
        <w:rPr>
          <w:color w:val="auto"/>
          <w:szCs w:val="23"/>
        </w:rPr>
        <w:t>medicinske službe i ostalih službi zdravstva na području Grada Malog Lošinja na visokoj razini.</w:t>
      </w:r>
    </w:p>
    <w:p w:rsidR="00A07D92" w:rsidRDefault="00495E63">
      <w:pPr>
        <w:spacing w:before="120" w:after="120"/>
        <w:rPr>
          <w:color w:val="auto"/>
          <w:szCs w:val="23"/>
        </w:rPr>
      </w:pPr>
      <w:r>
        <w:rPr>
          <w:color w:val="auto"/>
          <w:szCs w:val="23"/>
        </w:rPr>
        <w:t>Ne očekuju se znatnija oštećenja ostale kritične infrastrukture, štete/gubici na građevinama od javnog društvenog značaja, kao niti dulji prekid u radu kritični</w:t>
      </w:r>
      <w:r>
        <w:rPr>
          <w:color w:val="auto"/>
          <w:szCs w:val="23"/>
        </w:rPr>
        <w:t>h infrastruktura.</w:t>
      </w:r>
    </w:p>
    <w:p w:rsidR="00A07D92" w:rsidRDefault="00A07D92">
      <w:pPr>
        <w:spacing w:after="0"/>
        <w:rPr>
          <w:iCs/>
          <w:color w:val="54883D"/>
        </w:rPr>
      </w:pPr>
    </w:p>
    <w:p w:rsidR="00A07D92" w:rsidRDefault="00495E63">
      <w:pPr>
        <w:spacing w:before="240" w:after="0"/>
        <w:jc w:val="center"/>
        <w:rPr>
          <w:rFonts w:eastAsiaTheme="minorHAnsi"/>
          <w:bCs/>
          <w:iCs/>
          <w:color w:val="54883D"/>
          <w:sz w:val="20"/>
          <w:szCs w:val="20"/>
        </w:rPr>
      </w:pPr>
      <w:r>
        <w:rPr>
          <w:rFonts w:eastAsiaTheme="minorHAnsi"/>
          <w:bCs/>
          <w:iCs/>
          <w:color w:val="54883D"/>
          <w:sz w:val="20"/>
          <w:szCs w:val="20"/>
        </w:rPr>
        <w:t xml:space="preserve">Tablica </w:t>
      </w:r>
      <w:r>
        <w:rPr>
          <w:rFonts w:eastAsiaTheme="minorHAnsi"/>
          <w:bCs/>
          <w:iCs/>
          <w:color w:val="54883D"/>
          <w:sz w:val="20"/>
          <w:szCs w:val="20"/>
        </w:rPr>
        <w:fldChar w:fldCharType="begin"/>
      </w:r>
      <w:r>
        <w:rPr>
          <w:rFonts w:eastAsia="Calibri"/>
          <w:bCs/>
          <w:iCs/>
          <w:sz w:val="20"/>
          <w:szCs w:val="20"/>
        </w:rPr>
        <w:instrText>SEQ Tabela \* ARABIC</w:instrText>
      </w:r>
      <w:r>
        <w:rPr>
          <w:rFonts w:eastAsia="Calibri"/>
          <w:bCs/>
          <w:iCs/>
          <w:sz w:val="20"/>
          <w:szCs w:val="20"/>
        </w:rPr>
        <w:fldChar w:fldCharType="separate"/>
      </w:r>
      <w:r>
        <w:rPr>
          <w:rFonts w:eastAsia="Calibri"/>
          <w:bCs/>
          <w:iCs/>
          <w:sz w:val="20"/>
          <w:szCs w:val="20"/>
        </w:rPr>
        <w:t>74</w:t>
      </w:r>
      <w:r>
        <w:rPr>
          <w:rFonts w:eastAsia="Calibri"/>
          <w:bCs/>
          <w:iCs/>
          <w:sz w:val="20"/>
          <w:szCs w:val="20"/>
        </w:rPr>
        <w:fldChar w:fldCharType="end"/>
      </w:r>
      <w:r>
        <w:rPr>
          <w:rFonts w:eastAsiaTheme="minorHAnsi"/>
          <w:bCs/>
          <w:iCs/>
          <w:color w:val="54883D"/>
          <w:sz w:val="20"/>
          <w:szCs w:val="20"/>
        </w:rPr>
        <w:t>. Vrijednost kriterija za posljedice na društvenu stabilnost i politiku - oštećena kritična infrastruktura</w:t>
      </w:r>
    </w:p>
    <w:tbl>
      <w:tblPr>
        <w:tblStyle w:val="ivopisnatablicareetke6-isticanje3223"/>
        <w:tblW w:w="8439" w:type="dxa"/>
        <w:jc w:val="center"/>
        <w:tblLook w:val="04A0" w:firstRow="1" w:lastRow="0" w:firstColumn="1" w:lastColumn="0" w:noHBand="0" w:noVBand="1"/>
      </w:tblPr>
      <w:tblGrid>
        <w:gridCol w:w="1528"/>
        <w:gridCol w:w="2420"/>
        <w:gridCol w:w="2992"/>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lastRenderedPageBreak/>
              <w:t>2.</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rPr>
          <w:rFonts w:eastAsiaTheme="minorHAnsi"/>
          <w:b/>
          <w:u w:val="single"/>
        </w:rPr>
      </w:pPr>
    </w:p>
    <w:p w:rsidR="00A07D92" w:rsidRDefault="00495E63">
      <w:pPr>
        <w:rPr>
          <w:rFonts w:eastAsiaTheme="minorHAnsi"/>
          <w:b/>
          <w:u w:val="single"/>
        </w:rPr>
      </w:pPr>
      <w:r>
        <w:rPr>
          <w:rFonts w:eastAsiaTheme="minorHAnsi"/>
          <w:b/>
          <w:u w:val="single"/>
        </w:rPr>
        <w:t>Posljedice po građevine javnog društvenog značaja:</w:t>
      </w:r>
    </w:p>
    <w:p w:rsidR="00A07D92" w:rsidRDefault="00495E63">
      <w:pPr>
        <w:spacing w:after="0"/>
        <w:rPr>
          <w:i/>
          <w:color w:val="auto"/>
          <w:szCs w:val="20"/>
        </w:rPr>
      </w:pPr>
      <w:r>
        <w:rPr>
          <w:iCs/>
          <w:color w:val="auto"/>
        </w:rPr>
        <w:t xml:space="preserve">Ne očekuju se posljedice na građevinama javnog društvenog </w:t>
      </w:r>
      <w:r>
        <w:rPr>
          <w:iCs/>
          <w:color w:val="auto"/>
        </w:rPr>
        <w:t>značaja.</w:t>
      </w:r>
    </w:p>
    <w:p w:rsidR="00A07D92" w:rsidRDefault="00495E63">
      <w:pPr>
        <w:spacing w:before="240" w:after="0"/>
        <w:jc w:val="center"/>
        <w:rPr>
          <w:rFonts w:eastAsiaTheme="minorHAnsi"/>
          <w:bCs/>
          <w:iCs/>
          <w:color w:val="54883D"/>
          <w:sz w:val="20"/>
          <w:szCs w:val="20"/>
        </w:rPr>
      </w:pPr>
      <w:r>
        <w:rPr>
          <w:rFonts w:eastAsiaTheme="minorHAnsi"/>
          <w:bCs/>
          <w:iCs/>
          <w:color w:val="54883D"/>
          <w:sz w:val="20"/>
          <w:szCs w:val="20"/>
        </w:rPr>
        <w:t xml:space="preserve">Tablica </w:t>
      </w:r>
      <w:r>
        <w:rPr>
          <w:rFonts w:eastAsiaTheme="minorHAnsi"/>
          <w:bCs/>
          <w:iCs/>
          <w:color w:val="54883D"/>
          <w:sz w:val="20"/>
          <w:szCs w:val="20"/>
        </w:rPr>
        <w:fldChar w:fldCharType="begin"/>
      </w:r>
      <w:r>
        <w:rPr>
          <w:rFonts w:eastAsia="Calibri"/>
          <w:bCs/>
          <w:iCs/>
          <w:sz w:val="20"/>
          <w:szCs w:val="20"/>
        </w:rPr>
        <w:instrText>SEQ Tabela \* ARABIC</w:instrText>
      </w:r>
      <w:r>
        <w:rPr>
          <w:rFonts w:eastAsia="Calibri"/>
          <w:bCs/>
          <w:iCs/>
          <w:sz w:val="20"/>
          <w:szCs w:val="20"/>
        </w:rPr>
        <w:fldChar w:fldCharType="separate"/>
      </w:r>
      <w:r>
        <w:rPr>
          <w:rFonts w:eastAsia="Calibri"/>
          <w:bCs/>
          <w:iCs/>
          <w:sz w:val="20"/>
          <w:szCs w:val="20"/>
        </w:rPr>
        <w:t>75</w:t>
      </w:r>
      <w:r>
        <w:rPr>
          <w:rFonts w:eastAsia="Calibri"/>
          <w:bCs/>
          <w:iCs/>
          <w:sz w:val="20"/>
          <w:szCs w:val="20"/>
        </w:rPr>
        <w:fldChar w:fldCharType="end"/>
      </w:r>
      <w:r>
        <w:rPr>
          <w:rFonts w:eastAsiaTheme="minorHAnsi"/>
          <w:bCs/>
          <w:iCs/>
          <w:color w:val="54883D"/>
          <w:sz w:val="20"/>
          <w:szCs w:val="20"/>
        </w:rPr>
        <w:t>. Vrijednost kriterija za posljedice na društvenu stabilnost i politiku - štete/gubitci na ustanovama/građevinama javnog društvenog značaja – ekstremne temperature</w:t>
      </w:r>
    </w:p>
    <w:tbl>
      <w:tblPr>
        <w:tblStyle w:val="ivopisnatablicareetke6-isticanje3223"/>
        <w:tblW w:w="8439" w:type="dxa"/>
        <w:jc w:val="center"/>
        <w:tblLook w:val="04A0" w:firstRow="1" w:lastRow="0" w:firstColumn="1" w:lastColumn="0" w:noHBand="0" w:noVBand="1"/>
      </w:tblPr>
      <w:tblGrid>
        <w:gridCol w:w="1528"/>
        <w:gridCol w:w="2420"/>
        <w:gridCol w:w="2992"/>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spacing w:before="240" w:after="0"/>
        <w:jc w:val="center"/>
        <w:rPr>
          <w:rFonts w:eastAsiaTheme="minorHAnsi"/>
          <w:bCs/>
          <w:i/>
          <w:color w:val="54883D"/>
          <w:szCs w:val="22"/>
          <w:highlight w:val="yellow"/>
        </w:rPr>
      </w:pPr>
    </w:p>
    <w:p w:rsidR="00A07D92" w:rsidRDefault="00495E63">
      <w:pPr>
        <w:spacing w:before="240" w:after="0"/>
        <w:jc w:val="center"/>
        <w:rPr>
          <w:rFonts w:eastAsiaTheme="minorHAnsi"/>
          <w:bCs/>
          <w:iCs/>
          <w:color w:val="54883D"/>
          <w:sz w:val="20"/>
          <w:szCs w:val="20"/>
        </w:rPr>
      </w:pPr>
      <w:r>
        <w:rPr>
          <w:rFonts w:eastAsiaTheme="minorHAnsi"/>
          <w:bCs/>
          <w:iCs/>
          <w:color w:val="54883D"/>
          <w:sz w:val="20"/>
          <w:szCs w:val="20"/>
        </w:rPr>
        <w:t xml:space="preserve">Tablica </w:t>
      </w:r>
      <w:r>
        <w:rPr>
          <w:rFonts w:eastAsiaTheme="minorHAnsi"/>
          <w:bCs/>
          <w:iCs/>
          <w:color w:val="54883D"/>
          <w:sz w:val="20"/>
          <w:szCs w:val="20"/>
        </w:rPr>
        <w:fldChar w:fldCharType="begin"/>
      </w:r>
      <w:r>
        <w:rPr>
          <w:rFonts w:eastAsia="Calibri"/>
          <w:bCs/>
          <w:iCs/>
          <w:sz w:val="20"/>
          <w:szCs w:val="20"/>
        </w:rPr>
        <w:instrText>SEQ Tabela \* ARABIC</w:instrText>
      </w:r>
      <w:r>
        <w:rPr>
          <w:rFonts w:eastAsia="Calibri"/>
          <w:bCs/>
          <w:iCs/>
          <w:sz w:val="20"/>
          <w:szCs w:val="20"/>
        </w:rPr>
        <w:fldChar w:fldCharType="separate"/>
      </w:r>
      <w:r>
        <w:rPr>
          <w:rFonts w:eastAsia="Calibri"/>
          <w:bCs/>
          <w:iCs/>
          <w:sz w:val="20"/>
          <w:szCs w:val="20"/>
        </w:rPr>
        <w:t>76</w:t>
      </w:r>
      <w:r>
        <w:rPr>
          <w:rFonts w:eastAsia="Calibri"/>
          <w:bCs/>
          <w:iCs/>
          <w:sz w:val="20"/>
          <w:szCs w:val="20"/>
        </w:rPr>
        <w:fldChar w:fldCharType="end"/>
      </w:r>
      <w:r>
        <w:rPr>
          <w:rFonts w:eastAsiaTheme="minorHAnsi"/>
          <w:bCs/>
          <w:iCs/>
          <w:color w:val="54883D"/>
          <w:sz w:val="20"/>
          <w:szCs w:val="20"/>
        </w:rPr>
        <w:t xml:space="preserve">. Vrijednost kriterija za društvenu </w:t>
      </w:r>
      <w:r>
        <w:rPr>
          <w:rFonts w:eastAsiaTheme="minorHAnsi"/>
          <w:bCs/>
          <w:iCs/>
          <w:color w:val="54883D"/>
          <w:sz w:val="20"/>
          <w:szCs w:val="20"/>
        </w:rPr>
        <w:t>stabilnost i politiku- zbirno – ekstremne temperature</w:t>
      </w:r>
    </w:p>
    <w:tbl>
      <w:tblPr>
        <w:tblStyle w:val="GridTable6Colorful-Accent31"/>
        <w:tblW w:w="5000" w:type="pct"/>
        <w:jc w:val="center"/>
        <w:tblLook w:val="04A0" w:firstRow="1" w:lastRow="0" w:firstColumn="1" w:lastColumn="0" w:noHBand="0" w:noVBand="1"/>
      </w:tblPr>
      <w:tblGrid>
        <w:gridCol w:w="1824"/>
        <w:gridCol w:w="2472"/>
        <w:gridCol w:w="3322"/>
        <w:gridCol w:w="1668"/>
      </w:tblGrid>
      <w:tr w:rsidR="00A07D92" w:rsidTr="00A07D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12" w:space="0" w:color="C2D69B"/>
              <w:right w:val="single" w:sz="4" w:space="0" w:color="54883D"/>
            </w:tcBorders>
            <w:shd w:val="clear" w:color="auto" w:fill="auto"/>
          </w:tcPr>
          <w:p w:rsidR="00A07D92" w:rsidRDefault="00495E63">
            <w:pPr>
              <w:spacing w:after="0" w:line="240" w:lineRule="auto"/>
              <w:ind w:left="29"/>
              <w:jc w:val="center"/>
              <w:rPr>
                <w:sz w:val="20"/>
              </w:rPr>
            </w:pPr>
            <w:r>
              <w:rPr>
                <w:color w:val="76923C" w:themeColor="accent3" w:themeShade="BF"/>
                <w:sz w:val="20"/>
              </w:rPr>
              <w:t>KATEGORIJA</w:t>
            </w:r>
          </w:p>
        </w:tc>
        <w:tc>
          <w:tcPr>
            <w:tcW w:w="2414" w:type="dxa"/>
            <w:tcBorders>
              <w:top w:val="single" w:sz="4" w:space="0" w:color="54883D"/>
              <w:left w:val="single" w:sz="4" w:space="0" w:color="54883D"/>
              <w:bottom w:val="single" w:sz="12" w:space="0" w:color="C2D69B"/>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KRITIČNA INFRASTRUKTURA</w:t>
            </w:r>
          </w:p>
        </w:tc>
        <w:tc>
          <w:tcPr>
            <w:tcW w:w="3244" w:type="dxa"/>
            <w:tcBorders>
              <w:top w:val="single" w:sz="4" w:space="0" w:color="54883D"/>
              <w:left w:val="single" w:sz="4" w:space="0" w:color="54883D"/>
              <w:bottom w:val="single" w:sz="12" w:space="0" w:color="C2D69B"/>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USTANOVE/GRAĐEVINE JAVNOG DRUŠTVENOG ZNAČAJA</w:t>
            </w:r>
          </w:p>
        </w:tc>
        <w:tc>
          <w:tcPr>
            <w:tcW w:w="1629" w:type="dxa"/>
            <w:tcBorders>
              <w:top w:val="single" w:sz="4" w:space="0" w:color="54883D"/>
              <w:left w:val="single" w:sz="4" w:space="0" w:color="54883D"/>
              <w:bottom w:val="single" w:sz="12" w:space="0" w:color="C2D69B"/>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1.</w:t>
            </w:r>
          </w:p>
        </w:tc>
        <w:tc>
          <w:tcPr>
            <w:tcW w:w="241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c>
          <w:tcPr>
            <w:tcW w:w="32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c>
          <w:tcPr>
            <w:tcW w:w="16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2.</w:t>
            </w:r>
          </w:p>
        </w:tc>
        <w:tc>
          <w:tcPr>
            <w:tcW w:w="24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32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16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3.</w:t>
            </w:r>
          </w:p>
        </w:tc>
        <w:tc>
          <w:tcPr>
            <w:tcW w:w="241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32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16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4.</w:t>
            </w:r>
          </w:p>
        </w:tc>
        <w:tc>
          <w:tcPr>
            <w:tcW w:w="241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32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16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5.</w:t>
            </w:r>
          </w:p>
        </w:tc>
        <w:tc>
          <w:tcPr>
            <w:tcW w:w="241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32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16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r>
    </w:tbl>
    <w:p w:rsidR="00A07D92" w:rsidRDefault="00A07D92">
      <w:pPr>
        <w:rPr>
          <w:i/>
          <w:iCs/>
          <w:color w:val="54883D"/>
          <w:highlight w:val="yellow"/>
        </w:rPr>
      </w:pPr>
    </w:p>
    <w:p w:rsidR="00A07D92" w:rsidRDefault="00495E63">
      <w:pPr>
        <w:rPr>
          <w:i/>
          <w:iCs/>
          <w:color w:val="54883D"/>
        </w:rPr>
      </w:pPr>
      <w:r>
        <w:rPr>
          <w:i/>
          <w:iCs/>
          <w:color w:val="54883D"/>
        </w:rPr>
        <w:t>Vjerojatnost događaja</w:t>
      </w:r>
    </w:p>
    <w:p w:rsidR="00A07D92" w:rsidRDefault="00495E63">
      <w:pPr>
        <w:rPr>
          <w:szCs w:val="22"/>
        </w:rPr>
      </w:pPr>
      <w:r>
        <w:rPr>
          <w:szCs w:val="22"/>
        </w:rPr>
        <w:t xml:space="preserve">Višegodišnji temperaturni trendovi koje prati </w:t>
      </w:r>
      <w:r>
        <w:rPr>
          <w:szCs w:val="22"/>
        </w:rPr>
        <w:t>Državni hidrometeorološki zavod za klimatska područja u Republici Hrvatskoj ukazuju na vrlo veliki rizik od ekstremno visokih temperatura.</w:t>
      </w:r>
    </w:p>
    <w:p w:rsidR="00A07D92" w:rsidRDefault="00495E63">
      <w:pPr>
        <w:spacing w:before="240" w:after="0"/>
        <w:jc w:val="center"/>
        <w:rPr>
          <w:rFonts w:eastAsiaTheme="minorHAnsi"/>
          <w:bCs/>
          <w:iCs/>
          <w:color w:val="54883D"/>
          <w:szCs w:val="22"/>
        </w:rPr>
      </w:pPr>
      <w:r>
        <w:rPr>
          <w:rFonts w:eastAsiaTheme="minorHAnsi"/>
          <w:bCs/>
          <w:iCs/>
          <w:color w:val="54883D"/>
          <w:szCs w:val="22"/>
        </w:rPr>
        <w:t xml:space="preserve">Tablica </w:t>
      </w:r>
      <w:r>
        <w:rPr>
          <w:rFonts w:eastAsiaTheme="minorHAnsi"/>
          <w:bCs/>
          <w:iCs/>
          <w:color w:val="54883D"/>
          <w:szCs w:val="22"/>
        </w:rPr>
        <w:fldChar w:fldCharType="begin"/>
      </w:r>
      <w:r>
        <w:rPr>
          <w:rFonts w:eastAsia="Calibri"/>
          <w:bCs/>
          <w:iCs/>
          <w:szCs w:val="22"/>
        </w:rPr>
        <w:instrText>SEQ Tabela \* ARABIC</w:instrText>
      </w:r>
      <w:r>
        <w:rPr>
          <w:rFonts w:eastAsia="Calibri"/>
          <w:bCs/>
          <w:iCs/>
          <w:szCs w:val="22"/>
        </w:rPr>
        <w:fldChar w:fldCharType="separate"/>
      </w:r>
      <w:r>
        <w:rPr>
          <w:rFonts w:eastAsia="Calibri"/>
          <w:bCs/>
          <w:iCs/>
          <w:szCs w:val="22"/>
        </w:rPr>
        <w:t>77</w:t>
      </w:r>
      <w:r>
        <w:rPr>
          <w:rFonts w:eastAsia="Calibri"/>
          <w:bCs/>
          <w:iCs/>
          <w:szCs w:val="22"/>
        </w:rPr>
        <w:fldChar w:fldCharType="end"/>
      </w:r>
      <w:r>
        <w:rPr>
          <w:rFonts w:eastAsiaTheme="minorHAnsi"/>
          <w:bCs/>
          <w:iCs/>
          <w:color w:val="54883D"/>
          <w:szCs w:val="22"/>
        </w:rPr>
        <w:t>. Vjerojatnost / frekvencija – ekstremne temperature</w:t>
      </w:r>
    </w:p>
    <w:tbl>
      <w:tblPr>
        <w:tblStyle w:val="GridTable6ColorfulAccent3"/>
        <w:tblW w:w="9634" w:type="dxa"/>
        <w:tblLook w:val="04A0" w:firstRow="1" w:lastRow="0" w:firstColumn="1" w:lastColumn="0" w:noHBand="0" w:noVBand="1"/>
      </w:tblPr>
      <w:tblGrid>
        <w:gridCol w:w="1554"/>
        <w:gridCol w:w="1701"/>
        <w:gridCol w:w="1841"/>
        <w:gridCol w:w="2977"/>
        <w:gridCol w:w="1561"/>
      </w:tblGrid>
      <w:tr w:rsidR="00A07D92" w:rsidTr="00A07D92">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szCs w:val="20"/>
              </w:rPr>
            </w:pPr>
            <w:r>
              <w:rPr>
                <w:color w:val="76923C" w:themeColor="accent3" w:themeShade="BF"/>
                <w:sz w:val="20"/>
                <w:szCs w:val="20"/>
              </w:rPr>
              <w:t>KATEGORIJA</w:t>
            </w:r>
          </w:p>
        </w:tc>
        <w:tc>
          <w:tcPr>
            <w:tcW w:w="8080" w:type="dxa"/>
            <w:gridSpan w:val="4"/>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VJEROJATNOST / FREKV</w:t>
            </w:r>
            <w:r>
              <w:rPr>
                <w:color w:val="76923C" w:themeColor="accent3" w:themeShade="BF"/>
                <w:sz w:val="20"/>
                <w:szCs w:val="20"/>
              </w:rPr>
              <w:t>ENCIJA</w:t>
            </w:r>
          </w:p>
        </w:tc>
      </w:tr>
      <w:tr w:rsidR="00A07D92" w:rsidTr="00A07D92">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4"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rPr>
                <w:b w:val="0"/>
                <w:color w:val="76923C" w:themeColor="accent3" w:themeShade="BF"/>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KVALITATIVNO</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VJEROJATNOST</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FREKVENCIJA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ODABRANO</w:t>
            </w: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1</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&lt;1 %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2</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3</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4</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70"/>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5</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Pr>
                <w:b/>
                <w:color w:val="76923C" w:themeColor="accent3" w:themeShade="BF"/>
                <w:sz w:val="20"/>
                <w:szCs w:val="20"/>
              </w:rPr>
              <w:t>x</w:t>
            </w:r>
          </w:p>
        </w:tc>
      </w:tr>
    </w:tbl>
    <w:p w:rsidR="00A07D92" w:rsidRDefault="00A07D92">
      <w:pPr>
        <w:rPr>
          <w:highlight w:val="yellow"/>
        </w:rPr>
      </w:pPr>
    </w:p>
    <w:p w:rsidR="00A07D92" w:rsidRDefault="00A07D92">
      <w:pPr>
        <w:rPr>
          <w:highlight w:val="yellow"/>
        </w:rPr>
      </w:pPr>
    </w:p>
    <w:p w:rsidR="00A07D92" w:rsidRDefault="00495E63">
      <w:pPr>
        <w:keepNext/>
        <w:keepLines/>
        <w:spacing w:before="40"/>
        <w:ind w:left="709" w:hanging="721"/>
        <w:outlineLvl w:val="2"/>
        <w:rPr>
          <w:rFonts w:cstheme="majorBidi"/>
          <w:color w:val="54883D"/>
          <w:sz w:val="28"/>
          <w:lang w:bidi="en-US"/>
        </w:rPr>
      </w:pPr>
      <w:bookmarkStart w:id="368" w:name="_Toc136522878"/>
      <w:bookmarkStart w:id="369" w:name="_Toc103941254"/>
      <w:bookmarkStart w:id="370" w:name="_Toc99955737"/>
      <w:r>
        <w:rPr>
          <w:rFonts w:cstheme="majorBidi"/>
          <w:color w:val="54883D"/>
          <w:sz w:val="28"/>
          <w:lang w:bidi="en-US"/>
        </w:rPr>
        <w:lastRenderedPageBreak/>
        <w:t>6.7.7 Podaci, izvori i metode proračuna</w:t>
      </w:r>
      <w:bookmarkEnd w:id="368"/>
      <w:bookmarkEnd w:id="369"/>
      <w:bookmarkEnd w:id="370"/>
    </w:p>
    <w:p w:rsidR="00A07D92" w:rsidRDefault="00495E63">
      <w:r>
        <w:t>Prilikom izračuna zona ugroženosti i procjene rizika korišteni su podaci iz:</w:t>
      </w:r>
    </w:p>
    <w:p w:rsidR="00A07D92" w:rsidRDefault="00495E63">
      <w:pPr>
        <w:numPr>
          <w:ilvl w:val="0"/>
          <w:numId w:val="5"/>
        </w:numPr>
        <w:tabs>
          <w:tab w:val="left" w:pos="2445"/>
        </w:tabs>
        <w:spacing w:before="72" w:after="72"/>
        <w:contextualSpacing/>
        <w:rPr>
          <w:szCs w:val="22"/>
          <w:lang w:eastAsia="hr-HR"/>
        </w:rPr>
      </w:pPr>
      <w:r>
        <w:rPr>
          <w:szCs w:val="22"/>
          <w:lang w:eastAsia="hr-HR"/>
        </w:rPr>
        <w:t xml:space="preserve">Procjene ugroženosti stanovništva, materijalnih i kulturnih dobara te okoliša za </w:t>
      </w:r>
      <w:r>
        <w:rPr>
          <w:szCs w:val="22"/>
          <w:lang w:eastAsia="hr-HR"/>
        </w:rPr>
        <w:t>područje Grada Malog Lošinja (2015.),</w:t>
      </w:r>
    </w:p>
    <w:p w:rsidR="00A07D92" w:rsidRDefault="00495E63">
      <w:pPr>
        <w:numPr>
          <w:ilvl w:val="0"/>
          <w:numId w:val="5"/>
        </w:numPr>
        <w:tabs>
          <w:tab w:val="left" w:pos="2445"/>
        </w:tabs>
        <w:spacing w:before="72" w:after="72"/>
        <w:contextualSpacing/>
        <w:rPr>
          <w:szCs w:val="22"/>
          <w:lang w:eastAsia="hr-HR"/>
        </w:rPr>
      </w:pPr>
      <w:r>
        <w:rPr>
          <w:szCs w:val="22"/>
          <w:lang w:eastAsia="hr-HR"/>
        </w:rPr>
        <w:t>Grad Mali Lošinj,</w:t>
      </w:r>
    </w:p>
    <w:p w:rsidR="00A07D92" w:rsidRDefault="00495E63">
      <w:pPr>
        <w:numPr>
          <w:ilvl w:val="0"/>
          <w:numId w:val="5"/>
        </w:numPr>
        <w:tabs>
          <w:tab w:val="left" w:pos="2445"/>
        </w:tabs>
        <w:spacing w:before="72" w:after="72"/>
        <w:contextualSpacing/>
        <w:rPr>
          <w:szCs w:val="22"/>
          <w:lang w:eastAsia="hr-HR"/>
        </w:rPr>
      </w:pPr>
      <w:r>
        <w:rPr>
          <w:szCs w:val="22"/>
          <w:lang w:eastAsia="hr-HR"/>
        </w:rPr>
        <w:t xml:space="preserve">Procjena rizika od katastrofa za Republiku Hrvatsku, </w:t>
      </w:r>
    </w:p>
    <w:p w:rsidR="00A07D92" w:rsidRDefault="00495E63">
      <w:pPr>
        <w:numPr>
          <w:ilvl w:val="0"/>
          <w:numId w:val="5"/>
        </w:numPr>
        <w:tabs>
          <w:tab w:val="left" w:pos="2445"/>
        </w:tabs>
        <w:spacing w:before="72" w:after="72"/>
        <w:contextualSpacing/>
        <w:rPr>
          <w:szCs w:val="22"/>
          <w:lang w:eastAsia="hr-HR"/>
        </w:rPr>
      </w:pPr>
      <w:r>
        <w:rPr>
          <w:szCs w:val="22"/>
          <w:lang w:eastAsia="hr-HR"/>
        </w:rPr>
        <w:t>Državni hidrometeorološki zavod.</w:t>
      </w:r>
    </w:p>
    <w:p w:rsidR="00A07D92" w:rsidRDefault="00495E63">
      <w:pPr>
        <w:numPr>
          <w:ilvl w:val="0"/>
          <w:numId w:val="5"/>
        </w:numPr>
        <w:tabs>
          <w:tab w:val="left" w:pos="2445"/>
        </w:tabs>
        <w:spacing w:before="72" w:after="72"/>
        <w:contextualSpacing/>
        <w:rPr>
          <w:szCs w:val="22"/>
          <w:lang w:eastAsia="hr-HR"/>
        </w:rPr>
      </w:pPr>
      <w:r>
        <w:rPr>
          <w:szCs w:val="22"/>
          <w:lang w:eastAsia="hr-HR"/>
        </w:rPr>
        <w:t>Popis stanovništva iz 2021. godine</w:t>
      </w: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495E63">
      <w:pPr>
        <w:keepNext/>
        <w:keepLines/>
        <w:spacing w:before="40"/>
        <w:ind w:left="709" w:hanging="721"/>
        <w:outlineLvl w:val="2"/>
        <w:rPr>
          <w:rFonts w:cstheme="majorBidi"/>
          <w:color w:val="54883D"/>
          <w:sz w:val="28"/>
          <w:lang w:bidi="en-US"/>
        </w:rPr>
      </w:pPr>
      <w:bookmarkStart w:id="371" w:name="_Toc136522879"/>
      <w:bookmarkStart w:id="372" w:name="_Toc103941255"/>
      <w:bookmarkStart w:id="373" w:name="_Toc99955738"/>
      <w:r>
        <w:rPr>
          <w:rFonts w:cstheme="majorBidi"/>
          <w:color w:val="54883D"/>
          <w:sz w:val="28"/>
          <w:lang w:bidi="en-US"/>
        </w:rPr>
        <w:lastRenderedPageBreak/>
        <w:t>6.7.8 Matrice rizika</w:t>
      </w:r>
      <w:bookmarkEnd w:id="371"/>
      <w:bookmarkEnd w:id="372"/>
      <w:bookmarkEnd w:id="373"/>
    </w:p>
    <w:p w:rsidR="00A07D92" w:rsidRDefault="00495E63">
      <w:r>
        <w:t>Rizik: Ekstremne temperature</w:t>
      </w:r>
    </w:p>
    <w:p w:rsidR="00A07D92" w:rsidRDefault="00495E63">
      <w:r>
        <w:t xml:space="preserve">Naziv scenarija: </w:t>
      </w:r>
      <w:r>
        <w:rPr>
          <w:szCs w:val="20"/>
        </w:rPr>
        <w:t>Pojava toplinskog vala na području Grada Malog Lošinja</w:t>
      </w:r>
    </w:p>
    <w:p w:rsidR="00A07D92" w:rsidRDefault="00A07D92"/>
    <w:p w:rsidR="00A07D92" w:rsidRDefault="00495E63">
      <w:pPr>
        <w:jc w:val="center"/>
      </w:pPr>
      <w:r>
        <w:rPr>
          <w:noProof/>
          <w:lang w:eastAsia="hr-HR"/>
        </w:rPr>
        <w:drawing>
          <wp:inline distT="0" distB="0" distL="0" distR="0">
            <wp:extent cx="5210175" cy="4443730"/>
            <wp:effectExtent l="0" t="0" r="0" b="0"/>
            <wp:docPr id="142"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235"/>
                    <pic:cNvPicPr>
                      <a:picLocks noChangeAspect="1" noChangeArrowheads="1"/>
                    </pic:cNvPicPr>
                  </pic:nvPicPr>
                  <pic:blipFill>
                    <a:blip r:embed="rId98"/>
                    <a:stretch>
                      <a:fillRect/>
                    </a:stretch>
                  </pic:blipFill>
                  <pic:spPr bwMode="auto">
                    <a:xfrm>
                      <a:off x="0" y="0"/>
                      <a:ext cx="5210175" cy="4443730"/>
                    </a:xfrm>
                    <a:prstGeom prst="rect">
                      <a:avLst/>
                    </a:prstGeom>
                  </pic:spPr>
                </pic:pic>
              </a:graphicData>
            </a:graphic>
          </wp:inline>
        </w:drawing>
      </w:r>
      <w:r>
        <w:rPr>
          <w:noProof/>
          <w:lang w:eastAsia="hr-HR"/>
        </w:rPr>
        <mc:AlternateContent>
          <mc:Choice Requires="wps">
            <w:drawing>
              <wp:anchor distT="0" distB="0" distL="0" distR="0" simplePos="0" relativeHeight="58" behindDoc="0" locked="0" layoutInCell="1" allowOverlap="1" wp14:anchorId="52B539FD">
                <wp:simplePos x="0" y="0"/>
                <wp:positionH relativeFrom="column">
                  <wp:posOffset>3856355</wp:posOffset>
                </wp:positionH>
                <wp:positionV relativeFrom="paragraph">
                  <wp:posOffset>2379345</wp:posOffset>
                </wp:positionV>
                <wp:extent cx="314960" cy="253365"/>
                <wp:effectExtent l="19050" t="0" r="28575" b="13970"/>
                <wp:wrapNone/>
                <wp:docPr id="141" name="Hexagon 2136380836"/>
                <wp:cNvGraphicFramePr/>
                <a:graphic xmlns:a="http://schemas.openxmlformats.org/drawingml/2006/main">
                  <a:graphicData uri="http://schemas.microsoft.com/office/word/2010/wordprocessingShape">
                    <wps:wsp>
                      <wps:cNvSpPr/>
                      <wps:spPr>
                        <a:xfrm>
                          <a:off x="0" y="0"/>
                          <a:ext cx="314280" cy="252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2136380836" fillcolor="#4f81bd" stroked="t" style="position:absolute;margin-left:303.65pt;margin-top:187.35pt;width:24.7pt;height:19.85pt" wp14:anchorId="52B539FD" type="shapetype_9">
                <w10:wrap type="none"/>
                <v:fill o:detectmouseclick="t" type="solid" color2="#b07e42"/>
                <v:stroke color="#4f81bd" weight="9360" joinstyle="miter" endcap="flat"/>
              </v:shape>
            </w:pict>
          </mc:Fallback>
        </mc:AlternateContent>
      </w:r>
    </w:p>
    <w:p w:rsidR="00A07D92" w:rsidRDefault="00495E63">
      <w:pPr>
        <w:jc w:val="center"/>
        <w:rPr>
          <w:b/>
          <w:sz w:val="20"/>
        </w:rPr>
      </w:pPr>
      <w:r>
        <w:rPr>
          <w:b/>
          <w:sz w:val="20"/>
        </w:rPr>
        <w:t>Život i zdravlje ljudi</w:t>
      </w:r>
      <w:r>
        <w:rPr>
          <w:b/>
          <w:sz w:val="20"/>
        </w:rPr>
        <w:tab/>
      </w:r>
      <w:r>
        <w:rPr>
          <w:b/>
          <w:sz w:val="20"/>
        </w:rPr>
        <w:tab/>
        <w:t xml:space="preserve">       Gospodarstvo</w:t>
      </w:r>
      <w:r>
        <w:rPr>
          <w:b/>
          <w:sz w:val="20"/>
        </w:rPr>
        <w:tab/>
        <w:t xml:space="preserve">          Društvena stabilnost i politika</w:t>
      </w:r>
    </w:p>
    <w:p w:rsidR="00A07D92" w:rsidRDefault="00495E63">
      <w:pPr>
        <w:jc w:val="center"/>
      </w:pPr>
      <w:r>
        <w:rPr>
          <w:noProof/>
          <w:lang w:eastAsia="hr-HR"/>
        </w:rPr>
        <mc:AlternateContent>
          <mc:Choice Requires="wps">
            <w:drawing>
              <wp:anchor distT="0" distB="0" distL="0" distR="0" simplePos="0" relativeHeight="57" behindDoc="0" locked="0" layoutInCell="1" allowOverlap="1" wp14:anchorId="7F49FE1C">
                <wp:simplePos x="0" y="0"/>
                <wp:positionH relativeFrom="column">
                  <wp:posOffset>1335405</wp:posOffset>
                </wp:positionH>
                <wp:positionV relativeFrom="paragraph">
                  <wp:posOffset>685800</wp:posOffset>
                </wp:positionV>
                <wp:extent cx="111760" cy="91440"/>
                <wp:effectExtent l="19050" t="0" r="41275" b="23495"/>
                <wp:wrapNone/>
                <wp:docPr id="143" name="Hexagon 1075806196"/>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1075806196" fillcolor="#4f81bd" stroked="t" style="position:absolute;margin-left:105.15pt;margin-top:54pt;width:8.7pt;height:7.1pt" wp14:anchorId="7F49FE1C"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59" behindDoc="0" locked="0" layoutInCell="1" allowOverlap="1" wp14:anchorId="0C5F686C">
                <wp:simplePos x="0" y="0"/>
                <wp:positionH relativeFrom="column">
                  <wp:posOffset>3194685</wp:posOffset>
                </wp:positionH>
                <wp:positionV relativeFrom="paragraph">
                  <wp:posOffset>1081405</wp:posOffset>
                </wp:positionV>
                <wp:extent cx="111760" cy="91440"/>
                <wp:effectExtent l="19050" t="0" r="41275" b="23495"/>
                <wp:wrapNone/>
                <wp:docPr id="144" name="Hexagon 2056353953"/>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2056353953" fillcolor="#4f81bd" stroked="t" style="position:absolute;margin-left:251.55pt;margin-top:85.15pt;width:8.7pt;height:7.1pt" wp14:anchorId="0C5F686C"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60" behindDoc="0" locked="0" layoutInCell="1" allowOverlap="1" wp14:anchorId="1164CCA0">
                <wp:simplePos x="0" y="0"/>
                <wp:positionH relativeFrom="column">
                  <wp:posOffset>5123180</wp:posOffset>
                </wp:positionH>
                <wp:positionV relativeFrom="paragraph">
                  <wp:posOffset>1080770</wp:posOffset>
                </wp:positionV>
                <wp:extent cx="111760" cy="91440"/>
                <wp:effectExtent l="19050" t="0" r="41275" b="23495"/>
                <wp:wrapNone/>
                <wp:docPr id="145" name="Hexagon 234"/>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234" fillcolor="#4f81bd" stroked="t" style="position:absolute;margin-left:403.4pt;margin-top:85.1pt;width:8.7pt;height:7.1pt" wp14:anchorId="1164CCA0" type="shapetype_9">
                <w10:wrap type="none"/>
                <v:fill o:detectmouseclick="t" type="solid" color2="#b07e42"/>
                <v:stroke color="#4f81bd" weight="9360" joinstyle="miter" endcap="flat"/>
              </v:shape>
            </w:pict>
          </mc:Fallback>
        </mc:AlternateContent>
      </w:r>
      <w:r>
        <w:rPr>
          <w:noProof/>
          <w:lang w:eastAsia="hr-HR"/>
        </w:rPr>
        <w:drawing>
          <wp:inline distT="0" distB="0" distL="0" distR="0">
            <wp:extent cx="1828800" cy="1554480"/>
            <wp:effectExtent l="0" t="0" r="0" b="0"/>
            <wp:docPr id="146" name="Picture 212850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2128502699"/>
                    <pic:cNvPicPr>
                      <a:picLocks noChangeAspect="1" noChangeArrowheads="1"/>
                    </pic:cNvPicPr>
                  </pic:nvPicPr>
                  <pic:blipFill>
                    <a:blip r:embed="rId99"/>
                    <a:stretch>
                      <a:fillRect/>
                    </a:stretch>
                  </pic:blipFill>
                  <pic:spPr bwMode="auto">
                    <a:xfrm>
                      <a:off x="0" y="0"/>
                      <a:ext cx="1828800" cy="1554480"/>
                    </a:xfrm>
                    <a:prstGeom prst="rect">
                      <a:avLst/>
                    </a:prstGeom>
                  </pic:spPr>
                </pic:pic>
              </a:graphicData>
            </a:graphic>
          </wp:inline>
        </w:drawing>
      </w:r>
      <w:r>
        <w:rPr>
          <w:noProof/>
          <w:lang w:eastAsia="hr-HR"/>
        </w:rPr>
        <w:drawing>
          <wp:inline distT="0" distB="0" distL="0" distR="0">
            <wp:extent cx="1905000" cy="1619250"/>
            <wp:effectExtent l="0" t="0" r="0" b="0"/>
            <wp:docPr id="14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237"/>
                    <pic:cNvPicPr>
                      <a:picLocks noChangeAspect="1" noChangeArrowheads="1"/>
                    </pic:cNvPicPr>
                  </pic:nvPicPr>
                  <pic:blipFill>
                    <a:blip r:embed="rId100"/>
                    <a:stretch>
                      <a:fillRect/>
                    </a:stretch>
                  </pic:blipFill>
                  <pic:spPr bwMode="auto">
                    <a:xfrm>
                      <a:off x="0" y="0"/>
                      <a:ext cx="1905000" cy="1619250"/>
                    </a:xfrm>
                    <a:prstGeom prst="rect">
                      <a:avLst/>
                    </a:prstGeom>
                  </pic:spPr>
                </pic:pic>
              </a:graphicData>
            </a:graphic>
          </wp:inline>
        </w:drawing>
      </w:r>
      <w:r>
        <w:rPr>
          <w:noProof/>
          <w:lang w:eastAsia="hr-HR"/>
        </w:rPr>
        <w:drawing>
          <wp:inline distT="0" distB="0" distL="0" distR="0">
            <wp:extent cx="1906270" cy="1620520"/>
            <wp:effectExtent l="0" t="0" r="0" b="0"/>
            <wp:docPr id="148" name="Picture 49301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493011942"/>
                    <pic:cNvPicPr>
                      <a:picLocks noChangeAspect="1" noChangeArrowheads="1"/>
                    </pic:cNvPicPr>
                  </pic:nvPicPr>
                  <pic:blipFill>
                    <a:blip r:embed="rId120"/>
                    <a:stretch>
                      <a:fillRect/>
                    </a:stretch>
                  </pic:blipFill>
                  <pic:spPr bwMode="auto">
                    <a:xfrm>
                      <a:off x="0" y="0"/>
                      <a:ext cx="1906270" cy="1620520"/>
                    </a:xfrm>
                    <a:prstGeom prst="rect">
                      <a:avLst/>
                    </a:prstGeom>
                  </pic:spPr>
                </pic:pic>
              </a:graphicData>
            </a:graphic>
          </wp:inline>
        </w:drawing>
      </w:r>
    </w:p>
    <w:p w:rsidR="00A07D92" w:rsidRDefault="00A07D92">
      <w:pPr>
        <w:rPr>
          <w:color w:val="FF0000"/>
          <w:lang w:bidi="en-US"/>
        </w:rPr>
      </w:pPr>
    </w:p>
    <w:p w:rsidR="00A07D92" w:rsidRDefault="00A07D92">
      <w:pPr>
        <w:rPr>
          <w:color w:val="FF0000"/>
          <w:szCs w:val="22"/>
        </w:rPr>
      </w:pPr>
    </w:p>
    <w:p w:rsidR="00A07D92" w:rsidRDefault="00A07D92">
      <w:pPr>
        <w:rPr>
          <w:color w:val="FF0000"/>
          <w:szCs w:val="22"/>
        </w:rPr>
      </w:pPr>
    </w:p>
    <w:p w:rsidR="00A07D92" w:rsidRDefault="00A07D92">
      <w:pPr>
        <w:rPr>
          <w:color w:val="FF0000"/>
          <w:szCs w:val="22"/>
        </w:rPr>
      </w:pPr>
    </w:p>
    <w:p w:rsidR="00A07D92" w:rsidRDefault="00495E63">
      <w:pPr>
        <w:keepNext/>
        <w:keepLines/>
        <w:spacing w:before="40"/>
        <w:outlineLvl w:val="2"/>
        <w:rPr>
          <w:rFonts w:cstheme="majorBidi"/>
          <w:color w:val="54883D"/>
          <w:sz w:val="28"/>
          <w:lang w:bidi="en-US"/>
        </w:rPr>
      </w:pPr>
      <w:bookmarkStart w:id="374" w:name="_Toc136522880"/>
      <w:r>
        <w:rPr>
          <w:rFonts w:cstheme="majorBidi"/>
          <w:color w:val="54883D"/>
          <w:sz w:val="28"/>
          <w:lang w:bidi="en-US"/>
        </w:rPr>
        <w:lastRenderedPageBreak/>
        <w:t>6.7.9 Karte</w:t>
      </w:r>
      <w:bookmarkEnd w:id="374"/>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t>6.7.9.1 Karta rizika</w:t>
      </w:r>
    </w:p>
    <w:tbl>
      <w:tblPr>
        <w:tblStyle w:val="Reetkatablice1011"/>
        <w:tblpPr w:leftFromText="180" w:rightFromText="180" w:vertAnchor="text" w:horzAnchor="page" w:tblpX="9034" w:tblpY="1136"/>
        <w:tblW w:w="1980" w:type="dxa"/>
        <w:tblLook w:val="04A0" w:firstRow="1" w:lastRow="0" w:firstColumn="1" w:lastColumn="0" w:noHBand="0" w:noVBand="1"/>
      </w:tblPr>
      <w:tblGrid>
        <w:gridCol w:w="845"/>
        <w:gridCol w:w="1135"/>
      </w:tblGrid>
      <w:tr w:rsidR="00A07D92">
        <w:trPr>
          <w:trHeight w:val="310"/>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RIZIK</w:t>
            </w:r>
          </w:p>
        </w:tc>
      </w:tr>
      <w:tr w:rsidR="00A07D92">
        <w:trPr>
          <w:trHeight w:val="354"/>
        </w:trPr>
        <w:tc>
          <w:tcPr>
            <w:tcW w:w="845"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Vrlo visok</w:t>
            </w:r>
          </w:p>
        </w:tc>
      </w:tr>
      <w:tr w:rsidR="00A07D92">
        <w:trPr>
          <w:trHeight w:val="286"/>
        </w:trPr>
        <w:tc>
          <w:tcPr>
            <w:tcW w:w="845"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Visok </w:t>
            </w:r>
          </w:p>
        </w:tc>
      </w:tr>
      <w:tr w:rsidR="00A07D92">
        <w:trPr>
          <w:trHeight w:val="262"/>
        </w:trPr>
        <w:tc>
          <w:tcPr>
            <w:tcW w:w="845"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 </w:t>
            </w:r>
          </w:p>
        </w:tc>
      </w:tr>
      <w:tr w:rsidR="00A07D92">
        <w:trPr>
          <w:trHeight w:val="280"/>
        </w:trPr>
        <w:tc>
          <w:tcPr>
            <w:tcW w:w="845" w:type="dxa"/>
            <w:shd w:val="clear" w:color="auto" w:fill="92D05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Nizak </w:t>
            </w:r>
          </w:p>
        </w:tc>
      </w:tr>
    </w:tbl>
    <w:p w:rsidR="00A07D92" w:rsidRDefault="00495E63">
      <w:pPr>
        <w:jc w:val="center"/>
        <w:rPr>
          <w:lang w:bidi="en-US"/>
        </w:rPr>
      </w:pPr>
      <w:r>
        <w:rPr>
          <w:noProof/>
          <w:lang w:eastAsia="hr-HR"/>
        </w:rPr>
        <w:drawing>
          <wp:inline distT="0" distB="0" distL="0" distR="0">
            <wp:extent cx="3330575" cy="4488180"/>
            <wp:effectExtent l="0" t="0" r="0" b="0"/>
            <wp:docPr id="149" name="Slik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lika23"/>
                    <pic:cNvPicPr>
                      <a:picLocks noChangeAspect="1" noChangeArrowheads="1"/>
                    </pic:cNvPicPr>
                  </pic:nvPicPr>
                  <pic:blipFill>
                    <a:blip r:embed="rId102"/>
                    <a:stretch>
                      <a:fillRect/>
                    </a:stretch>
                  </pic:blipFill>
                  <pic:spPr bwMode="auto">
                    <a:xfrm>
                      <a:off x="0" y="0"/>
                      <a:ext cx="3330575" cy="448818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39</w:t>
      </w:r>
      <w:r>
        <w:rPr>
          <w:rFonts w:eastAsia="Calibri"/>
          <w:bCs/>
          <w:sz w:val="20"/>
          <w:szCs w:val="18"/>
        </w:rPr>
        <w:fldChar w:fldCharType="end"/>
      </w:r>
      <w:r>
        <w:rPr>
          <w:rFonts w:eastAsia="Calibri"/>
          <w:bCs/>
          <w:color w:val="54883D"/>
          <w:sz w:val="20"/>
          <w:szCs w:val="18"/>
          <w:lang w:bidi="en-US"/>
        </w:rPr>
        <w:t>. Karta rizika – ekstremne temperature</w:t>
      </w: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rPr>
          <w:rFonts w:eastAsia="Calibri"/>
          <w:bCs/>
          <w:color w:val="54883D"/>
          <w:sz w:val="20"/>
          <w:szCs w:val="18"/>
          <w:lang w:bidi="en-US"/>
        </w:rPr>
      </w:pPr>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lastRenderedPageBreak/>
        <w:t>6.7.9.2 Karta posljedica</w:t>
      </w:r>
    </w:p>
    <w:tbl>
      <w:tblPr>
        <w:tblStyle w:val="Reetkatablice1011"/>
        <w:tblpPr w:leftFromText="180" w:rightFromText="180" w:vertAnchor="text" w:horzAnchor="page" w:tblpX="9306" w:tblpY="510"/>
        <w:tblW w:w="2123" w:type="dxa"/>
        <w:tblLook w:val="04A0" w:firstRow="1" w:lastRow="0" w:firstColumn="1" w:lastColumn="0" w:noHBand="0" w:noVBand="1"/>
      </w:tblPr>
      <w:tblGrid>
        <w:gridCol w:w="846"/>
        <w:gridCol w:w="1277"/>
      </w:tblGrid>
      <w:tr w:rsidR="00A07D92">
        <w:trPr>
          <w:trHeight w:val="310"/>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POSLJEDICE</w:t>
            </w:r>
          </w:p>
        </w:tc>
      </w:tr>
      <w:tr w:rsidR="00A07D92">
        <w:trPr>
          <w:trHeight w:val="353"/>
        </w:trPr>
        <w:tc>
          <w:tcPr>
            <w:tcW w:w="846"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Katastrofalne </w:t>
            </w:r>
          </w:p>
        </w:tc>
      </w:tr>
      <w:tr w:rsidR="00A07D92">
        <w:trPr>
          <w:trHeight w:val="273"/>
        </w:trPr>
        <w:tc>
          <w:tcPr>
            <w:tcW w:w="846"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Značajne </w:t>
            </w:r>
          </w:p>
        </w:tc>
      </w:tr>
      <w:tr w:rsidR="00A07D92">
        <w:trPr>
          <w:trHeight w:val="278"/>
        </w:trPr>
        <w:tc>
          <w:tcPr>
            <w:tcW w:w="846"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Umjerene </w:t>
            </w:r>
          </w:p>
        </w:tc>
      </w:tr>
      <w:tr w:rsidR="00A07D92">
        <w:trPr>
          <w:trHeight w:val="267"/>
        </w:trPr>
        <w:tc>
          <w:tcPr>
            <w:tcW w:w="846" w:type="dxa"/>
            <w:shd w:val="clear" w:color="auto" w:fill="CCFF99"/>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Malene </w:t>
            </w:r>
          </w:p>
        </w:tc>
      </w:tr>
      <w:tr w:rsidR="00A07D92">
        <w:trPr>
          <w:trHeight w:val="286"/>
        </w:trPr>
        <w:tc>
          <w:tcPr>
            <w:tcW w:w="846" w:type="dxa"/>
            <w:shd w:val="clear" w:color="auto" w:fill="C6D9F1" w:themeFill="text2" w:themeFillTint="33"/>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Neznatne </w:t>
            </w:r>
          </w:p>
        </w:tc>
      </w:tr>
    </w:tbl>
    <w:p w:rsidR="00A07D92" w:rsidRDefault="00495E63">
      <w:pPr>
        <w:jc w:val="center"/>
        <w:rPr>
          <w:lang w:bidi="en-US"/>
        </w:rPr>
      </w:pPr>
      <w:r>
        <w:rPr>
          <w:noProof/>
          <w:lang w:eastAsia="hr-HR"/>
        </w:rPr>
        <w:drawing>
          <wp:inline distT="0" distB="0" distL="0" distR="0">
            <wp:extent cx="3239135" cy="4435475"/>
            <wp:effectExtent l="0" t="0" r="0" b="0"/>
            <wp:docPr id="1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
                    <pic:cNvPicPr>
                      <a:picLocks noChangeAspect="1" noChangeArrowheads="1"/>
                    </pic:cNvPicPr>
                  </pic:nvPicPr>
                  <pic:blipFill>
                    <a:blip r:embed="rId121"/>
                    <a:stretch>
                      <a:fillRect/>
                    </a:stretch>
                  </pic:blipFill>
                  <pic:spPr bwMode="auto">
                    <a:xfrm>
                      <a:off x="0" y="0"/>
                      <a:ext cx="3239135" cy="4435475"/>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40</w:t>
      </w:r>
      <w:r>
        <w:rPr>
          <w:rFonts w:eastAsia="Calibri"/>
          <w:bCs/>
          <w:sz w:val="20"/>
          <w:szCs w:val="18"/>
        </w:rPr>
        <w:fldChar w:fldCharType="end"/>
      </w:r>
      <w:r>
        <w:rPr>
          <w:rFonts w:eastAsia="Calibri"/>
          <w:bCs/>
          <w:color w:val="54883D"/>
          <w:sz w:val="20"/>
          <w:szCs w:val="18"/>
          <w:lang w:bidi="en-US"/>
        </w:rPr>
        <w:t xml:space="preserve">. Karta </w:t>
      </w:r>
      <w:r>
        <w:rPr>
          <w:rFonts w:eastAsia="Calibri"/>
          <w:bCs/>
          <w:color w:val="54883D"/>
          <w:sz w:val="20"/>
          <w:szCs w:val="18"/>
          <w:lang w:bidi="en-US"/>
        </w:rPr>
        <w:t>posljedica – ekstremne temperature</w:t>
      </w:r>
    </w:p>
    <w:p w:rsidR="00A07D92" w:rsidRDefault="00A07D92">
      <w:pPr>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495E63">
      <w:pPr>
        <w:pStyle w:val="Odlomakpopisa"/>
        <w:keepNext/>
        <w:numPr>
          <w:ilvl w:val="1"/>
          <w:numId w:val="28"/>
        </w:numPr>
        <w:outlineLvl w:val="1"/>
        <w:rPr>
          <w:bCs/>
          <w:color w:val="54883D"/>
          <w:sz w:val="30"/>
        </w:rPr>
      </w:pPr>
      <w:bookmarkStart w:id="375" w:name="_Toc136522881"/>
      <w:bookmarkStart w:id="376" w:name="_Toc98930032"/>
      <w:bookmarkStart w:id="377" w:name="_Toc496856104"/>
      <w:r>
        <w:rPr>
          <w:bCs/>
          <w:color w:val="54883D"/>
          <w:sz w:val="30"/>
        </w:rPr>
        <w:lastRenderedPageBreak/>
        <w:t>Klizišta</w:t>
      </w:r>
      <w:bookmarkEnd w:id="375"/>
      <w:bookmarkEnd w:id="376"/>
      <w:bookmarkEnd w:id="377"/>
    </w:p>
    <w:p w:rsidR="00A07D92" w:rsidRDefault="00495E63">
      <w:pPr>
        <w:keepNext/>
        <w:keepLines/>
        <w:numPr>
          <w:ilvl w:val="2"/>
          <w:numId w:val="2"/>
        </w:numPr>
        <w:spacing w:before="40"/>
        <w:ind w:left="720"/>
        <w:outlineLvl w:val="2"/>
        <w:rPr>
          <w:color w:val="54883D"/>
          <w:sz w:val="28"/>
          <w:lang w:bidi="en-US"/>
        </w:rPr>
      </w:pPr>
      <w:bookmarkStart w:id="378" w:name="_Toc136522882"/>
      <w:bookmarkStart w:id="379" w:name="_Toc98930033"/>
      <w:bookmarkStart w:id="380" w:name="_Toc496856105"/>
      <w:bookmarkStart w:id="381" w:name="_Toc492284949"/>
      <w:r>
        <w:rPr>
          <w:color w:val="54883D"/>
          <w:sz w:val="28"/>
          <w:lang w:bidi="en-US"/>
        </w:rPr>
        <w:t>Naziv scenarija</w:t>
      </w:r>
      <w:bookmarkStart w:id="382" w:name="_Toc496856106"/>
      <w:bookmarkStart w:id="383" w:name="_Toc492284950"/>
      <w:bookmarkEnd w:id="378"/>
      <w:bookmarkEnd w:id="379"/>
      <w:bookmarkEnd w:id="380"/>
      <w:bookmarkEnd w:id="381"/>
    </w:p>
    <w:tbl>
      <w:tblPr>
        <w:tblStyle w:val="GridTable6ColorfulAccent3"/>
        <w:tblW w:w="9060" w:type="dxa"/>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Naziv scenarija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 xml:space="preserve">Klizišta </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Grupa rizika: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Degradacija tla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Rizik:</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 xml:space="preserve">Klizišta </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Radna skupina: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w:t>
            </w:r>
            <w:r>
              <w:rPr>
                <w:b w:val="0"/>
                <w:color w:val="76923C" w:themeColor="accent3" w:themeShade="BF"/>
              </w:rPr>
              <w:t>šteta od prirodnih nepogoda Grada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szCs w:val="2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szCs w:val="2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A07D92">
      <w:pPr>
        <w:rPr>
          <w:lang w:bidi="en-US"/>
        </w:rPr>
      </w:pPr>
    </w:p>
    <w:p w:rsidR="00A07D92" w:rsidRDefault="00495E63">
      <w:pPr>
        <w:keepNext/>
        <w:keepLines/>
        <w:numPr>
          <w:ilvl w:val="2"/>
          <w:numId w:val="2"/>
        </w:numPr>
        <w:spacing w:before="40"/>
        <w:ind w:left="720"/>
        <w:outlineLvl w:val="2"/>
        <w:rPr>
          <w:color w:val="54883D"/>
          <w:sz w:val="28"/>
          <w:lang w:bidi="en-US"/>
        </w:rPr>
      </w:pPr>
      <w:bookmarkStart w:id="384" w:name="_Toc136522883"/>
      <w:bookmarkStart w:id="385" w:name="_Toc98930034"/>
      <w:r>
        <w:rPr>
          <w:color w:val="54883D"/>
          <w:sz w:val="28"/>
          <w:lang w:bidi="en-US"/>
        </w:rPr>
        <w:t>Uvod</w:t>
      </w:r>
      <w:bookmarkEnd w:id="382"/>
      <w:bookmarkEnd w:id="383"/>
      <w:bookmarkEnd w:id="384"/>
      <w:bookmarkEnd w:id="385"/>
    </w:p>
    <w:p w:rsidR="00A07D92" w:rsidRDefault="00495E63">
      <w:pPr>
        <w:rPr>
          <w:lang w:bidi="en-US"/>
        </w:rPr>
      </w:pPr>
      <w:r>
        <w:rPr>
          <w:bCs/>
          <w:color w:val="auto"/>
        </w:rPr>
        <w:t>Klizište</w:t>
      </w:r>
      <w:r>
        <w:rPr>
          <w:color w:val="auto"/>
        </w:rPr>
        <w:t xml:space="preserve"> </w:t>
      </w:r>
      <w:r>
        <w:rPr>
          <w:lang w:bidi="en-US"/>
        </w:rPr>
        <w:t xml:space="preserve">nastaje kao posljedica klizanja tj. kretanja mase </w:t>
      </w:r>
      <w:r>
        <w:rPr>
          <w:lang w:bidi="en-US"/>
        </w:rPr>
        <w:t xml:space="preserve">stijena ili tla niz padinu. Klizanje zemljišta je kretanje tla ili </w:t>
      </w:r>
      <w:proofErr w:type="spellStart"/>
      <w:r>
        <w:rPr>
          <w:lang w:bidi="en-US"/>
        </w:rPr>
        <w:t>stijenskog</w:t>
      </w:r>
      <w:proofErr w:type="spellEnd"/>
      <w:r>
        <w:rPr>
          <w:lang w:bidi="en-US"/>
        </w:rPr>
        <w:t xml:space="preserve"> materijala s padine na kliznoj plohi pod utjecajem gravitacije. Za razvoj klizišta bitno je oblikovanje te klizne plohe koja je povezana sa glinom ili </w:t>
      </w:r>
      <w:proofErr w:type="spellStart"/>
      <w:r>
        <w:rPr>
          <w:lang w:bidi="en-US"/>
        </w:rPr>
        <w:t>glinovitim</w:t>
      </w:r>
      <w:proofErr w:type="spellEnd"/>
      <w:r>
        <w:rPr>
          <w:lang w:bidi="en-US"/>
        </w:rPr>
        <w:t xml:space="preserve"> stijenama. Ta kl</w:t>
      </w:r>
      <w:r>
        <w:rPr>
          <w:lang w:bidi="en-US"/>
        </w:rPr>
        <w:t>izna ploha je često složenog oblika upravo zbog nehomogenosti sastava stijena klizišta.</w:t>
      </w:r>
      <w:bookmarkStart w:id="386" w:name="_Hlk135648749"/>
      <w:bookmarkEnd w:id="386"/>
    </w:p>
    <w:p w:rsidR="00A07D92" w:rsidRDefault="00495E63">
      <w:pPr>
        <w:rPr>
          <w:lang w:bidi="en-US"/>
        </w:rPr>
      </w:pPr>
      <w:r>
        <w:rPr>
          <w:lang w:bidi="en-US"/>
        </w:rPr>
        <w:t xml:space="preserve">Jedan od osnovnih preduvjeta za pojavu klizišta su </w:t>
      </w:r>
      <w:proofErr w:type="spellStart"/>
      <w:r>
        <w:rPr>
          <w:lang w:bidi="en-US"/>
        </w:rPr>
        <w:t>glinovite</w:t>
      </w:r>
      <w:proofErr w:type="spellEnd"/>
      <w:r>
        <w:rPr>
          <w:lang w:bidi="en-US"/>
        </w:rPr>
        <w:t xml:space="preserve"> stijene u sastavu terena na kojemu su se oblikovale padine. Što je veći sadržaj gline u tom sloju to su već</w:t>
      </w:r>
      <w:r>
        <w:rPr>
          <w:lang w:bidi="en-US"/>
        </w:rPr>
        <w:t xml:space="preserve">e i šanse za stvaranje klizišta i to posebno ako je propusni sloj tanji. Drugi preduvjet je izmjena propusnih i nepropusnih slojeva u tlu tj. izmjena pjeskovitih i </w:t>
      </w:r>
      <w:proofErr w:type="spellStart"/>
      <w:r>
        <w:rPr>
          <w:lang w:bidi="en-US"/>
        </w:rPr>
        <w:t>glinovitih</w:t>
      </w:r>
      <w:proofErr w:type="spellEnd"/>
      <w:r>
        <w:rPr>
          <w:lang w:bidi="en-US"/>
        </w:rPr>
        <w:t xml:space="preserve"> slojeva što je posebno važno u slučaju debelih </w:t>
      </w:r>
      <w:proofErr w:type="spellStart"/>
      <w:r>
        <w:rPr>
          <w:lang w:bidi="en-US"/>
        </w:rPr>
        <w:t>lesnih</w:t>
      </w:r>
      <w:proofErr w:type="spellEnd"/>
      <w:r>
        <w:rPr>
          <w:lang w:bidi="en-US"/>
        </w:rPr>
        <w:t xml:space="preserve"> i </w:t>
      </w:r>
      <w:proofErr w:type="spellStart"/>
      <w:r>
        <w:rPr>
          <w:lang w:bidi="en-US"/>
        </w:rPr>
        <w:t>siltovitih</w:t>
      </w:r>
      <w:proofErr w:type="spellEnd"/>
      <w:r>
        <w:rPr>
          <w:lang w:bidi="en-US"/>
        </w:rPr>
        <w:t xml:space="preserve"> površinskih po</w:t>
      </w:r>
      <w:r>
        <w:rPr>
          <w:lang w:bidi="en-US"/>
        </w:rPr>
        <w:t>krivača.</w:t>
      </w:r>
    </w:p>
    <w:p w:rsidR="00A07D92" w:rsidRDefault="00495E63">
      <w:pPr>
        <w:rPr>
          <w:lang w:bidi="en-US"/>
        </w:rPr>
      </w:pPr>
      <w:r>
        <w:rPr>
          <w:lang w:bidi="en-US"/>
        </w:rPr>
        <w:t xml:space="preserve">Porast količine vode i </w:t>
      </w:r>
      <w:proofErr w:type="spellStart"/>
      <w:r>
        <w:rPr>
          <w:lang w:bidi="en-US"/>
        </w:rPr>
        <w:t>hidrostatskog</w:t>
      </w:r>
      <w:proofErr w:type="spellEnd"/>
      <w:r>
        <w:rPr>
          <w:lang w:bidi="en-US"/>
        </w:rPr>
        <w:t xml:space="preserve"> tlaka u stijenama je također jedan od </w:t>
      </w:r>
      <w:proofErr w:type="spellStart"/>
      <w:r>
        <w:rPr>
          <w:lang w:bidi="en-US"/>
        </w:rPr>
        <w:t>bitnijih</w:t>
      </w:r>
      <w:proofErr w:type="spellEnd"/>
      <w:r>
        <w:rPr>
          <w:lang w:bidi="en-US"/>
        </w:rPr>
        <w:t xml:space="preserve"> preduvjeta za pojavu klizišta. To uvelike ovisi o </w:t>
      </w:r>
      <w:proofErr w:type="spellStart"/>
      <w:r>
        <w:rPr>
          <w:lang w:bidi="en-US"/>
        </w:rPr>
        <w:t>mikroslojnoj</w:t>
      </w:r>
      <w:proofErr w:type="spellEnd"/>
      <w:r>
        <w:rPr>
          <w:lang w:bidi="en-US"/>
        </w:rPr>
        <w:t xml:space="preserve"> strukturi gline i njezinom vodnom kapacitetu o čemu ovisi i samo bubrenje tog dijela tla. Od čimbeni</w:t>
      </w:r>
      <w:r>
        <w:rPr>
          <w:lang w:bidi="en-US"/>
        </w:rPr>
        <w:t xml:space="preserve">ka koji utječu na formiranje klizišta je i podzemno kretanje vode, promjene nagiba padine, sezonsko oblikovanje leda u tlu, pojava vibracija u tlu uzrokovanih potresima ili miniranjem te uništavanjem vegetacije na površini što smanjuje stabilnost padine. </w:t>
      </w:r>
    </w:p>
    <w:p w:rsidR="00A07D92" w:rsidRDefault="00495E63">
      <w:pPr>
        <w:jc w:val="center"/>
        <w:rPr>
          <w:lang w:bidi="en-US"/>
        </w:rPr>
      </w:pPr>
      <w:r>
        <w:rPr>
          <w:noProof/>
          <w:lang w:eastAsia="hr-HR"/>
        </w:rPr>
        <w:lastRenderedPageBreak/>
        <w:drawing>
          <wp:inline distT="0" distB="0" distL="0" distR="0">
            <wp:extent cx="4476750" cy="2808605"/>
            <wp:effectExtent l="0" t="0" r="0" b="0"/>
            <wp:docPr id="151" name="Picture 119211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192111370"/>
                    <pic:cNvPicPr>
                      <a:picLocks noChangeAspect="1" noChangeArrowheads="1"/>
                    </pic:cNvPicPr>
                  </pic:nvPicPr>
                  <pic:blipFill>
                    <a:blip r:embed="rId134"/>
                    <a:stretch>
                      <a:fillRect/>
                    </a:stretch>
                  </pic:blipFill>
                  <pic:spPr bwMode="auto">
                    <a:xfrm>
                      <a:off x="0" y="0"/>
                      <a:ext cx="4476750" cy="2808605"/>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41</w:t>
      </w:r>
      <w:r>
        <w:rPr>
          <w:rFonts w:eastAsia="Calibri"/>
          <w:bCs/>
          <w:sz w:val="20"/>
          <w:szCs w:val="18"/>
        </w:rPr>
        <w:fldChar w:fldCharType="end"/>
      </w:r>
      <w:r>
        <w:rPr>
          <w:rFonts w:eastAsia="Calibri"/>
          <w:bCs/>
          <w:color w:val="54883D"/>
          <w:sz w:val="20"/>
          <w:szCs w:val="18"/>
          <w:lang w:bidi="en-US"/>
        </w:rPr>
        <w:t>. Osnovni dijelovi klizišta</w:t>
      </w:r>
    </w:p>
    <w:p w:rsidR="00A07D92" w:rsidRDefault="00495E63">
      <w:pPr>
        <w:rPr>
          <w:lang w:bidi="en-US"/>
        </w:rPr>
      </w:pPr>
      <w:r>
        <w:rPr>
          <w:lang w:bidi="en-US"/>
        </w:rPr>
        <w:t xml:space="preserve">Uzroci kretanja mogu se podijeliti na uzroke izazvane ljudskim akcijama ili mogu nastati kao geološki fenomen. Ako se klizanje promatra kao geološki uzrokovanim procesom postoje dvije mogućnosti </w:t>
      </w:r>
      <w:r>
        <w:rPr>
          <w:lang w:bidi="en-US"/>
        </w:rPr>
        <w:t xml:space="preserve">zašto se masa pokrenula. Jedna od tih mogućnosti je tektonske prirode i to se odnosi na dugotrajan i spori proces kojim se mijenja ravnoteža i čvrstoća padine te s vremenom to može uzrokovati klizanje. Druga mogućnost su gravitacijske i </w:t>
      </w:r>
      <w:proofErr w:type="spellStart"/>
      <w:r>
        <w:rPr>
          <w:lang w:bidi="en-US"/>
        </w:rPr>
        <w:t>hidrodinamičke</w:t>
      </w:r>
      <w:proofErr w:type="spellEnd"/>
      <w:r>
        <w:rPr>
          <w:lang w:bidi="en-US"/>
        </w:rPr>
        <w:t xml:space="preserve"> sile</w:t>
      </w:r>
      <w:r>
        <w:rPr>
          <w:lang w:bidi="en-US"/>
        </w:rPr>
        <w:t>.</w:t>
      </w:r>
    </w:p>
    <w:p w:rsidR="00A07D92" w:rsidRDefault="00495E63">
      <w:pPr>
        <w:rPr>
          <w:lang w:bidi="en-US"/>
        </w:rPr>
      </w:pPr>
      <w:r>
        <w:rPr>
          <w:lang w:bidi="en-US"/>
        </w:rPr>
        <w:t xml:space="preserve">U geološke uzroke se također može uvrstiti i </w:t>
      </w:r>
      <w:proofErr w:type="spellStart"/>
      <w:r>
        <w:rPr>
          <w:lang w:bidi="en-US"/>
        </w:rPr>
        <w:t>paleoreljef</w:t>
      </w:r>
      <w:proofErr w:type="spellEnd"/>
      <w:r>
        <w:rPr>
          <w:lang w:bidi="en-US"/>
        </w:rPr>
        <w:t xml:space="preserve"> i </w:t>
      </w:r>
      <w:proofErr w:type="spellStart"/>
      <w:r>
        <w:rPr>
          <w:lang w:bidi="en-US"/>
        </w:rPr>
        <w:t>paleoklizišta</w:t>
      </w:r>
      <w:proofErr w:type="spellEnd"/>
      <w:r>
        <w:rPr>
          <w:lang w:bidi="en-US"/>
        </w:rPr>
        <w:t xml:space="preserve"> koja su nekad bila aktivna u geološkoj prošlosti. Klizište može biti inicirano samo jednim procesom, ali u većini slučajeva radi se o više procesa koji djeluju u isto vrijeme samo s</w:t>
      </w:r>
      <w:r>
        <w:rPr>
          <w:lang w:bidi="en-US"/>
        </w:rPr>
        <w:t>e razlikuje intenzitet utjecaja pojedinog proces na iniciranje klizišta. Npr. erozija je jedan od procesa koji može inicirati klizište, a za razliku od erozije koja je dugotrajniji proces potresi su puno kraći proces koji također mogu inicirati klizišta. U</w:t>
      </w:r>
      <w:r>
        <w:rPr>
          <w:lang w:bidi="en-US"/>
        </w:rPr>
        <w:t xml:space="preserve"> slijedećoj tablicu su prikazane vrste uzroka pojave klizišta.</w:t>
      </w:r>
    </w:p>
    <w:p w:rsidR="00A07D92" w:rsidRDefault="00495E63">
      <w:pPr>
        <w:keepNext/>
        <w:spacing w:before="120"/>
        <w:jc w:val="center"/>
        <w:rPr>
          <w:b/>
          <w:bCs/>
          <w:color w:val="54883D"/>
          <w:sz w:val="20"/>
          <w:szCs w:val="18"/>
        </w:rPr>
      </w:pPr>
      <w:r>
        <w:rPr>
          <w:bCs/>
          <w:color w:val="54883D"/>
          <w:sz w:val="20"/>
          <w:szCs w:val="18"/>
        </w:rPr>
        <w:t>Vrste pojave klizišta</w:t>
      </w:r>
    </w:p>
    <w:tbl>
      <w:tblPr>
        <w:tblStyle w:val="Reetkatablice"/>
        <w:tblW w:w="8312" w:type="dxa"/>
        <w:jc w:val="center"/>
        <w:tblLook w:val="04A0" w:firstRow="1" w:lastRow="0" w:firstColumn="1" w:lastColumn="0" w:noHBand="0" w:noVBand="1"/>
      </w:tblPr>
      <w:tblGrid>
        <w:gridCol w:w="4157"/>
        <w:gridCol w:w="4155"/>
      </w:tblGrid>
      <w:tr w:rsidR="00A07D92">
        <w:trPr>
          <w:trHeight w:val="252"/>
          <w:jc w:val="center"/>
        </w:trPr>
        <w:tc>
          <w:tcPr>
            <w:tcW w:w="41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lang w:bidi="en-US"/>
              </w:rPr>
            </w:pPr>
            <w:r>
              <w:rPr>
                <w:rFonts w:ascii="Times New Roman" w:hAnsi="Times New Roman" w:cs="Times New Roman"/>
                <w:b/>
                <w:lang w:bidi="en-US"/>
              </w:rPr>
              <w:t>PRIRODNI UZROCI</w:t>
            </w:r>
          </w:p>
        </w:tc>
        <w:tc>
          <w:tcPr>
            <w:tcW w:w="415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lang w:bidi="en-US"/>
              </w:rPr>
            </w:pPr>
            <w:r>
              <w:rPr>
                <w:rFonts w:ascii="Times New Roman" w:hAnsi="Times New Roman" w:cs="Times New Roman"/>
                <w:b/>
                <w:lang w:bidi="en-US"/>
              </w:rPr>
              <w:t>ANTROPOGENI UZROCI</w:t>
            </w:r>
          </w:p>
        </w:tc>
      </w:tr>
      <w:tr w:rsidR="00A07D92">
        <w:trPr>
          <w:trHeight w:val="252"/>
          <w:jc w:val="center"/>
        </w:trPr>
        <w:tc>
          <w:tcPr>
            <w:tcW w:w="41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Nevezani materijali</w:t>
            </w:r>
          </w:p>
        </w:tc>
        <w:tc>
          <w:tcPr>
            <w:tcW w:w="415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Potkopavanje padine</w:t>
            </w:r>
          </w:p>
        </w:tc>
      </w:tr>
      <w:tr w:rsidR="00A07D92">
        <w:trPr>
          <w:trHeight w:val="263"/>
          <w:jc w:val="center"/>
        </w:trPr>
        <w:tc>
          <w:tcPr>
            <w:tcW w:w="41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Trošni materijali</w:t>
            </w:r>
          </w:p>
        </w:tc>
        <w:tc>
          <w:tcPr>
            <w:tcW w:w="415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Izgradnja na nestabilnom tlu</w:t>
            </w:r>
          </w:p>
        </w:tc>
      </w:tr>
      <w:tr w:rsidR="00A07D92">
        <w:trPr>
          <w:trHeight w:val="252"/>
          <w:jc w:val="center"/>
        </w:trPr>
        <w:tc>
          <w:tcPr>
            <w:tcW w:w="41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Tektonski pomaci</w:t>
            </w:r>
          </w:p>
        </w:tc>
        <w:tc>
          <w:tcPr>
            <w:tcW w:w="415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 xml:space="preserve">Punjenje i pražnjenje vodnih </w:t>
            </w:r>
            <w:r>
              <w:rPr>
                <w:rFonts w:ascii="Times New Roman" w:hAnsi="Times New Roman" w:cs="Times New Roman"/>
                <w:sz w:val="20"/>
                <w:lang w:bidi="en-US"/>
              </w:rPr>
              <w:t>rezervoara</w:t>
            </w:r>
          </w:p>
        </w:tc>
      </w:tr>
      <w:tr w:rsidR="00A07D92">
        <w:trPr>
          <w:trHeight w:val="252"/>
          <w:jc w:val="center"/>
        </w:trPr>
        <w:tc>
          <w:tcPr>
            <w:tcW w:w="41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Izdizanje kopna nakon topljenja leda</w:t>
            </w:r>
          </w:p>
        </w:tc>
        <w:tc>
          <w:tcPr>
            <w:tcW w:w="415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Nasipavanje vršnog dijela padine</w:t>
            </w:r>
          </w:p>
        </w:tc>
      </w:tr>
      <w:tr w:rsidR="00A07D92">
        <w:trPr>
          <w:trHeight w:val="252"/>
          <w:jc w:val="center"/>
        </w:trPr>
        <w:tc>
          <w:tcPr>
            <w:tcW w:w="41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Fluvijalna erozija</w:t>
            </w:r>
          </w:p>
        </w:tc>
        <w:tc>
          <w:tcPr>
            <w:tcW w:w="415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Uklanjanje prirodne vegetacije</w:t>
            </w:r>
          </w:p>
        </w:tc>
      </w:tr>
      <w:tr w:rsidR="00A07D92">
        <w:trPr>
          <w:trHeight w:val="263"/>
          <w:jc w:val="center"/>
        </w:trPr>
        <w:tc>
          <w:tcPr>
            <w:tcW w:w="41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 xml:space="preserve">Abrazija </w:t>
            </w:r>
          </w:p>
        </w:tc>
        <w:tc>
          <w:tcPr>
            <w:tcW w:w="415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Navodnjavanje</w:t>
            </w:r>
          </w:p>
        </w:tc>
      </w:tr>
      <w:tr w:rsidR="00A07D92">
        <w:trPr>
          <w:trHeight w:val="252"/>
          <w:jc w:val="center"/>
        </w:trPr>
        <w:tc>
          <w:tcPr>
            <w:tcW w:w="41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Uklanjanje vegetacije kroz požare i sušu</w:t>
            </w:r>
          </w:p>
        </w:tc>
        <w:tc>
          <w:tcPr>
            <w:tcW w:w="415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 xml:space="preserve">Miniranje </w:t>
            </w:r>
          </w:p>
        </w:tc>
      </w:tr>
      <w:tr w:rsidR="00A07D92">
        <w:trPr>
          <w:trHeight w:val="252"/>
          <w:jc w:val="center"/>
        </w:trPr>
        <w:tc>
          <w:tcPr>
            <w:tcW w:w="415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 xml:space="preserve">Prirodno nakupljanje materijala na vršnom </w:t>
            </w:r>
            <w:r>
              <w:rPr>
                <w:rFonts w:ascii="Times New Roman" w:hAnsi="Times New Roman" w:cs="Times New Roman"/>
                <w:sz w:val="20"/>
                <w:lang w:bidi="en-US"/>
              </w:rPr>
              <w:t>djelu padine</w:t>
            </w:r>
          </w:p>
        </w:tc>
        <w:tc>
          <w:tcPr>
            <w:tcW w:w="415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sz w:val="20"/>
                <w:lang w:bidi="en-US"/>
              </w:rPr>
            </w:pPr>
            <w:r>
              <w:rPr>
                <w:rFonts w:ascii="Times New Roman" w:hAnsi="Times New Roman" w:cs="Times New Roman"/>
                <w:sz w:val="20"/>
                <w:lang w:bidi="en-US"/>
              </w:rPr>
              <w:t>Vibracije (npr. eksplozije)</w:t>
            </w:r>
          </w:p>
        </w:tc>
      </w:tr>
    </w:tbl>
    <w:p w:rsidR="00A07D92" w:rsidRDefault="00A07D92">
      <w:pPr>
        <w:rPr>
          <w:lang w:bidi="en-US"/>
        </w:rPr>
      </w:pPr>
    </w:p>
    <w:p w:rsidR="00A07D92" w:rsidRDefault="00A07D92">
      <w:pPr>
        <w:rPr>
          <w:lang w:bidi="en-US"/>
        </w:rPr>
      </w:pPr>
    </w:p>
    <w:p w:rsidR="00A07D92" w:rsidRDefault="00A07D92">
      <w:pPr>
        <w:rPr>
          <w:lang w:bidi="en-US"/>
        </w:rPr>
      </w:pPr>
    </w:p>
    <w:p w:rsidR="00A07D92" w:rsidRDefault="00495E63">
      <w:pPr>
        <w:rPr>
          <w:lang w:bidi="en-US"/>
        </w:rPr>
      </w:pPr>
      <w:r>
        <w:rPr>
          <w:lang w:bidi="en-US"/>
        </w:rPr>
        <w:t>Pokretači pokretanja klizišta mogu biti:</w:t>
      </w:r>
    </w:p>
    <w:p w:rsidR="00A07D92" w:rsidRDefault="00495E63">
      <w:pPr>
        <w:numPr>
          <w:ilvl w:val="0"/>
          <w:numId w:val="25"/>
        </w:numPr>
        <w:spacing w:before="0" w:after="0"/>
        <w:contextualSpacing/>
        <w:jc w:val="left"/>
        <w:rPr>
          <w:rFonts w:eastAsia="Calibri"/>
          <w:szCs w:val="20"/>
          <w:lang w:eastAsia="hr-HR" w:bidi="en-US"/>
        </w:rPr>
      </w:pPr>
      <w:r>
        <w:rPr>
          <w:rFonts w:eastAsia="Calibri"/>
          <w:szCs w:val="20"/>
          <w:lang w:eastAsia="hr-HR" w:bidi="en-US"/>
        </w:rPr>
        <w:t>intenzivne padaline,</w:t>
      </w:r>
    </w:p>
    <w:p w:rsidR="00A07D92" w:rsidRDefault="00495E63">
      <w:pPr>
        <w:numPr>
          <w:ilvl w:val="0"/>
          <w:numId w:val="25"/>
        </w:numPr>
        <w:spacing w:before="0" w:after="0"/>
        <w:contextualSpacing/>
        <w:jc w:val="left"/>
        <w:rPr>
          <w:rFonts w:eastAsia="Calibri"/>
          <w:szCs w:val="20"/>
          <w:lang w:eastAsia="hr-HR" w:bidi="en-US"/>
        </w:rPr>
      </w:pPr>
      <w:r>
        <w:rPr>
          <w:rFonts w:eastAsia="Calibri"/>
          <w:szCs w:val="20"/>
          <w:lang w:eastAsia="hr-HR" w:bidi="en-US"/>
        </w:rPr>
        <w:t>brzo topljenje snijega,</w:t>
      </w:r>
    </w:p>
    <w:p w:rsidR="00A07D92" w:rsidRDefault="00495E63">
      <w:pPr>
        <w:numPr>
          <w:ilvl w:val="0"/>
          <w:numId w:val="25"/>
        </w:numPr>
        <w:spacing w:before="0" w:after="0"/>
        <w:contextualSpacing/>
        <w:jc w:val="left"/>
        <w:rPr>
          <w:rFonts w:eastAsia="Calibri"/>
          <w:szCs w:val="20"/>
          <w:lang w:eastAsia="hr-HR" w:bidi="en-US"/>
        </w:rPr>
      </w:pPr>
      <w:r>
        <w:rPr>
          <w:rFonts w:eastAsia="Calibri"/>
          <w:szCs w:val="20"/>
          <w:lang w:eastAsia="hr-HR" w:bidi="en-US"/>
        </w:rPr>
        <w:t>dugi kišni periodi,</w:t>
      </w:r>
    </w:p>
    <w:p w:rsidR="00A07D92" w:rsidRDefault="00495E63">
      <w:pPr>
        <w:numPr>
          <w:ilvl w:val="0"/>
          <w:numId w:val="25"/>
        </w:numPr>
        <w:spacing w:before="0" w:after="0"/>
        <w:contextualSpacing/>
        <w:jc w:val="left"/>
        <w:rPr>
          <w:rFonts w:eastAsia="Calibri"/>
          <w:szCs w:val="20"/>
          <w:lang w:eastAsia="hr-HR" w:bidi="en-US"/>
        </w:rPr>
      </w:pPr>
      <w:r>
        <w:rPr>
          <w:rFonts w:eastAsia="Calibri"/>
          <w:szCs w:val="20"/>
          <w:lang w:eastAsia="hr-HR" w:bidi="en-US"/>
        </w:rPr>
        <w:t>potresi,</w:t>
      </w:r>
    </w:p>
    <w:p w:rsidR="00A07D92" w:rsidRDefault="00495E63">
      <w:pPr>
        <w:numPr>
          <w:ilvl w:val="0"/>
          <w:numId w:val="25"/>
        </w:numPr>
        <w:spacing w:before="0" w:after="0"/>
        <w:contextualSpacing/>
        <w:jc w:val="left"/>
        <w:rPr>
          <w:rFonts w:eastAsia="Calibri"/>
          <w:szCs w:val="20"/>
          <w:lang w:eastAsia="hr-HR" w:bidi="en-US"/>
        </w:rPr>
      </w:pPr>
      <w:r>
        <w:rPr>
          <w:rFonts w:eastAsia="Calibri"/>
          <w:szCs w:val="20"/>
          <w:lang w:eastAsia="hr-HR" w:bidi="en-US"/>
        </w:rPr>
        <w:t>vulkanske erupcije,</w:t>
      </w:r>
    </w:p>
    <w:p w:rsidR="00A07D92" w:rsidRDefault="00495E63">
      <w:pPr>
        <w:numPr>
          <w:ilvl w:val="0"/>
          <w:numId w:val="25"/>
        </w:numPr>
        <w:spacing w:before="0" w:after="0"/>
        <w:contextualSpacing/>
        <w:jc w:val="left"/>
        <w:rPr>
          <w:rFonts w:eastAsia="Calibri"/>
          <w:szCs w:val="20"/>
          <w:lang w:eastAsia="hr-HR" w:bidi="en-US"/>
        </w:rPr>
      </w:pPr>
      <w:r>
        <w:rPr>
          <w:rFonts w:eastAsia="Calibri"/>
          <w:szCs w:val="20"/>
          <w:lang w:eastAsia="hr-HR" w:bidi="en-US"/>
        </w:rPr>
        <w:t>sezonsko oblikovanje leda u tlu,</w:t>
      </w:r>
    </w:p>
    <w:p w:rsidR="00A07D92" w:rsidRDefault="00495E63">
      <w:pPr>
        <w:numPr>
          <w:ilvl w:val="0"/>
          <w:numId w:val="25"/>
        </w:numPr>
        <w:spacing w:before="0" w:after="0"/>
        <w:contextualSpacing/>
        <w:jc w:val="left"/>
        <w:rPr>
          <w:rFonts w:eastAsia="Calibri"/>
          <w:szCs w:val="20"/>
          <w:lang w:eastAsia="hr-HR" w:bidi="en-US"/>
        </w:rPr>
      </w:pPr>
      <w:r>
        <w:rPr>
          <w:rFonts w:eastAsia="Calibri"/>
          <w:szCs w:val="20"/>
          <w:lang w:eastAsia="hr-HR" w:bidi="en-US"/>
        </w:rPr>
        <w:t>sušenje i bubrenje gline,</w:t>
      </w:r>
    </w:p>
    <w:p w:rsidR="00A07D92" w:rsidRDefault="00495E63">
      <w:pPr>
        <w:numPr>
          <w:ilvl w:val="0"/>
          <w:numId w:val="25"/>
        </w:numPr>
        <w:spacing w:before="0" w:after="0"/>
        <w:contextualSpacing/>
        <w:jc w:val="left"/>
        <w:rPr>
          <w:rFonts w:eastAsia="Calibri"/>
          <w:szCs w:val="20"/>
          <w:lang w:eastAsia="hr-HR" w:bidi="en-US"/>
        </w:rPr>
      </w:pPr>
      <w:r>
        <w:rPr>
          <w:rFonts w:eastAsia="Calibri"/>
          <w:szCs w:val="20"/>
          <w:lang w:eastAsia="hr-HR" w:bidi="en-US"/>
        </w:rPr>
        <w:t>poplave.</w:t>
      </w:r>
    </w:p>
    <w:p w:rsidR="00A07D92" w:rsidRDefault="00A07D92">
      <w:pPr>
        <w:keepNext/>
      </w:pPr>
    </w:p>
    <w:p w:rsidR="00A07D92" w:rsidRDefault="00495E63">
      <w:pPr>
        <w:keepNext/>
        <w:keepLines/>
        <w:numPr>
          <w:ilvl w:val="2"/>
          <w:numId w:val="2"/>
        </w:numPr>
        <w:spacing w:before="40"/>
        <w:ind w:left="720"/>
        <w:outlineLvl w:val="2"/>
        <w:rPr>
          <w:color w:val="54883D"/>
          <w:sz w:val="28"/>
          <w:lang w:bidi="en-US"/>
        </w:rPr>
      </w:pPr>
      <w:bookmarkStart w:id="387" w:name="_Toc136522884"/>
      <w:bookmarkStart w:id="388" w:name="_Toc98930035"/>
      <w:bookmarkStart w:id="389" w:name="_Toc496856107"/>
      <w:bookmarkStart w:id="390" w:name="_Toc492284951"/>
      <w:r>
        <w:rPr>
          <w:color w:val="54883D"/>
          <w:sz w:val="28"/>
          <w:lang w:bidi="en-US"/>
        </w:rPr>
        <w:t xml:space="preserve">Prikaz </w:t>
      </w:r>
      <w:r>
        <w:rPr>
          <w:color w:val="54883D"/>
          <w:sz w:val="28"/>
          <w:lang w:bidi="en-US"/>
        </w:rPr>
        <w:t>utjecaja na kritičnu infrastrukturu</w:t>
      </w:r>
      <w:bookmarkEnd w:id="387"/>
      <w:bookmarkEnd w:id="388"/>
      <w:bookmarkEnd w:id="389"/>
      <w:bookmarkEnd w:id="390"/>
    </w:p>
    <w:tbl>
      <w:tblPr>
        <w:tblStyle w:val="GridTable6ColorfulAccent3"/>
        <w:tblW w:w="9060" w:type="dxa"/>
        <w:tblLook w:val="04A0" w:firstRow="1" w:lastRow="0" w:firstColumn="1" w:lastColumn="0" w:noHBand="0" w:noVBand="1"/>
      </w:tblPr>
      <w:tblGrid>
        <w:gridCol w:w="1270"/>
        <w:gridCol w:w="7790"/>
      </w:tblGrid>
      <w:tr w:rsidR="00A07D92" w:rsidTr="00A07D9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sz w:val="20"/>
                <w:szCs w:val="20"/>
              </w:rPr>
            </w:pPr>
            <w:r>
              <w:rPr>
                <w:color w:val="76923C" w:themeColor="accent3" w:themeShade="BF"/>
                <w:sz w:val="20"/>
                <w:szCs w:val="20"/>
              </w:rPr>
              <w:t>UTJECAJ</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SEKTOR</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Komunikacijska i informacijska tehnologija (elektroničke komunikacije, prijenos podataka, informacijski sustavi, pružanje audio i </w:t>
            </w:r>
            <w:r>
              <w:rPr>
                <w:color w:val="76923C" w:themeColor="accent3" w:themeShade="BF"/>
                <w:sz w:val="20"/>
                <w:szCs w:val="20"/>
              </w:rPr>
              <w:t>audiovizualnih usluga)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Prijevoz </w:t>
            </w:r>
            <w:r>
              <w:rPr>
                <w:color w:val="76923C" w:themeColor="accent3" w:themeShade="BF"/>
                <w:sz w:val="20"/>
                <w:szCs w:val="20"/>
              </w:rPr>
              <w:t>opasnih tvari (kemijski, biološki, radiološki i nuklearni materijali)</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civilna zaštita, hitna medicinska pomoć)</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rsidR="00A07D92" w:rsidRDefault="00A07D92">
      <w:pPr>
        <w:rPr>
          <w:lang w:bidi="en-US"/>
        </w:rPr>
      </w:pPr>
    </w:p>
    <w:p w:rsidR="00A07D92" w:rsidRDefault="00495E63">
      <w:pPr>
        <w:keepNext/>
        <w:keepLines/>
        <w:numPr>
          <w:ilvl w:val="2"/>
          <w:numId w:val="2"/>
        </w:numPr>
        <w:spacing w:before="40"/>
        <w:ind w:left="720"/>
        <w:outlineLvl w:val="2"/>
        <w:rPr>
          <w:color w:val="54883D"/>
          <w:sz w:val="28"/>
          <w:lang w:bidi="en-US"/>
        </w:rPr>
      </w:pPr>
      <w:bookmarkStart w:id="391" w:name="_Toc136522885"/>
      <w:bookmarkStart w:id="392" w:name="_Toc98930036"/>
      <w:bookmarkStart w:id="393" w:name="_Toc496856108"/>
      <w:bookmarkStart w:id="394" w:name="_Toc492284952"/>
      <w:r>
        <w:rPr>
          <w:color w:val="54883D"/>
          <w:sz w:val="28"/>
          <w:lang w:bidi="en-US"/>
        </w:rPr>
        <w:t>Kontekst</w:t>
      </w:r>
      <w:bookmarkEnd w:id="391"/>
      <w:bookmarkEnd w:id="392"/>
      <w:bookmarkEnd w:id="393"/>
      <w:bookmarkEnd w:id="394"/>
    </w:p>
    <w:p w:rsidR="00A07D92" w:rsidRDefault="00495E63">
      <w:pPr>
        <w:spacing w:before="120" w:after="120"/>
        <w:ind w:left="6" w:right="74"/>
      </w:pPr>
      <w:r>
        <w:t xml:space="preserve">Pojave klizišta pod utjecajem su geološke građe, geomorfoloških procesa, fizičkih procesa sezonskog karaktera (npr. oborine) te ljudskih aktivnosti (sječa vegetacije, način obrade tla, izgradnja ceste i dr.). </w:t>
      </w:r>
    </w:p>
    <w:p w:rsidR="00A07D92" w:rsidRDefault="00495E63">
      <w:r>
        <w:t>Klizišta su pojave pomicanja površinskih dijel</w:t>
      </w:r>
      <w:r>
        <w:t>ova terena na padinama  - veće ili manje dubine, zbog čega su veoma opasna za sve građevine. Do klizanja dolazi zbog popuštanja kohezijskih sila među česticama stijena i nedovoljnog trenja između njih. Klizišta i nestabilne padine jedan su od trajnih probl</w:t>
      </w:r>
      <w:r>
        <w:t>ema obzirom na geološke karakteristike područja općine. Na preglednoj inženjersko geološkoj karti na području grada Malog Lošinja prikazan je pregled u kojima je moguća pojava klizišta i nestabilnih padina kao i  područja na kojima se može očekivati pojača</w:t>
      </w:r>
      <w:r>
        <w:t>na erozija. Nagib kosine u kojima se stvaraju klizišta, može biti vrlo blag (manji od 5 stupnjeva, do vrlo strm od 45 stupnjeva), ali su klizišta najčešća na kosinama s nagibom od 10-30 stupnjeva.</w:t>
      </w:r>
    </w:p>
    <w:p w:rsidR="00A07D92" w:rsidRDefault="00495E63">
      <w:r>
        <w:t>Na prostoru grada Malog Lošinja evidentirana su sljedeća kl</w:t>
      </w:r>
      <w:r>
        <w:t xml:space="preserve">izišta: </w:t>
      </w:r>
    </w:p>
    <w:p w:rsidR="00A07D92" w:rsidRDefault="00495E63">
      <w:pPr>
        <w:spacing w:before="120" w:after="120"/>
        <w:jc w:val="center"/>
        <w:rPr>
          <w:iCs/>
          <w:color w:val="auto"/>
          <w:sz w:val="20"/>
          <w:szCs w:val="20"/>
          <w:lang w:bidi="en-US"/>
        </w:rPr>
      </w:pPr>
      <w:r>
        <w:rPr>
          <w:noProof/>
          <w:lang w:eastAsia="hr-HR"/>
        </w:rPr>
        <w:lastRenderedPageBreak/>
        <w:drawing>
          <wp:anchor distT="0" distB="0" distL="114300" distR="114300" simplePos="0" relativeHeight="65" behindDoc="0" locked="0" layoutInCell="1" allowOverlap="1">
            <wp:simplePos x="0" y="0"/>
            <wp:positionH relativeFrom="column">
              <wp:posOffset>478155</wp:posOffset>
            </wp:positionH>
            <wp:positionV relativeFrom="paragraph">
              <wp:posOffset>635</wp:posOffset>
            </wp:positionV>
            <wp:extent cx="2225040" cy="3543300"/>
            <wp:effectExtent l="0" t="0" r="0" b="0"/>
            <wp:wrapSquare wrapText="bothSides"/>
            <wp:docPr id="152" name="Picture 118183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181834981"/>
                    <pic:cNvPicPr>
                      <a:picLocks noChangeAspect="1" noChangeArrowheads="1"/>
                    </pic:cNvPicPr>
                  </pic:nvPicPr>
                  <pic:blipFill>
                    <a:blip r:embed="rId135"/>
                    <a:stretch>
                      <a:fillRect/>
                    </a:stretch>
                  </pic:blipFill>
                  <pic:spPr bwMode="auto">
                    <a:xfrm>
                      <a:off x="0" y="0"/>
                      <a:ext cx="2225040" cy="3543300"/>
                    </a:xfrm>
                    <a:prstGeom prst="rect">
                      <a:avLst/>
                    </a:prstGeom>
                  </pic:spPr>
                </pic:pic>
              </a:graphicData>
            </a:graphic>
          </wp:anchor>
        </w:drawing>
      </w:r>
      <w:r>
        <w:rPr>
          <w:noProof/>
          <w:lang w:eastAsia="hr-HR"/>
        </w:rPr>
        <w:drawing>
          <wp:inline distT="0" distB="0" distL="0" distR="0">
            <wp:extent cx="2786380" cy="2819400"/>
            <wp:effectExtent l="0" t="0" r="0" b="0"/>
            <wp:docPr id="153" name="Slik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lika24"/>
                    <pic:cNvPicPr>
                      <a:picLocks noChangeAspect="1" noChangeArrowheads="1"/>
                    </pic:cNvPicPr>
                  </pic:nvPicPr>
                  <pic:blipFill>
                    <a:blip r:embed="rId136"/>
                    <a:stretch>
                      <a:fillRect/>
                    </a:stretch>
                  </pic:blipFill>
                  <pic:spPr bwMode="auto">
                    <a:xfrm>
                      <a:off x="0" y="0"/>
                      <a:ext cx="2786380" cy="2819400"/>
                    </a:xfrm>
                    <a:prstGeom prst="rect">
                      <a:avLst/>
                    </a:prstGeom>
                  </pic:spPr>
                </pic:pic>
              </a:graphicData>
            </a:graphic>
          </wp:inline>
        </w:drawing>
      </w:r>
      <w:r>
        <w:rPr>
          <w:color w:val="FF0000"/>
          <w:szCs w:val="22"/>
        </w:rPr>
        <w:br/>
      </w:r>
      <w:r>
        <w:rPr>
          <w:iCs/>
          <w:color w:val="54883D"/>
          <w:sz w:val="20"/>
          <w:szCs w:val="20"/>
          <w:lang w:bidi="en-US"/>
        </w:rPr>
        <w:t xml:space="preserve">Slika </w:t>
      </w:r>
      <w:r>
        <w:rPr>
          <w:iCs/>
          <w:color w:val="54883D"/>
          <w:sz w:val="20"/>
          <w:szCs w:val="20"/>
          <w:lang w:bidi="en-US"/>
        </w:rPr>
        <w:fldChar w:fldCharType="begin"/>
      </w:r>
      <w:r>
        <w:rPr>
          <w:iCs/>
          <w:sz w:val="20"/>
          <w:szCs w:val="20"/>
        </w:rPr>
        <w:instrText>SEQ Slika \* ARABIC</w:instrText>
      </w:r>
      <w:r>
        <w:rPr>
          <w:iCs/>
          <w:sz w:val="20"/>
          <w:szCs w:val="20"/>
        </w:rPr>
        <w:fldChar w:fldCharType="separate"/>
      </w:r>
      <w:r>
        <w:rPr>
          <w:iCs/>
          <w:sz w:val="20"/>
          <w:szCs w:val="20"/>
        </w:rPr>
        <w:t>42</w:t>
      </w:r>
      <w:r>
        <w:rPr>
          <w:iCs/>
          <w:sz w:val="20"/>
          <w:szCs w:val="20"/>
        </w:rPr>
        <w:fldChar w:fldCharType="end"/>
      </w:r>
      <w:r>
        <w:rPr>
          <w:iCs/>
          <w:color w:val="54883D"/>
          <w:sz w:val="20"/>
          <w:szCs w:val="20"/>
          <w:lang w:bidi="en-US"/>
        </w:rPr>
        <w:t xml:space="preserve">. Prikaz klizišta na području Suska, Vele i Male </w:t>
      </w:r>
      <w:proofErr w:type="spellStart"/>
      <w:r>
        <w:rPr>
          <w:iCs/>
          <w:color w:val="54883D"/>
          <w:sz w:val="20"/>
          <w:szCs w:val="20"/>
          <w:lang w:bidi="en-US"/>
        </w:rPr>
        <w:t>Srakane</w:t>
      </w:r>
      <w:proofErr w:type="spellEnd"/>
      <w:r>
        <w:rPr>
          <w:iCs/>
          <w:color w:val="54883D"/>
          <w:sz w:val="20"/>
          <w:szCs w:val="20"/>
          <w:lang w:bidi="en-US"/>
        </w:rPr>
        <w:t>, Unija,</w:t>
      </w:r>
    </w:p>
    <w:p w:rsidR="00A07D92" w:rsidRDefault="00A07D92">
      <w:pPr>
        <w:spacing w:before="0" w:after="200"/>
        <w:rPr>
          <w:color w:val="FF0000"/>
          <w:szCs w:val="22"/>
        </w:rPr>
      </w:pPr>
    </w:p>
    <w:p w:rsidR="00A07D92" w:rsidRDefault="00495E63">
      <w:pPr>
        <w:spacing w:before="0" w:after="200"/>
        <w:jc w:val="center"/>
        <w:rPr>
          <w:color w:val="FF0000"/>
          <w:szCs w:val="22"/>
        </w:rPr>
      </w:pPr>
      <w:r>
        <w:rPr>
          <w:noProof/>
          <w:lang w:eastAsia="hr-HR"/>
        </w:rPr>
        <w:drawing>
          <wp:inline distT="0" distB="0" distL="0" distR="0">
            <wp:extent cx="3932555" cy="1814195"/>
            <wp:effectExtent l="0" t="0" r="0" b="0"/>
            <wp:docPr id="154" name="Picture 73984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73984998"/>
                    <pic:cNvPicPr>
                      <a:picLocks noChangeAspect="1" noChangeArrowheads="1"/>
                    </pic:cNvPicPr>
                  </pic:nvPicPr>
                  <pic:blipFill>
                    <a:blip r:embed="rId137"/>
                    <a:stretch>
                      <a:fillRect/>
                    </a:stretch>
                  </pic:blipFill>
                  <pic:spPr bwMode="auto">
                    <a:xfrm>
                      <a:off x="0" y="0"/>
                      <a:ext cx="3932555" cy="1814195"/>
                    </a:xfrm>
                    <a:prstGeom prst="rect">
                      <a:avLst/>
                    </a:prstGeom>
                  </pic:spPr>
                </pic:pic>
              </a:graphicData>
            </a:graphic>
          </wp:inline>
        </w:drawing>
      </w:r>
    </w:p>
    <w:p w:rsidR="00A07D92" w:rsidRDefault="00495E63">
      <w:pPr>
        <w:spacing w:before="0" w:after="200"/>
        <w:rPr>
          <w:color w:val="auto"/>
          <w:szCs w:val="22"/>
        </w:rPr>
      </w:pPr>
      <w:r>
        <w:rPr>
          <w:color w:val="auto"/>
          <w:szCs w:val="22"/>
        </w:rPr>
        <w:t xml:space="preserve">Teren prekriven lesom (na području otoka Suska, debljina lesa do 90 m) izložen je lokalnim odronima na nezaštićenim i prestrmim zasjecima. Kod </w:t>
      </w:r>
      <w:r>
        <w:rPr>
          <w:color w:val="auto"/>
          <w:szCs w:val="22"/>
        </w:rPr>
        <w:t>nepažljivo izvedenih građevinskih zahvata izražena je opasnost od pojave erozije. Prema podacima s terena, evidentirana su oštećenja na stambenim objektima uzrokovana erozijom na pješčanoj podlozi te je za otok Susak i slične pješčane površine drugih otoka</w:t>
      </w:r>
      <w:r>
        <w:rPr>
          <w:color w:val="auto"/>
          <w:szCs w:val="22"/>
        </w:rPr>
        <w:t xml:space="preserve"> (Unije, Vele i Male </w:t>
      </w:r>
      <w:proofErr w:type="spellStart"/>
      <w:r>
        <w:rPr>
          <w:color w:val="auto"/>
          <w:szCs w:val="22"/>
        </w:rPr>
        <w:t>Srakane</w:t>
      </w:r>
      <w:proofErr w:type="spellEnd"/>
      <w:r>
        <w:rPr>
          <w:color w:val="auto"/>
          <w:szCs w:val="22"/>
        </w:rPr>
        <w:t>) prioritetno izraditi temeljnu stručnu dokumentaciju zaštite od erozije.</w:t>
      </w:r>
    </w:p>
    <w:p w:rsidR="00A07D92" w:rsidRDefault="00A07D92">
      <w:pPr>
        <w:spacing w:before="0" w:after="200"/>
        <w:jc w:val="center"/>
        <w:rPr>
          <w:iCs/>
          <w:color w:val="54883D"/>
          <w:sz w:val="20"/>
          <w:szCs w:val="20"/>
          <w:lang w:bidi="en-US"/>
        </w:rPr>
      </w:pPr>
    </w:p>
    <w:p w:rsidR="00A07D92" w:rsidRDefault="00A07D92">
      <w:pPr>
        <w:spacing w:before="0" w:after="200"/>
        <w:jc w:val="center"/>
        <w:rPr>
          <w:iCs/>
          <w:color w:val="54883D"/>
          <w:sz w:val="20"/>
          <w:szCs w:val="20"/>
          <w:lang w:bidi="en-US"/>
        </w:rPr>
      </w:pPr>
    </w:p>
    <w:p w:rsidR="00A07D92" w:rsidRDefault="00A07D92">
      <w:pPr>
        <w:spacing w:before="0" w:after="200"/>
        <w:jc w:val="center"/>
        <w:rPr>
          <w:iCs/>
          <w:color w:val="54883D"/>
          <w:sz w:val="20"/>
          <w:szCs w:val="20"/>
          <w:lang w:bidi="en-US"/>
        </w:rPr>
      </w:pPr>
    </w:p>
    <w:p w:rsidR="00A07D92" w:rsidRDefault="00A07D92">
      <w:pPr>
        <w:spacing w:before="0" w:after="200"/>
        <w:jc w:val="center"/>
        <w:rPr>
          <w:iCs/>
          <w:color w:val="54883D"/>
          <w:sz w:val="20"/>
          <w:szCs w:val="20"/>
          <w:lang w:bidi="en-US"/>
        </w:rPr>
      </w:pPr>
    </w:p>
    <w:p w:rsidR="00A07D92" w:rsidRDefault="00A07D92">
      <w:pPr>
        <w:spacing w:before="0" w:after="200"/>
        <w:jc w:val="center"/>
        <w:rPr>
          <w:iCs/>
          <w:color w:val="54883D"/>
          <w:sz w:val="20"/>
          <w:szCs w:val="20"/>
          <w:lang w:bidi="en-US"/>
        </w:rPr>
      </w:pPr>
    </w:p>
    <w:p w:rsidR="00A07D92" w:rsidRDefault="00495E63">
      <w:pPr>
        <w:spacing w:before="0" w:after="200"/>
        <w:jc w:val="center"/>
        <w:rPr>
          <w:iCs/>
          <w:color w:val="54883D"/>
          <w:sz w:val="20"/>
          <w:szCs w:val="20"/>
          <w:lang w:bidi="en-US"/>
        </w:rPr>
      </w:pPr>
      <w:r>
        <w:rPr>
          <w:iCs/>
          <w:color w:val="54883D"/>
          <w:sz w:val="20"/>
          <w:szCs w:val="20"/>
          <w:lang w:bidi="en-US"/>
        </w:rPr>
        <w:t xml:space="preserve">Slika </w:t>
      </w:r>
      <w:r>
        <w:rPr>
          <w:iCs/>
          <w:color w:val="54883D"/>
          <w:sz w:val="20"/>
          <w:szCs w:val="20"/>
          <w:lang w:bidi="en-US"/>
        </w:rPr>
        <w:fldChar w:fldCharType="begin"/>
      </w:r>
      <w:r>
        <w:rPr>
          <w:iCs/>
          <w:sz w:val="20"/>
          <w:szCs w:val="20"/>
        </w:rPr>
        <w:instrText>SEQ Slika \* ARABIC</w:instrText>
      </w:r>
      <w:r>
        <w:rPr>
          <w:iCs/>
          <w:sz w:val="20"/>
          <w:szCs w:val="20"/>
        </w:rPr>
        <w:fldChar w:fldCharType="separate"/>
      </w:r>
      <w:r>
        <w:rPr>
          <w:iCs/>
          <w:sz w:val="20"/>
          <w:szCs w:val="20"/>
        </w:rPr>
        <w:t>43</w:t>
      </w:r>
      <w:r>
        <w:rPr>
          <w:iCs/>
          <w:sz w:val="20"/>
          <w:szCs w:val="20"/>
        </w:rPr>
        <w:fldChar w:fldCharType="end"/>
      </w:r>
      <w:r>
        <w:rPr>
          <w:iCs/>
          <w:color w:val="54883D"/>
          <w:sz w:val="20"/>
          <w:szCs w:val="20"/>
          <w:lang w:bidi="en-US"/>
        </w:rPr>
        <w:t>. Karta klizišta na području Republike Hrvatske</w:t>
      </w:r>
    </w:p>
    <w:p w:rsidR="00A07D92" w:rsidRDefault="00495E63">
      <w:pPr>
        <w:spacing w:before="0" w:after="200"/>
        <w:jc w:val="center"/>
        <w:rPr>
          <w:iCs/>
          <w:color w:val="54883D"/>
          <w:sz w:val="20"/>
          <w:szCs w:val="20"/>
          <w:lang w:bidi="en-US"/>
        </w:rPr>
      </w:pPr>
      <w:r>
        <w:rPr>
          <w:noProof/>
          <w:lang w:eastAsia="hr-HR"/>
        </w:rPr>
        <w:lastRenderedPageBreak/>
        <w:drawing>
          <wp:inline distT="0" distB="0" distL="0" distR="0">
            <wp:extent cx="4738370" cy="4632960"/>
            <wp:effectExtent l="0" t="0" r="0" b="0"/>
            <wp:docPr id="155" name="Slik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lika25"/>
                    <pic:cNvPicPr>
                      <a:picLocks noChangeAspect="1" noChangeArrowheads="1"/>
                    </pic:cNvPicPr>
                  </pic:nvPicPr>
                  <pic:blipFill>
                    <a:blip r:embed="rId138"/>
                    <a:stretch>
                      <a:fillRect/>
                    </a:stretch>
                  </pic:blipFill>
                  <pic:spPr bwMode="auto">
                    <a:xfrm>
                      <a:off x="0" y="0"/>
                      <a:ext cx="4738370" cy="4632960"/>
                    </a:xfrm>
                    <a:prstGeom prst="rect">
                      <a:avLst/>
                    </a:prstGeom>
                  </pic:spPr>
                </pic:pic>
              </a:graphicData>
            </a:graphic>
          </wp:inline>
        </w:drawing>
      </w:r>
    </w:p>
    <w:p w:rsidR="00A07D92" w:rsidRDefault="00495E63">
      <w:pPr>
        <w:spacing w:before="0" w:after="200"/>
        <w:jc w:val="center"/>
        <w:rPr>
          <w:iCs/>
          <w:color w:val="54883D"/>
          <w:sz w:val="20"/>
          <w:szCs w:val="20"/>
          <w:lang w:bidi="en-US"/>
        </w:rPr>
      </w:pPr>
      <w:r>
        <w:rPr>
          <w:bCs/>
          <w:i/>
          <w:color w:val="54883D"/>
          <w:sz w:val="20"/>
          <w:szCs w:val="18"/>
        </w:rPr>
        <w:t>Izvor: https://civilna-zastita.gov.hr</w:t>
      </w:r>
    </w:p>
    <w:p w:rsidR="00A07D92" w:rsidRDefault="00495E63">
      <w:pPr>
        <w:spacing w:before="0" w:after="200"/>
        <w:jc w:val="center"/>
        <w:rPr>
          <w:color w:val="FF0000"/>
          <w:szCs w:val="22"/>
        </w:rPr>
      </w:pPr>
      <w:r>
        <w:br w:type="page"/>
      </w:r>
    </w:p>
    <w:p w:rsidR="00A07D92" w:rsidRDefault="00495E63">
      <w:pPr>
        <w:keepNext/>
        <w:keepLines/>
        <w:numPr>
          <w:ilvl w:val="2"/>
          <w:numId w:val="2"/>
        </w:numPr>
        <w:spacing w:before="40"/>
        <w:ind w:left="720"/>
        <w:outlineLvl w:val="2"/>
        <w:rPr>
          <w:color w:val="54883D"/>
          <w:sz w:val="28"/>
          <w:lang w:bidi="en-US"/>
        </w:rPr>
      </w:pPr>
      <w:bookmarkStart w:id="395" w:name="_Toc136522886"/>
      <w:bookmarkStart w:id="396" w:name="_Toc98930037"/>
      <w:bookmarkStart w:id="397" w:name="_Toc496856109"/>
      <w:bookmarkStart w:id="398" w:name="_Toc492284953"/>
      <w:r>
        <w:rPr>
          <w:color w:val="54883D"/>
          <w:sz w:val="28"/>
          <w:lang w:bidi="en-US"/>
        </w:rPr>
        <w:lastRenderedPageBreak/>
        <w:t>Uzrok</w:t>
      </w:r>
      <w:bookmarkEnd w:id="395"/>
      <w:bookmarkEnd w:id="396"/>
      <w:bookmarkEnd w:id="397"/>
      <w:bookmarkEnd w:id="398"/>
    </w:p>
    <w:p w:rsidR="00A07D92" w:rsidRDefault="00495E63">
      <w:pPr>
        <w:spacing w:before="0" w:after="120"/>
        <w:rPr>
          <w:color w:val="auto"/>
          <w:szCs w:val="22"/>
          <w:lang w:eastAsia="hr-HR"/>
        </w:rPr>
      </w:pPr>
      <w:r>
        <w:rPr>
          <w:color w:val="auto"/>
          <w:szCs w:val="22"/>
          <w:lang w:eastAsia="hr-HR"/>
        </w:rPr>
        <w:t>Da bi se javilo klizanj</w:t>
      </w:r>
      <w:r>
        <w:rPr>
          <w:color w:val="auto"/>
          <w:szCs w:val="22"/>
          <w:lang w:eastAsia="hr-HR"/>
        </w:rPr>
        <w:t>e, potrebna je padina ili kosina. Padine su trajno pod utjecajem gravitacije koja nastoji, grubo rečeno, izravnati zemljinu površinu. Kosine u stabilnoj ravnoteži održava otpor tla klizanju (trenje, posmična čvrstoća tla). Klizanja nastaju kada se, potaknu</w:t>
      </w:r>
      <w:r>
        <w:rPr>
          <w:color w:val="auto"/>
          <w:szCs w:val="22"/>
          <w:lang w:eastAsia="hr-HR"/>
        </w:rPr>
        <w:t>te nekom od prirodnih sila, pokrenu padine na rubu stabilnosti.</w:t>
      </w:r>
    </w:p>
    <w:p w:rsidR="00A07D92" w:rsidRDefault="00495E63">
      <w:pPr>
        <w:rPr>
          <w:u w:val="single"/>
        </w:rPr>
      </w:pPr>
      <w:r>
        <w:rPr>
          <w:u w:val="single"/>
        </w:rPr>
        <w:t>RAZVOJ DOGAĐAJA KOJI JE PRETHODIO VELIKOJ NESREĆI</w:t>
      </w:r>
    </w:p>
    <w:p w:rsidR="00A07D92" w:rsidRDefault="00495E63">
      <w:pPr>
        <w:spacing w:before="0" w:after="0"/>
        <w:rPr>
          <w:color w:val="auto"/>
          <w:szCs w:val="22"/>
          <w:lang w:eastAsia="hr-HR"/>
        </w:rPr>
      </w:pPr>
      <w:r>
        <w:rPr>
          <w:color w:val="auto"/>
          <w:szCs w:val="22"/>
          <w:lang w:eastAsia="hr-HR"/>
        </w:rPr>
        <w:t>Klizanja, na koja čovjek ne utječe, su u početku spora i gotovo neprimjetna. Mogu se polagano pomicati vrlo dugo vremensko razdoblje, do trenu</w:t>
      </w:r>
      <w:r>
        <w:rPr>
          <w:color w:val="auto"/>
          <w:szCs w:val="22"/>
          <w:lang w:eastAsia="hr-HR"/>
        </w:rPr>
        <w:t>tka dok nešto ne izazove poremećaj u ravnoteži određenog površinskog dijela tla koje je na rubu stabilnosti, spremno za nagli pokret. Tada nastaje klizište.</w:t>
      </w:r>
    </w:p>
    <w:p w:rsidR="00A07D92" w:rsidRDefault="00A07D92">
      <w:pPr>
        <w:spacing w:before="0" w:after="0"/>
        <w:jc w:val="left"/>
        <w:rPr>
          <w:color w:val="auto"/>
          <w:szCs w:val="22"/>
          <w:lang w:eastAsia="hr-HR"/>
        </w:rPr>
      </w:pPr>
    </w:p>
    <w:p w:rsidR="00A07D92" w:rsidRDefault="00495E63">
      <w:pPr>
        <w:spacing w:before="0" w:after="0"/>
        <w:jc w:val="left"/>
        <w:rPr>
          <w:color w:val="auto"/>
          <w:szCs w:val="22"/>
          <w:u w:val="single"/>
          <w:lang w:eastAsia="hr-HR"/>
        </w:rPr>
      </w:pPr>
      <w:r>
        <w:rPr>
          <w:color w:val="auto"/>
          <w:szCs w:val="22"/>
          <w:u w:val="single"/>
          <w:lang w:eastAsia="hr-HR"/>
        </w:rPr>
        <w:t xml:space="preserve">Mehanizam klizanja: </w:t>
      </w:r>
    </w:p>
    <w:p w:rsidR="00A07D92" w:rsidRDefault="00495E63">
      <w:pPr>
        <w:numPr>
          <w:ilvl w:val="0"/>
          <w:numId w:val="24"/>
        </w:numPr>
        <w:spacing w:before="120" w:after="120"/>
        <w:contextualSpacing/>
        <w:rPr>
          <w:rFonts w:eastAsiaTheme="minorHAnsi"/>
          <w:szCs w:val="22"/>
          <w:lang w:eastAsia="hr-HR"/>
        </w:rPr>
      </w:pPr>
      <w:r>
        <w:rPr>
          <w:rFonts w:eastAsiaTheme="minorHAnsi"/>
          <w:szCs w:val="22"/>
          <w:lang w:eastAsia="hr-HR"/>
        </w:rPr>
        <w:t xml:space="preserve">uslijed djelovanja gravitacije, koja nastoji površinu kosine povući na niže </w:t>
      </w:r>
      <w:r>
        <w:rPr>
          <w:rFonts w:eastAsiaTheme="minorHAnsi"/>
          <w:szCs w:val="22"/>
          <w:lang w:eastAsia="hr-HR"/>
        </w:rPr>
        <w:t>kote, nastaje na vrhu područje rastezanja koje rezultira aktivnim stanjem granične ravnoteže. Uslijed prekoračenja vlačne čvrstoće, nakon nekog vremena u tom području nastaje vlačna pukotina</w:t>
      </w:r>
    </w:p>
    <w:p w:rsidR="00A07D92" w:rsidRDefault="00495E63">
      <w:pPr>
        <w:numPr>
          <w:ilvl w:val="0"/>
          <w:numId w:val="24"/>
        </w:numPr>
        <w:spacing w:before="120" w:after="120"/>
        <w:contextualSpacing/>
        <w:rPr>
          <w:rFonts w:eastAsiaTheme="minorHAnsi"/>
          <w:szCs w:val="22"/>
          <w:lang w:eastAsia="hr-HR"/>
        </w:rPr>
      </w:pPr>
      <w:r>
        <w:rPr>
          <w:rFonts w:eastAsiaTheme="minorHAnsi"/>
          <w:szCs w:val="22"/>
          <w:lang w:eastAsia="hr-HR"/>
        </w:rPr>
        <w:t xml:space="preserve">slijedi postepeno klizanje srednjeg dijela klizišta i povećanje </w:t>
      </w:r>
      <w:r>
        <w:rPr>
          <w:rFonts w:eastAsiaTheme="minorHAnsi"/>
          <w:szCs w:val="22"/>
          <w:lang w:eastAsia="hr-HR"/>
        </w:rPr>
        <w:t>bočnog pritiska u smjeru nožice. Tu nastaje zbijanje tla i područje pasivne granične ravnoteže. Masa tla u tom dijelu pridržava kliznu masu s više kote (djeluje kao potporna građevina), a na kliznoj plohi u pasivnom području dolazi do progresivnog pasivnog</w:t>
      </w:r>
      <w:r>
        <w:rPr>
          <w:rFonts w:eastAsiaTheme="minorHAnsi"/>
          <w:szCs w:val="22"/>
          <w:lang w:eastAsia="hr-HR"/>
        </w:rPr>
        <w:t xml:space="preserve"> sloma. U pojedinim točkama ili malim površinama dolazi do ostvarenja vršne čvrstoće na smicanje i zatim pada njene vrijednosti na rezidualnu, koja je znatno manja. Proces se postepeno širi po kliznoj plohi.</w:t>
      </w:r>
    </w:p>
    <w:p w:rsidR="00A07D92" w:rsidRDefault="00495E63">
      <w:pPr>
        <w:numPr>
          <w:ilvl w:val="0"/>
          <w:numId w:val="24"/>
        </w:numPr>
        <w:spacing w:before="120" w:after="120"/>
        <w:contextualSpacing/>
        <w:rPr>
          <w:rFonts w:eastAsiaTheme="minorHAnsi"/>
          <w:szCs w:val="22"/>
          <w:lang w:eastAsia="hr-HR"/>
        </w:rPr>
      </w:pPr>
      <w:r>
        <w:rPr>
          <w:rFonts w:eastAsiaTheme="minorHAnsi"/>
          <w:szCs w:val="22"/>
          <w:lang w:eastAsia="hr-HR"/>
        </w:rPr>
        <w:t>u trenutku kada je prekoračena čvrstoća na smica</w:t>
      </w:r>
      <w:r>
        <w:rPr>
          <w:rFonts w:eastAsiaTheme="minorHAnsi"/>
          <w:szCs w:val="22"/>
          <w:lang w:eastAsia="hr-HR"/>
        </w:rPr>
        <w:t>nje, u pasivnom području, na dovoljno velikoj površini klizne plohe dolazi do naglog sloma i burnog pomicanja tla koje se očituje kao klizanje</w:t>
      </w:r>
    </w:p>
    <w:p w:rsidR="00A07D92" w:rsidRDefault="00495E63">
      <w:pPr>
        <w:numPr>
          <w:ilvl w:val="0"/>
          <w:numId w:val="24"/>
        </w:numPr>
        <w:spacing w:before="120" w:after="120"/>
        <w:contextualSpacing/>
        <w:rPr>
          <w:rFonts w:eastAsiaTheme="minorHAnsi"/>
          <w:szCs w:val="22"/>
          <w:lang w:eastAsia="hr-HR"/>
        </w:rPr>
      </w:pPr>
      <w:r>
        <w:rPr>
          <w:rFonts w:eastAsiaTheme="minorHAnsi"/>
          <w:szCs w:val="22"/>
          <w:lang w:eastAsia="hr-HR"/>
        </w:rPr>
        <w:t>smirivanje kretanja nastaje kada se dovoljno promijeni geometrija, tako da se klizna masa nađe u ravnotežnom stan</w:t>
      </w:r>
      <w:r>
        <w:rPr>
          <w:rFonts w:eastAsiaTheme="minorHAnsi"/>
          <w:szCs w:val="22"/>
          <w:lang w:eastAsia="hr-HR"/>
        </w:rPr>
        <w:t>ju.</w:t>
      </w:r>
    </w:p>
    <w:p w:rsidR="00A07D92" w:rsidRDefault="00A07D92">
      <w:pPr>
        <w:numPr>
          <w:ilvl w:val="0"/>
          <w:numId w:val="24"/>
        </w:numPr>
        <w:spacing w:before="120" w:after="120"/>
        <w:contextualSpacing/>
        <w:rPr>
          <w:rFonts w:eastAsiaTheme="minorHAnsi"/>
          <w:szCs w:val="22"/>
          <w:lang w:eastAsia="hr-HR"/>
        </w:rPr>
      </w:pPr>
    </w:p>
    <w:p w:rsidR="00A07D92" w:rsidRDefault="00495E63">
      <w:pPr>
        <w:rPr>
          <w:u w:val="single"/>
        </w:rPr>
      </w:pPr>
      <w:r>
        <w:rPr>
          <w:u w:val="single"/>
        </w:rPr>
        <w:t>OKIDAČ KOJI JE UZROKOVAO VELIKU NESREĆU</w:t>
      </w:r>
    </w:p>
    <w:p w:rsidR="00A07D92" w:rsidRDefault="00495E63">
      <w:r>
        <w:t>Kako bi se klizište aktiviralo mora postojati okidač koji u određenom trenutku prelazi stabilnost padine i posmične čvrstoće se svedu na 0 (nema posmične čvrstoće). Postoji nekoliko faktora koji utječu na nastaj</w:t>
      </w:r>
      <w:r>
        <w:t xml:space="preserve">anje klizišta, odnosno smatraju se okidačima nastanka klizišta: </w:t>
      </w:r>
    </w:p>
    <w:p w:rsidR="00A07D92" w:rsidRDefault="00495E63">
      <w:pPr>
        <w:numPr>
          <w:ilvl w:val="0"/>
          <w:numId w:val="24"/>
        </w:numPr>
        <w:spacing w:before="120" w:after="120"/>
        <w:ind w:left="284" w:hanging="284"/>
        <w:contextualSpacing/>
        <w:rPr>
          <w:rFonts w:eastAsiaTheme="minorHAnsi"/>
          <w:szCs w:val="22"/>
          <w:lang w:eastAsia="hr-HR"/>
        </w:rPr>
      </w:pPr>
      <w:r>
        <w:rPr>
          <w:rFonts w:eastAsiaTheme="minorHAnsi"/>
          <w:szCs w:val="22"/>
          <w:lang w:eastAsia="hr-HR"/>
        </w:rPr>
        <w:t xml:space="preserve">obilne padaline, </w:t>
      </w:r>
    </w:p>
    <w:p w:rsidR="00A07D92" w:rsidRDefault="00495E63">
      <w:pPr>
        <w:numPr>
          <w:ilvl w:val="0"/>
          <w:numId w:val="24"/>
        </w:numPr>
        <w:spacing w:before="120" w:after="120"/>
        <w:ind w:left="284" w:hanging="284"/>
        <w:contextualSpacing/>
        <w:rPr>
          <w:rFonts w:eastAsiaTheme="minorHAnsi"/>
          <w:szCs w:val="22"/>
          <w:lang w:eastAsia="hr-HR"/>
        </w:rPr>
      </w:pPr>
      <w:r>
        <w:rPr>
          <w:rFonts w:eastAsiaTheme="minorHAnsi"/>
          <w:szCs w:val="22"/>
          <w:lang w:eastAsia="hr-HR"/>
        </w:rPr>
        <w:t>potresi,</w:t>
      </w:r>
    </w:p>
    <w:p w:rsidR="00A07D92" w:rsidRDefault="00495E63">
      <w:pPr>
        <w:numPr>
          <w:ilvl w:val="0"/>
          <w:numId w:val="24"/>
        </w:numPr>
        <w:spacing w:before="120" w:after="120"/>
        <w:ind w:left="284" w:hanging="284"/>
        <w:contextualSpacing/>
        <w:rPr>
          <w:rFonts w:eastAsiaTheme="minorHAnsi"/>
          <w:szCs w:val="22"/>
          <w:lang w:eastAsia="hr-HR"/>
        </w:rPr>
      </w:pPr>
      <w:r>
        <w:rPr>
          <w:rFonts w:eastAsiaTheme="minorHAnsi"/>
          <w:szCs w:val="22"/>
          <w:lang w:eastAsia="hr-HR"/>
        </w:rPr>
        <w:t>zasijecanje padine (zbog izgradnje cesta, vodovoda, plinovoda te drugih objekata I građevina).</w:t>
      </w:r>
    </w:p>
    <w:p w:rsidR="00A07D92" w:rsidRDefault="00495E63">
      <w:r>
        <w:t>Obilne padaline su najčešći okidač pojave klizišta, zbog nemogućnosti</w:t>
      </w:r>
      <w:r>
        <w:t xml:space="preserve"> prihvata </w:t>
      </w:r>
      <w:proofErr w:type="spellStart"/>
      <w:r>
        <w:t>oborinskih</w:t>
      </w:r>
      <w:proofErr w:type="spellEnd"/>
      <w:r>
        <w:t xml:space="preserve"> voda uslijed zasićenosti stijena odnosno tla vodom.</w:t>
      </w:r>
    </w:p>
    <w:p w:rsidR="00A07D92" w:rsidRDefault="00A07D92"/>
    <w:p w:rsidR="00A07D92" w:rsidRDefault="00A07D92"/>
    <w:p w:rsidR="00A07D92" w:rsidRDefault="00495E63">
      <w:pPr>
        <w:keepNext/>
        <w:keepLines/>
        <w:numPr>
          <w:ilvl w:val="2"/>
          <w:numId w:val="2"/>
        </w:numPr>
        <w:spacing w:before="40"/>
        <w:ind w:left="720"/>
        <w:outlineLvl w:val="2"/>
        <w:rPr>
          <w:color w:val="54883D"/>
          <w:sz w:val="28"/>
          <w:lang w:bidi="en-US"/>
        </w:rPr>
      </w:pPr>
      <w:bookmarkStart w:id="399" w:name="_Toc136522887"/>
      <w:bookmarkStart w:id="400" w:name="_Toc98930038"/>
      <w:bookmarkStart w:id="401" w:name="_Toc496856110"/>
      <w:bookmarkStart w:id="402" w:name="_Toc492284954"/>
      <w:r>
        <w:rPr>
          <w:color w:val="54883D"/>
          <w:sz w:val="28"/>
          <w:lang w:bidi="en-US"/>
        </w:rPr>
        <w:lastRenderedPageBreak/>
        <w:t>Događaj s najgorim mogućim posljedicama</w:t>
      </w:r>
      <w:bookmarkEnd w:id="399"/>
      <w:bookmarkEnd w:id="400"/>
      <w:bookmarkEnd w:id="401"/>
      <w:bookmarkEnd w:id="402"/>
    </w:p>
    <w:p w:rsidR="00A07D92" w:rsidRDefault="00495E63">
      <w:r>
        <w:t xml:space="preserve">Pojava erozije na području otoka Suska, Unija, Male i Vele </w:t>
      </w:r>
      <w:proofErr w:type="spellStart"/>
      <w:r>
        <w:t>Srakane</w:t>
      </w:r>
      <w:proofErr w:type="spellEnd"/>
      <w:r>
        <w:t>.</w:t>
      </w:r>
    </w:p>
    <w:p w:rsidR="00A07D92" w:rsidRDefault="00495E63">
      <w:pPr>
        <w:rPr>
          <w:i/>
          <w:iCs/>
          <w:color w:val="54883D"/>
        </w:rPr>
      </w:pPr>
      <w:r>
        <w:rPr>
          <w:i/>
          <w:iCs/>
          <w:color w:val="54883D"/>
        </w:rPr>
        <w:t>Posljedice</w:t>
      </w:r>
    </w:p>
    <w:p w:rsidR="00A07D92" w:rsidRDefault="00495E63">
      <w:pPr>
        <w:rPr>
          <w:u w:val="single"/>
        </w:rPr>
      </w:pPr>
      <w:r>
        <w:rPr>
          <w:u w:val="single"/>
        </w:rPr>
        <w:t>Život i zdravlje ljudi</w:t>
      </w:r>
    </w:p>
    <w:p w:rsidR="00A07D92" w:rsidRDefault="00495E63">
      <w:r>
        <w:t>U slučaju nastanka erozije može doći do</w:t>
      </w:r>
      <w:r>
        <w:t xml:space="preserve"> stradavanja stanovništva u stambenim objektima koji su ugroženi od klizišta.</w:t>
      </w:r>
    </w:p>
    <w:p w:rsidR="00A07D92" w:rsidRDefault="00A07D92">
      <w:pPr>
        <w:spacing w:before="120" w:after="120"/>
        <w:jc w:val="center"/>
        <w:rPr>
          <w:b/>
          <w:bCs/>
          <w:i/>
          <w:color w:val="54883D"/>
          <w:sz w:val="20"/>
          <w:szCs w:val="18"/>
        </w:rPr>
      </w:pPr>
    </w:p>
    <w:p w:rsidR="00A07D92" w:rsidRDefault="00495E63">
      <w:pPr>
        <w:spacing w:before="120" w:after="120"/>
        <w:jc w:val="center"/>
        <w:rPr>
          <w:iCs/>
          <w:color w:val="54883D"/>
          <w:sz w:val="20"/>
          <w:szCs w:val="18"/>
        </w:rPr>
      </w:pPr>
      <w:r>
        <w:rPr>
          <w:iCs/>
          <w:color w:val="54883D"/>
          <w:sz w:val="20"/>
          <w:szCs w:val="18"/>
        </w:rPr>
        <w:t>Tablica 67. Vrijednost kriterija za posljedice na život i zdravlje ljudi po kategorijama - klizišta</w:t>
      </w:r>
    </w:p>
    <w:tbl>
      <w:tblPr>
        <w:tblStyle w:val="ivopisnatablicareetke6-isticanje374"/>
        <w:tblW w:w="9060" w:type="dxa"/>
        <w:jc w:val="center"/>
        <w:tblLook w:val="04A0" w:firstRow="1" w:lastRow="0" w:firstColumn="1" w:lastColumn="0" w:noHBand="0" w:noVBand="1"/>
      </w:tblPr>
      <w:tblGrid>
        <w:gridCol w:w="2483"/>
        <w:gridCol w:w="2280"/>
        <w:gridCol w:w="2631"/>
        <w:gridCol w:w="1666"/>
      </w:tblGrid>
      <w:tr w:rsidR="00A07D92" w:rsidTr="00A07D92">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color w:val="auto"/>
                <w:sz w:val="20"/>
                <w:szCs w:val="22"/>
              </w:rPr>
            </w:pPr>
            <w:r>
              <w:rPr>
                <w:color w:val="auto"/>
                <w:sz w:val="20"/>
                <w:szCs w:val="22"/>
              </w:rPr>
              <w:t>KATEGORIJA</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Pr>
                <w:color w:val="7B7B7B"/>
                <w:sz w:val="20"/>
              </w:rPr>
              <w:t>POSLJEDICE</w:t>
            </w:r>
          </w:p>
        </w:tc>
        <w:tc>
          <w:tcPr>
            <w:tcW w:w="263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Pr>
                <w:color w:val="auto"/>
                <w:sz w:val="20"/>
                <w:szCs w:val="22"/>
              </w:rPr>
              <w:t>BROJ UGROŽENIH OSOBA %</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Pr>
                <w:color w:val="auto"/>
                <w:sz w:val="20"/>
                <w:szCs w:val="22"/>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1</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7B7B7B"/>
                <w:sz w:val="20"/>
              </w:rPr>
              <w:t>Neznatne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auto"/>
                <w:sz w:val="20"/>
                <w:szCs w:val="22"/>
              </w:rPr>
              <w:t>&lt; 0,001</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2</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7B7B7B"/>
                <w:sz w:val="20"/>
              </w:rPr>
              <w:t>Male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auto"/>
                <w:sz w:val="20"/>
                <w:szCs w:val="22"/>
              </w:rPr>
              <w:t>0,001 - 0,0046</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b/>
                <w:color w:val="auto"/>
                <w:sz w:val="20"/>
                <w:szCs w:val="22"/>
              </w:rPr>
            </w:pPr>
            <w:r>
              <w:rPr>
                <w:b/>
                <w:color w:val="auto"/>
                <w:sz w:val="20"/>
                <w:szCs w:val="22"/>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3</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7B7B7B"/>
                <w:sz w:val="20"/>
              </w:rPr>
              <w:t>Umjerene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auto"/>
                <w:sz w:val="20"/>
                <w:szCs w:val="22"/>
              </w:rPr>
              <w:t>0,0047 - 0,011</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4</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7B7B7B"/>
                <w:sz w:val="20"/>
              </w:rPr>
              <w:t>Značajne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Pr>
                <w:color w:val="auto"/>
                <w:sz w:val="20"/>
                <w:szCs w:val="22"/>
              </w:rPr>
              <w:t>0,012 - 0,035</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000000" w:firstRow="0" w:lastRow="0" w:firstColumn="0" w:lastColumn="0" w:oddVBand="0" w:evenVBand="0" w:oddHBand="0" w:evenHBand="0" w:firstRowFirstColumn="0" w:firstRowLastColumn="0" w:lastRowFirstColumn="0" w:lastRowLastColumn="0"/>
              <w:rPr>
                <w:b/>
                <w:color w:val="auto"/>
                <w:sz w:val="20"/>
                <w:szCs w:val="22"/>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rPr>
                <w:color w:val="auto"/>
                <w:sz w:val="20"/>
                <w:szCs w:val="22"/>
              </w:rPr>
            </w:pPr>
            <w:r>
              <w:rPr>
                <w:color w:val="auto"/>
                <w:sz w:val="20"/>
                <w:szCs w:val="22"/>
              </w:rPr>
              <w:t>5</w:t>
            </w:r>
          </w:p>
        </w:tc>
        <w:tc>
          <w:tcPr>
            <w:tcW w:w="22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7B7B7B"/>
                <w:sz w:val="20"/>
              </w:rPr>
              <w:t>Katastrofalne</w:t>
            </w:r>
          </w:p>
        </w:tc>
        <w:tc>
          <w:tcPr>
            <w:tcW w:w="263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Pr>
                <w:color w:val="auto"/>
                <w:sz w:val="20"/>
                <w:szCs w:val="22"/>
              </w:rPr>
              <w:t>0,036 &gt;</w:t>
            </w:r>
          </w:p>
        </w:tc>
        <w:tc>
          <w:tcPr>
            <w:tcW w:w="16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before="0"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p>
        </w:tc>
      </w:tr>
    </w:tbl>
    <w:p w:rsidR="00A07D92" w:rsidRDefault="00A07D92"/>
    <w:p w:rsidR="00A07D92" w:rsidRDefault="00495E63">
      <w:pPr>
        <w:rPr>
          <w:u w:val="single"/>
        </w:rPr>
      </w:pPr>
      <w:r>
        <w:rPr>
          <w:u w:val="single"/>
        </w:rPr>
        <w:t>Gospodarstvo</w:t>
      </w:r>
    </w:p>
    <w:p w:rsidR="00A07D92" w:rsidRDefault="00495E63">
      <w:r>
        <w:t xml:space="preserve">Od direktnih šteta nastat će štete na pokretnoj i nepokretnoj imovini. Također nastat će trošak sanacije, oporavka i asanacije. </w:t>
      </w:r>
    </w:p>
    <w:p w:rsidR="00A07D92" w:rsidRDefault="00495E63">
      <w:pPr>
        <w:spacing w:before="120" w:after="120"/>
        <w:jc w:val="center"/>
        <w:rPr>
          <w:rFonts w:ascii="Calibri" w:hAnsi="Calibri"/>
          <w:iCs/>
          <w:color w:val="auto"/>
          <w:sz w:val="20"/>
          <w:szCs w:val="18"/>
        </w:rPr>
      </w:pPr>
      <w:r>
        <w:rPr>
          <w:iCs/>
          <w:color w:val="54883D"/>
          <w:sz w:val="20"/>
          <w:szCs w:val="18"/>
        </w:rPr>
        <w:t xml:space="preserve">Tablica </w:t>
      </w:r>
      <w:r>
        <w:rPr>
          <w:iCs/>
          <w:color w:val="54883D"/>
          <w:sz w:val="20"/>
          <w:szCs w:val="18"/>
        </w:rPr>
        <w:t>68. Vrijednost kriterija za posljedice na gospodarstvo po kategorijama - klizišta</w:t>
      </w:r>
    </w:p>
    <w:tbl>
      <w:tblPr>
        <w:tblStyle w:val="ivopisnatablicareetke6-isticanje3223"/>
        <w:tblW w:w="8439" w:type="dxa"/>
        <w:jc w:val="center"/>
        <w:tblLook w:val="04A0" w:firstRow="1" w:lastRow="0" w:firstColumn="1" w:lastColumn="0" w:noHBand="0" w:noVBand="1"/>
      </w:tblPr>
      <w:tblGrid>
        <w:gridCol w:w="1528"/>
        <w:gridCol w:w="2420"/>
        <w:gridCol w:w="2992"/>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 w:rsidR="00A07D92" w:rsidRDefault="00495E63">
      <w:pPr>
        <w:rPr>
          <w:u w:val="single"/>
        </w:rPr>
      </w:pPr>
      <w:r>
        <w:rPr>
          <w:u w:val="single"/>
        </w:rPr>
        <w:t>Društvena stabilnost i politika</w:t>
      </w:r>
    </w:p>
    <w:p w:rsidR="00A07D92" w:rsidRDefault="00495E63">
      <w:pPr>
        <w:spacing w:after="120"/>
        <w:rPr>
          <w:b/>
          <w:szCs w:val="20"/>
          <w:u w:val="single"/>
        </w:rPr>
      </w:pPr>
      <w:r>
        <w:rPr>
          <w:b/>
          <w:szCs w:val="20"/>
          <w:u w:val="single"/>
        </w:rPr>
        <w:t xml:space="preserve">Posljedice na kritičnu infrastrukturu: </w:t>
      </w:r>
    </w:p>
    <w:p w:rsidR="00A07D92" w:rsidRDefault="00495E63">
      <w:pPr>
        <w:rPr>
          <w:i/>
          <w:iCs/>
          <w:color w:val="54883D"/>
          <w:szCs w:val="22"/>
        </w:rPr>
      </w:pPr>
      <w:r>
        <w:rPr>
          <w:i/>
          <w:iCs/>
          <w:color w:val="54883D"/>
          <w:szCs w:val="22"/>
        </w:rPr>
        <w:t>Komunikacija i informacijska tehnologija</w:t>
      </w:r>
    </w:p>
    <w:p w:rsidR="00A07D92" w:rsidRDefault="00495E63">
      <w:pPr>
        <w:spacing w:before="120" w:after="120"/>
        <w:ind w:right="74"/>
        <w:rPr>
          <w:szCs w:val="22"/>
        </w:rPr>
      </w:pPr>
      <w:r>
        <w:rPr>
          <w:szCs w:val="22"/>
        </w:rPr>
        <w:t xml:space="preserve">Uslijed klizanja može doći do oštećenja podzemne TK instalacija što može dovesti do prekida u telefonskoj komunikaciji. </w:t>
      </w:r>
    </w:p>
    <w:p w:rsidR="00A07D92" w:rsidRDefault="00495E63">
      <w:pPr>
        <w:spacing w:before="120" w:after="120"/>
        <w:ind w:right="74"/>
        <w:rPr>
          <w:i/>
          <w:iCs/>
          <w:color w:val="54883D"/>
        </w:rPr>
      </w:pPr>
      <w:r>
        <w:rPr>
          <w:i/>
          <w:iCs/>
          <w:color w:val="54883D"/>
        </w:rPr>
        <w:t>Vodno gospodarstvo</w:t>
      </w:r>
    </w:p>
    <w:p w:rsidR="00A07D92" w:rsidRDefault="00495E63">
      <w:pPr>
        <w:spacing w:before="120" w:after="120"/>
        <w:ind w:right="74"/>
        <w:rPr>
          <w:iCs/>
          <w:color w:val="auto"/>
        </w:rPr>
      </w:pPr>
      <w:r>
        <w:rPr>
          <w:iCs/>
          <w:color w:val="auto"/>
        </w:rPr>
        <w:t>U slučaju pojave klizišta može doći do oštećenja vodovodne mreže što može dovesti do kratkotrajnog prekida u opskrbi</w:t>
      </w:r>
      <w:r>
        <w:rPr>
          <w:iCs/>
          <w:color w:val="auto"/>
        </w:rPr>
        <w:t xml:space="preserve"> vodom.</w:t>
      </w:r>
    </w:p>
    <w:p w:rsidR="00A07D92" w:rsidRDefault="00A07D92">
      <w:pPr>
        <w:spacing w:before="120" w:after="120"/>
        <w:ind w:right="74"/>
        <w:rPr>
          <w:i/>
          <w:iCs/>
          <w:color w:val="54883D"/>
        </w:rPr>
      </w:pPr>
    </w:p>
    <w:p w:rsidR="00A07D92" w:rsidRDefault="00A07D92">
      <w:pPr>
        <w:spacing w:before="120" w:after="120"/>
        <w:ind w:right="74"/>
        <w:rPr>
          <w:i/>
          <w:iCs/>
          <w:color w:val="54883D"/>
        </w:rPr>
      </w:pPr>
    </w:p>
    <w:p w:rsidR="00A07D92" w:rsidRDefault="00495E63">
      <w:pPr>
        <w:spacing w:before="120" w:after="120"/>
        <w:ind w:right="74"/>
        <w:rPr>
          <w:i/>
          <w:iCs/>
          <w:color w:val="54883D"/>
        </w:rPr>
      </w:pPr>
      <w:r>
        <w:rPr>
          <w:i/>
          <w:iCs/>
          <w:color w:val="54883D"/>
        </w:rPr>
        <w:lastRenderedPageBreak/>
        <w:t>Promet</w:t>
      </w:r>
    </w:p>
    <w:p w:rsidR="00A07D92" w:rsidRDefault="00495E63">
      <w:pPr>
        <w:spacing w:before="120" w:after="120"/>
        <w:ind w:right="74"/>
        <w:rPr>
          <w:iCs/>
          <w:color w:val="auto"/>
        </w:rPr>
      </w:pPr>
      <w:r>
        <w:rPr>
          <w:iCs/>
          <w:color w:val="auto"/>
        </w:rPr>
        <w:t>U slučaju pojave klizišta može doći do oštećenja prometne infrastrukture što može dovesti do zatvaranja prometnice. Moguća je pojava šteta na stambenim, gospodarskim te poljoprivrednim površinama.</w:t>
      </w:r>
    </w:p>
    <w:p w:rsidR="00A07D92" w:rsidRDefault="00495E63">
      <w:pPr>
        <w:keepNext/>
        <w:tabs>
          <w:tab w:val="left" w:pos="284"/>
        </w:tabs>
        <w:spacing w:before="120" w:after="120" w:line="240" w:lineRule="auto"/>
        <w:jc w:val="center"/>
        <w:rPr>
          <w:iCs/>
          <w:color w:val="54883D"/>
          <w:sz w:val="20"/>
          <w:highlight w:val="white"/>
          <w:lang w:eastAsia="hr-HR"/>
        </w:rPr>
      </w:pPr>
      <w:r>
        <w:rPr>
          <w:iCs/>
          <w:color w:val="54883D"/>
          <w:sz w:val="20"/>
          <w:shd w:val="clear" w:color="auto" w:fill="FFFFFF"/>
          <w:lang w:eastAsia="hr-HR"/>
        </w:rPr>
        <w:t xml:space="preserve">Tablica 69. Vrijednost kriterija za posljedice na društvenu stabilnost i politiku </w:t>
      </w:r>
    </w:p>
    <w:p w:rsidR="00A07D92" w:rsidRDefault="00495E63">
      <w:pPr>
        <w:keepNext/>
        <w:tabs>
          <w:tab w:val="left" w:pos="284"/>
        </w:tabs>
        <w:spacing w:before="120" w:after="120" w:line="240" w:lineRule="auto"/>
        <w:jc w:val="center"/>
        <w:rPr>
          <w:iCs/>
          <w:color w:val="54883D"/>
          <w:sz w:val="20"/>
          <w:highlight w:val="white"/>
          <w:lang w:eastAsia="hr-HR"/>
        </w:rPr>
      </w:pPr>
      <w:r>
        <w:rPr>
          <w:iCs/>
          <w:color w:val="54883D"/>
          <w:sz w:val="20"/>
          <w:shd w:val="clear" w:color="auto" w:fill="FFFFFF"/>
          <w:lang w:eastAsia="hr-HR"/>
        </w:rPr>
        <w:t>- oštećena kritična infrastruktura – klizišta</w:t>
      </w:r>
    </w:p>
    <w:tbl>
      <w:tblPr>
        <w:tblStyle w:val="ivopisnatablicareetke6-isticanje3223"/>
        <w:tblW w:w="8439" w:type="dxa"/>
        <w:jc w:val="center"/>
        <w:tblLook w:val="04A0" w:firstRow="1" w:lastRow="0" w:firstColumn="1" w:lastColumn="0" w:noHBand="0" w:noVBand="1"/>
      </w:tblPr>
      <w:tblGrid>
        <w:gridCol w:w="1528"/>
        <w:gridCol w:w="2420"/>
        <w:gridCol w:w="2992"/>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rPr>
            </w:pPr>
            <w:bookmarkStart w:id="403" w:name="_Hlk135309390"/>
            <w:bookmarkEnd w:id="403"/>
          </w:p>
        </w:tc>
      </w:tr>
    </w:tbl>
    <w:p w:rsidR="00A07D92" w:rsidRDefault="00A07D92">
      <w:pPr>
        <w:spacing w:before="120" w:after="120"/>
        <w:ind w:right="74"/>
        <w:rPr>
          <w:iCs/>
          <w:color w:val="auto"/>
        </w:rPr>
      </w:pPr>
    </w:p>
    <w:p w:rsidR="00A07D92" w:rsidRDefault="00495E63">
      <w:pPr>
        <w:rPr>
          <w:rFonts w:eastAsiaTheme="minorHAnsi"/>
          <w:b/>
          <w:szCs w:val="22"/>
          <w:u w:val="single"/>
        </w:rPr>
      </w:pPr>
      <w:r>
        <w:rPr>
          <w:rFonts w:eastAsiaTheme="minorHAnsi"/>
          <w:b/>
          <w:szCs w:val="22"/>
          <w:u w:val="single"/>
        </w:rPr>
        <w:t>Posljedice po građevine javnog društvenog značaja:</w:t>
      </w:r>
    </w:p>
    <w:p w:rsidR="00A07D92" w:rsidRDefault="00495E63">
      <w:pPr>
        <w:rPr>
          <w:rFonts w:eastAsia="Calibri"/>
        </w:rPr>
      </w:pPr>
      <w:r>
        <w:rPr>
          <w:rFonts w:eastAsia="Calibri"/>
        </w:rPr>
        <w:t xml:space="preserve">Obzirom da analizirana klizišta ne predstavljaju ugrozu ustanovama i građevinama od javnog </w:t>
      </w:r>
      <w:r>
        <w:rPr>
          <w:rFonts w:eastAsia="Calibri"/>
        </w:rPr>
        <w:t>društvenog značaja, podaci neće biti tablično prikazani te se neće uračunavati u prikaz matrice.</w:t>
      </w:r>
    </w:p>
    <w:p w:rsidR="00A07D92" w:rsidRDefault="00495E63">
      <w:pPr>
        <w:keepNext/>
        <w:tabs>
          <w:tab w:val="left" w:pos="284"/>
        </w:tabs>
        <w:spacing w:before="120" w:after="120" w:line="240" w:lineRule="auto"/>
        <w:jc w:val="center"/>
        <w:rPr>
          <w:iCs/>
          <w:color w:val="54883D"/>
          <w:sz w:val="20"/>
          <w:highlight w:val="white"/>
          <w:lang w:eastAsia="hr-HR"/>
        </w:rPr>
      </w:pPr>
      <w:r>
        <w:rPr>
          <w:iCs/>
          <w:color w:val="54883D"/>
          <w:sz w:val="20"/>
          <w:shd w:val="clear" w:color="auto" w:fill="FFFFFF"/>
          <w:lang w:eastAsia="hr-HR"/>
        </w:rPr>
        <w:t xml:space="preserve">Tablica 69. Vrijednost kriterija za posljedice na društvenu stabilnost i politiku </w:t>
      </w:r>
    </w:p>
    <w:p w:rsidR="00A07D92" w:rsidRDefault="00495E63">
      <w:pPr>
        <w:keepNext/>
        <w:tabs>
          <w:tab w:val="left" w:pos="284"/>
        </w:tabs>
        <w:spacing w:before="120" w:after="120" w:line="240" w:lineRule="auto"/>
        <w:jc w:val="center"/>
        <w:rPr>
          <w:iCs/>
          <w:color w:val="54883D"/>
          <w:sz w:val="20"/>
          <w:highlight w:val="white"/>
          <w:lang w:eastAsia="hr-HR"/>
        </w:rPr>
      </w:pPr>
      <w:r>
        <w:rPr>
          <w:iCs/>
          <w:color w:val="54883D"/>
          <w:sz w:val="20"/>
          <w:shd w:val="clear" w:color="auto" w:fill="FFFFFF"/>
          <w:lang w:eastAsia="hr-HR"/>
        </w:rPr>
        <w:t>- štete/gubici na ustanovama/građevinama javnog društvenog značaja – klizišt</w:t>
      </w:r>
      <w:r>
        <w:rPr>
          <w:iCs/>
          <w:color w:val="54883D"/>
          <w:sz w:val="20"/>
          <w:shd w:val="clear" w:color="auto" w:fill="FFFFFF"/>
          <w:lang w:eastAsia="hr-HR"/>
        </w:rPr>
        <w:t>a</w:t>
      </w:r>
    </w:p>
    <w:tbl>
      <w:tblPr>
        <w:tblStyle w:val="ivopisnatablicareetke6-isticanje3223"/>
        <w:tblW w:w="8439" w:type="dxa"/>
        <w:jc w:val="center"/>
        <w:tblLook w:val="04A0" w:firstRow="1" w:lastRow="0" w:firstColumn="1" w:lastColumn="0" w:noHBand="0" w:noVBand="1"/>
      </w:tblPr>
      <w:tblGrid>
        <w:gridCol w:w="1528"/>
        <w:gridCol w:w="2420"/>
        <w:gridCol w:w="2992"/>
        <w:gridCol w:w="149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49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42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49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rPr>
          <w:rFonts w:eastAsia="Calibri"/>
        </w:rPr>
      </w:pPr>
    </w:p>
    <w:p w:rsidR="00A07D92" w:rsidRDefault="00495E63">
      <w:pPr>
        <w:spacing w:before="240" w:after="0"/>
        <w:jc w:val="center"/>
        <w:rPr>
          <w:rFonts w:eastAsiaTheme="minorHAnsi"/>
          <w:bCs/>
          <w:iCs/>
          <w:color w:val="54883D"/>
          <w:sz w:val="20"/>
          <w:szCs w:val="20"/>
        </w:rPr>
      </w:pPr>
      <w:r>
        <w:rPr>
          <w:rFonts w:eastAsiaTheme="minorHAnsi"/>
          <w:bCs/>
          <w:iCs/>
          <w:color w:val="54883D"/>
          <w:sz w:val="20"/>
          <w:szCs w:val="20"/>
        </w:rPr>
        <w:t xml:space="preserve">Tablica </w:t>
      </w:r>
      <w:r>
        <w:rPr>
          <w:rFonts w:eastAsiaTheme="minorHAnsi"/>
          <w:bCs/>
          <w:iCs/>
          <w:color w:val="54883D"/>
          <w:sz w:val="20"/>
          <w:szCs w:val="20"/>
        </w:rPr>
        <w:fldChar w:fldCharType="begin"/>
      </w:r>
      <w:r>
        <w:rPr>
          <w:rFonts w:eastAsia="Calibri"/>
          <w:bCs/>
          <w:iCs/>
          <w:sz w:val="20"/>
          <w:szCs w:val="20"/>
        </w:rPr>
        <w:instrText xml:space="preserve">SEQ Tabela </w:instrText>
      </w:r>
      <w:r>
        <w:rPr>
          <w:rFonts w:eastAsia="Calibri"/>
          <w:bCs/>
          <w:iCs/>
          <w:sz w:val="20"/>
          <w:szCs w:val="20"/>
        </w:rPr>
        <w:instrText>\* ARABIC</w:instrText>
      </w:r>
      <w:r>
        <w:rPr>
          <w:rFonts w:eastAsia="Calibri"/>
          <w:bCs/>
          <w:iCs/>
          <w:sz w:val="20"/>
          <w:szCs w:val="20"/>
        </w:rPr>
        <w:fldChar w:fldCharType="separate"/>
      </w:r>
      <w:r>
        <w:rPr>
          <w:rFonts w:eastAsia="Calibri"/>
          <w:bCs/>
          <w:iCs/>
          <w:sz w:val="20"/>
          <w:szCs w:val="20"/>
        </w:rPr>
        <w:t>78</w:t>
      </w:r>
      <w:r>
        <w:rPr>
          <w:rFonts w:eastAsia="Calibri"/>
          <w:bCs/>
          <w:iCs/>
          <w:sz w:val="20"/>
          <w:szCs w:val="20"/>
        </w:rPr>
        <w:fldChar w:fldCharType="end"/>
      </w:r>
      <w:r>
        <w:rPr>
          <w:rFonts w:eastAsiaTheme="minorHAnsi"/>
          <w:bCs/>
          <w:iCs/>
          <w:color w:val="54883D"/>
          <w:sz w:val="20"/>
          <w:szCs w:val="20"/>
        </w:rPr>
        <w:t>. Vrijednost kriterija za društvenu stabilnost i politiku- zbirno – klizišta</w:t>
      </w:r>
    </w:p>
    <w:tbl>
      <w:tblPr>
        <w:tblStyle w:val="GridTable6Colorful-Accent31"/>
        <w:tblW w:w="5000" w:type="pct"/>
        <w:jc w:val="center"/>
        <w:tblLook w:val="04A0" w:firstRow="1" w:lastRow="0" w:firstColumn="1" w:lastColumn="0" w:noHBand="0" w:noVBand="1"/>
      </w:tblPr>
      <w:tblGrid>
        <w:gridCol w:w="1824"/>
        <w:gridCol w:w="2472"/>
        <w:gridCol w:w="3322"/>
        <w:gridCol w:w="1668"/>
      </w:tblGrid>
      <w:tr w:rsidR="00A07D92" w:rsidTr="00A07D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12" w:space="0" w:color="C2D69B"/>
              <w:right w:val="single" w:sz="4" w:space="0" w:color="54883D"/>
            </w:tcBorders>
            <w:shd w:val="clear" w:color="auto" w:fill="auto"/>
          </w:tcPr>
          <w:p w:rsidR="00A07D92" w:rsidRDefault="00495E63">
            <w:pPr>
              <w:spacing w:after="0" w:line="240" w:lineRule="auto"/>
              <w:ind w:left="29"/>
              <w:jc w:val="center"/>
              <w:rPr>
                <w:sz w:val="20"/>
              </w:rPr>
            </w:pPr>
            <w:r>
              <w:rPr>
                <w:color w:val="76923C" w:themeColor="accent3" w:themeShade="BF"/>
                <w:sz w:val="20"/>
              </w:rPr>
              <w:t>KATEGORIJA</w:t>
            </w:r>
          </w:p>
        </w:tc>
        <w:tc>
          <w:tcPr>
            <w:tcW w:w="2414" w:type="dxa"/>
            <w:tcBorders>
              <w:top w:val="single" w:sz="4" w:space="0" w:color="54883D"/>
              <w:left w:val="single" w:sz="4" w:space="0" w:color="54883D"/>
              <w:bottom w:val="single" w:sz="12" w:space="0" w:color="C2D69B"/>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KRITIČNA INFRASTRUKTURA</w:t>
            </w:r>
          </w:p>
        </w:tc>
        <w:tc>
          <w:tcPr>
            <w:tcW w:w="3244" w:type="dxa"/>
            <w:tcBorders>
              <w:top w:val="single" w:sz="4" w:space="0" w:color="54883D"/>
              <w:left w:val="single" w:sz="4" w:space="0" w:color="54883D"/>
              <w:bottom w:val="single" w:sz="12" w:space="0" w:color="C2D69B"/>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USTANOVE/GRAĐEVINE JAVNOG DRUŠTVENOG ZNAČAJA</w:t>
            </w:r>
          </w:p>
        </w:tc>
        <w:tc>
          <w:tcPr>
            <w:tcW w:w="1629" w:type="dxa"/>
            <w:tcBorders>
              <w:top w:val="single" w:sz="4" w:space="0" w:color="54883D"/>
              <w:left w:val="single" w:sz="4" w:space="0" w:color="54883D"/>
              <w:bottom w:val="single" w:sz="12" w:space="0" w:color="C2D69B"/>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1.</w:t>
            </w:r>
          </w:p>
        </w:tc>
        <w:tc>
          <w:tcPr>
            <w:tcW w:w="241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c>
          <w:tcPr>
            <w:tcW w:w="32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c>
          <w:tcPr>
            <w:tcW w:w="16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2.</w:t>
            </w:r>
          </w:p>
        </w:tc>
        <w:tc>
          <w:tcPr>
            <w:tcW w:w="24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324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16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3.</w:t>
            </w:r>
          </w:p>
        </w:tc>
        <w:tc>
          <w:tcPr>
            <w:tcW w:w="241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32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16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4.</w:t>
            </w:r>
          </w:p>
        </w:tc>
        <w:tc>
          <w:tcPr>
            <w:tcW w:w="241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32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16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5.</w:t>
            </w:r>
          </w:p>
        </w:tc>
        <w:tc>
          <w:tcPr>
            <w:tcW w:w="241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32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16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r>
    </w:tbl>
    <w:p w:rsidR="00A07D92" w:rsidRDefault="00A07D92">
      <w:pPr>
        <w:rPr>
          <w:rFonts w:eastAsia="Calibri"/>
        </w:rPr>
      </w:pPr>
    </w:p>
    <w:p w:rsidR="00A07D92" w:rsidRDefault="00495E63">
      <w:pPr>
        <w:rPr>
          <w:i/>
          <w:iCs/>
          <w:color w:val="54883D"/>
        </w:rPr>
      </w:pPr>
      <w:r>
        <w:rPr>
          <w:i/>
          <w:iCs/>
          <w:color w:val="54883D"/>
        </w:rPr>
        <w:t>Vjerojatnost događaja</w:t>
      </w:r>
    </w:p>
    <w:p w:rsidR="00A07D92" w:rsidRDefault="00495E63">
      <w:pPr>
        <w:rPr>
          <w:sz w:val="23"/>
          <w:szCs w:val="23"/>
        </w:rPr>
      </w:pPr>
      <w:r>
        <w:t xml:space="preserve">Odabir scenarija odgovara pojavi klizišta zadnjih godina zbog kojih su i proglašene elementarne nepogode zbog klizišta. </w:t>
      </w:r>
    </w:p>
    <w:p w:rsidR="00A07D92" w:rsidRDefault="00495E63">
      <w:pPr>
        <w:spacing w:before="120" w:after="120"/>
        <w:jc w:val="center"/>
        <w:rPr>
          <w:iCs/>
          <w:color w:val="54883D"/>
          <w:sz w:val="20"/>
          <w:szCs w:val="18"/>
        </w:rPr>
      </w:pPr>
      <w:r>
        <w:rPr>
          <w:iCs/>
          <w:color w:val="54883D"/>
          <w:sz w:val="20"/>
          <w:szCs w:val="18"/>
        </w:rPr>
        <w:lastRenderedPageBreak/>
        <w:t>Tablica 70. Vjerojatnost/frekvencija - klizišta</w:t>
      </w:r>
    </w:p>
    <w:tbl>
      <w:tblPr>
        <w:tblStyle w:val="GridTable6ColorfulAccent3"/>
        <w:tblW w:w="9634" w:type="dxa"/>
        <w:tblLook w:val="04A0" w:firstRow="1" w:lastRow="0" w:firstColumn="1" w:lastColumn="0" w:noHBand="0" w:noVBand="1"/>
      </w:tblPr>
      <w:tblGrid>
        <w:gridCol w:w="1554"/>
        <w:gridCol w:w="1701"/>
        <w:gridCol w:w="1841"/>
        <w:gridCol w:w="2977"/>
        <w:gridCol w:w="1561"/>
      </w:tblGrid>
      <w:tr w:rsidR="00A07D92" w:rsidTr="00A07D92">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szCs w:val="20"/>
              </w:rPr>
            </w:pPr>
            <w:r>
              <w:rPr>
                <w:color w:val="76923C" w:themeColor="accent3" w:themeShade="BF"/>
                <w:sz w:val="20"/>
                <w:szCs w:val="20"/>
              </w:rPr>
              <w:t>KATEGORIJA</w:t>
            </w:r>
          </w:p>
        </w:tc>
        <w:tc>
          <w:tcPr>
            <w:tcW w:w="8080" w:type="dxa"/>
            <w:gridSpan w:val="4"/>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VJEROJATNOST / FREKVENCIJA</w:t>
            </w:r>
          </w:p>
        </w:tc>
      </w:tr>
      <w:tr w:rsidR="00A07D92" w:rsidTr="00A07D92">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4"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rPr>
                <w:b w:val="0"/>
                <w:color w:val="76923C" w:themeColor="accent3" w:themeShade="BF"/>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KVALITATIVNO</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VJEROJATNOST</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FREKVENCIJA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ODABRANO</w:t>
            </w: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1</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&lt;1 %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2</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3</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Pr>
                <w:b/>
                <w:color w:val="76923C" w:themeColor="accent3" w:themeShade="BF"/>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4</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70"/>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5</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szCs w:val="20"/>
              </w:rPr>
            </w:pPr>
          </w:p>
        </w:tc>
      </w:tr>
    </w:tbl>
    <w:p w:rsidR="00A07D92" w:rsidRDefault="00A07D92">
      <w:pPr>
        <w:rPr>
          <w:rFonts w:eastAsiaTheme="minorHAnsi"/>
        </w:rPr>
      </w:pPr>
    </w:p>
    <w:p w:rsidR="00A07D92" w:rsidRDefault="00495E63">
      <w:pPr>
        <w:keepNext/>
        <w:keepLines/>
        <w:numPr>
          <w:ilvl w:val="2"/>
          <w:numId w:val="2"/>
        </w:numPr>
        <w:spacing w:before="40"/>
        <w:ind w:left="720"/>
        <w:outlineLvl w:val="2"/>
        <w:rPr>
          <w:color w:val="54883D"/>
          <w:sz w:val="28"/>
          <w:lang w:bidi="en-US"/>
        </w:rPr>
      </w:pPr>
      <w:bookmarkStart w:id="404" w:name="_Toc136522888"/>
      <w:bookmarkStart w:id="405" w:name="_Toc98930039"/>
      <w:bookmarkStart w:id="406" w:name="_Toc496856111"/>
      <w:bookmarkStart w:id="407" w:name="_Toc492284955"/>
      <w:r>
        <w:rPr>
          <w:color w:val="54883D"/>
          <w:sz w:val="28"/>
          <w:lang w:bidi="en-US"/>
        </w:rPr>
        <w:t>Podaci, izvori i metode proračuna</w:t>
      </w:r>
      <w:bookmarkEnd w:id="404"/>
      <w:bookmarkEnd w:id="405"/>
      <w:bookmarkEnd w:id="406"/>
      <w:bookmarkEnd w:id="407"/>
    </w:p>
    <w:p w:rsidR="00A07D92" w:rsidRDefault="00495E63">
      <w:r>
        <w:t>Prilikom izračuna zona ugroženosti i procjene rizika korišteni su podaci iz:</w:t>
      </w:r>
    </w:p>
    <w:p w:rsidR="00A07D92" w:rsidRDefault="00495E63">
      <w:pPr>
        <w:numPr>
          <w:ilvl w:val="0"/>
          <w:numId w:val="5"/>
        </w:numPr>
        <w:spacing w:before="120" w:after="120"/>
        <w:contextualSpacing/>
        <w:rPr>
          <w:rFonts w:eastAsiaTheme="minorHAnsi"/>
          <w:bCs/>
          <w:szCs w:val="22"/>
        </w:rPr>
      </w:pPr>
      <w:r>
        <w:rPr>
          <w:rFonts w:eastAsiaTheme="minorHAnsi"/>
          <w:bCs/>
          <w:szCs w:val="22"/>
        </w:rPr>
        <w:t>Plan ukupnog razvoja Grada Malog Lošinja 2013.- 2020., siječanj 2013.</w:t>
      </w:r>
    </w:p>
    <w:p w:rsidR="00A07D92" w:rsidRDefault="00495E63">
      <w:pPr>
        <w:numPr>
          <w:ilvl w:val="0"/>
          <w:numId w:val="5"/>
        </w:numPr>
        <w:spacing w:before="120" w:after="120"/>
        <w:contextualSpacing/>
        <w:rPr>
          <w:rFonts w:eastAsiaTheme="minorHAnsi"/>
          <w:bCs/>
          <w:szCs w:val="22"/>
        </w:rPr>
      </w:pPr>
      <w:r>
        <w:rPr>
          <w:rFonts w:eastAsiaTheme="minorHAnsi"/>
          <w:bCs/>
          <w:szCs w:val="22"/>
        </w:rPr>
        <w:t>Prostornog plana uređenja Grada Malog Lošinja</w:t>
      </w:r>
    </w:p>
    <w:p w:rsidR="00A07D92" w:rsidRDefault="00495E63">
      <w:pPr>
        <w:numPr>
          <w:ilvl w:val="0"/>
          <w:numId w:val="5"/>
        </w:numPr>
        <w:spacing w:before="120" w:after="120"/>
        <w:contextualSpacing/>
        <w:rPr>
          <w:rFonts w:eastAsiaTheme="minorHAnsi"/>
          <w:bCs/>
          <w:szCs w:val="22"/>
        </w:rPr>
      </w:pPr>
      <w:r>
        <w:rPr>
          <w:rFonts w:eastAsiaTheme="minorHAnsi"/>
          <w:bCs/>
          <w:szCs w:val="22"/>
        </w:rPr>
        <w:t>Grad Mali Lošinj</w:t>
      </w:r>
    </w:p>
    <w:p w:rsidR="00A07D92" w:rsidRDefault="00495E63">
      <w:pPr>
        <w:numPr>
          <w:ilvl w:val="0"/>
          <w:numId w:val="5"/>
        </w:numPr>
        <w:spacing w:before="120" w:after="120"/>
        <w:contextualSpacing/>
        <w:rPr>
          <w:rFonts w:eastAsiaTheme="minorHAnsi"/>
          <w:bCs/>
          <w:szCs w:val="22"/>
        </w:rPr>
      </w:pPr>
      <w:hyperlink r:id="rId139">
        <w:r>
          <w:rPr>
            <w:rStyle w:val="Internetskapoveznica"/>
            <w:rFonts w:eastAsiaTheme="minorHAnsi"/>
            <w:bCs/>
            <w:szCs w:val="22"/>
          </w:rPr>
          <w:t>https://civilna-zastita.gov.hr</w:t>
        </w:r>
      </w:hyperlink>
      <w:r>
        <w:rPr>
          <w:rFonts w:eastAsiaTheme="minorHAnsi"/>
          <w:bCs/>
          <w:szCs w:val="22"/>
        </w:rPr>
        <w:t xml:space="preserve"> </w:t>
      </w: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Pr>
        <w:ind w:left="360"/>
      </w:pPr>
    </w:p>
    <w:p w:rsidR="00A07D92" w:rsidRDefault="00A07D92"/>
    <w:p w:rsidR="00A07D92" w:rsidRDefault="00495E63">
      <w:pPr>
        <w:keepNext/>
        <w:keepLines/>
        <w:numPr>
          <w:ilvl w:val="2"/>
          <w:numId w:val="2"/>
        </w:numPr>
        <w:spacing w:before="40"/>
        <w:ind w:left="720"/>
        <w:outlineLvl w:val="2"/>
        <w:rPr>
          <w:color w:val="54883D"/>
          <w:sz w:val="28"/>
          <w:lang w:bidi="en-US"/>
        </w:rPr>
      </w:pPr>
      <w:bookmarkStart w:id="408" w:name="_Toc136522889"/>
      <w:bookmarkStart w:id="409" w:name="_Toc98930040"/>
      <w:bookmarkStart w:id="410" w:name="_Toc496856112"/>
      <w:bookmarkStart w:id="411" w:name="_Toc492284956"/>
      <w:r>
        <w:rPr>
          <w:color w:val="54883D"/>
          <w:sz w:val="28"/>
          <w:lang w:bidi="en-US"/>
        </w:rPr>
        <w:lastRenderedPageBreak/>
        <w:t>Matrice rizika</w:t>
      </w:r>
      <w:bookmarkEnd w:id="408"/>
      <w:bookmarkEnd w:id="409"/>
      <w:bookmarkEnd w:id="410"/>
    </w:p>
    <w:p w:rsidR="00A07D92" w:rsidRDefault="00495E63">
      <w:r>
        <w:t>Rizik: Klizišta</w:t>
      </w:r>
    </w:p>
    <w:p w:rsidR="00A07D92" w:rsidRDefault="00495E63">
      <w:r>
        <w:t>Naziv scenarija: Klizišta</w:t>
      </w:r>
    </w:p>
    <w:p w:rsidR="00A07D92" w:rsidRDefault="00495E63">
      <w:r>
        <w:rPr>
          <w:noProof/>
          <w:lang w:eastAsia="hr-HR"/>
        </w:rPr>
        <w:drawing>
          <wp:inline distT="0" distB="0" distL="0" distR="0">
            <wp:extent cx="5210175" cy="4443730"/>
            <wp:effectExtent l="0" t="0" r="0" b="0"/>
            <wp:docPr id="157" name="Slik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lika26"/>
                    <pic:cNvPicPr>
                      <a:picLocks noChangeAspect="1" noChangeArrowheads="1"/>
                    </pic:cNvPicPr>
                  </pic:nvPicPr>
                  <pic:blipFill>
                    <a:blip r:embed="rId98"/>
                    <a:stretch>
                      <a:fillRect/>
                    </a:stretch>
                  </pic:blipFill>
                  <pic:spPr bwMode="auto">
                    <a:xfrm>
                      <a:off x="0" y="0"/>
                      <a:ext cx="5210175" cy="4443730"/>
                    </a:xfrm>
                    <a:prstGeom prst="rect">
                      <a:avLst/>
                    </a:prstGeom>
                  </pic:spPr>
                </pic:pic>
              </a:graphicData>
            </a:graphic>
          </wp:inline>
        </w:drawing>
      </w:r>
      <w:r>
        <w:rPr>
          <w:noProof/>
          <w:lang w:eastAsia="hr-HR"/>
        </w:rPr>
        <mc:AlternateContent>
          <mc:Choice Requires="wps">
            <w:drawing>
              <wp:anchor distT="0" distB="0" distL="0" distR="0" simplePos="0" relativeHeight="62" behindDoc="0" locked="0" layoutInCell="1" allowOverlap="1" wp14:anchorId="5D1DBADD">
                <wp:simplePos x="0" y="0"/>
                <wp:positionH relativeFrom="column">
                  <wp:posOffset>2381250</wp:posOffset>
                </wp:positionH>
                <wp:positionV relativeFrom="paragraph">
                  <wp:posOffset>2326640</wp:posOffset>
                </wp:positionV>
                <wp:extent cx="314960" cy="253365"/>
                <wp:effectExtent l="19050" t="0" r="28575" b="13970"/>
                <wp:wrapNone/>
                <wp:docPr id="156" name="Hexagon 67"/>
                <wp:cNvGraphicFramePr/>
                <a:graphic xmlns:a="http://schemas.openxmlformats.org/drawingml/2006/main">
                  <a:graphicData uri="http://schemas.microsoft.com/office/word/2010/wordprocessingShape">
                    <wps:wsp>
                      <wps:cNvSpPr/>
                      <wps:spPr>
                        <a:xfrm>
                          <a:off x="0" y="0"/>
                          <a:ext cx="314280" cy="252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67" fillcolor="#4f81bd" stroked="t" style="position:absolute;margin-left:187.5pt;margin-top:183.2pt;width:24.7pt;height:19.85pt" wp14:anchorId="5D1DBADD" type="shapetype_9">
                <w10:wrap type="none"/>
                <v:fill o:detectmouseclick="t" type="solid" color2="#b07e42"/>
                <v:stroke color="#4f81bd" weight="9360" joinstyle="miter" endcap="flat"/>
              </v:shape>
            </w:pict>
          </mc:Fallback>
        </mc:AlternateContent>
      </w:r>
    </w:p>
    <w:p w:rsidR="00A07D92" w:rsidRDefault="00495E63">
      <w:pPr>
        <w:rPr>
          <w:b/>
          <w:sz w:val="20"/>
        </w:rPr>
      </w:pPr>
      <w:r>
        <w:rPr>
          <w:b/>
          <w:sz w:val="20"/>
        </w:rPr>
        <w:t xml:space="preserve">           Život i zdravlje ljudi</w:t>
      </w:r>
      <w:r>
        <w:rPr>
          <w:b/>
          <w:sz w:val="20"/>
        </w:rPr>
        <w:tab/>
      </w:r>
      <w:r>
        <w:rPr>
          <w:b/>
          <w:sz w:val="20"/>
        </w:rPr>
        <w:tab/>
        <w:t xml:space="preserve">       Gospodarstvo</w:t>
      </w:r>
      <w:r>
        <w:rPr>
          <w:b/>
          <w:sz w:val="20"/>
        </w:rPr>
        <w:tab/>
        <w:t xml:space="preserve">          Društvena stabilnost i politika</w:t>
      </w:r>
    </w:p>
    <w:p w:rsidR="00A07D92" w:rsidRDefault="00495E63">
      <w:r>
        <w:rPr>
          <w:noProof/>
          <w:lang w:eastAsia="hr-HR"/>
        </w:rPr>
        <w:lastRenderedPageBreak/>
        <mc:AlternateContent>
          <mc:Choice Requires="wps">
            <w:drawing>
              <wp:anchor distT="0" distB="0" distL="0" distR="0" simplePos="0" relativeHeight="61" behindDoc="0" locked="0" layoutInCell="1" allowOverlap="1" wp14:anchorId="0171BD08">
                <wp:simplePos x="0" y="0"/>
                <wp:positionH relativeFrom="column">
                  <wp:posOffset>852170</wp:posOffset>
                </wp:positionH>
                <wp:positionV relativeFrom="paragraph">
                  <wp:posOffset>874395</wp:posOffset>
                </wp:positionV>
                <wp:extent cx="111760" cy="91440"/>
                <wp:effectExtent l="19050" t="0" r="41275" b="23495"/>
                <wp:wrapNone/>
                <wp:docPr id="158" name="Hexagon 72"/>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72" fillcolor="#4f81bd" stroked="t" style="position:absolute;margin-left:67.1pt;margin-top:68.85pt;width:8.7pt;height:7.1pt" wp14:anchorId="0171BD08"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63" behindDoc="0" locked="0" layoutInCell="1" allowOverlap="1" wp14:anchorId="1E812480">
                <wp:simplePos x="0" y="0"/>
                <wp:positionH relativeFrom="margin">
                  <wp:align>center</wp:align>
                </wp:positionH>
                <wp:positionV relativeFrom="paragraph">
                  <wp:posOffset>860425</wp:posOffset>
                </wp:positionV>
                <wp:extent cx="111760" cy="91440"/>
                <wp:effectExtent l="19050" t="0" r="41275" b="23495"/>
                <wp:wrapNone/>
                <wp:docPr id="159" name="Hexagon 69"/>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69" fillcolor="#4f81bd" stroked="t" style="position:absolute;margin-left:222.35pt;margin-top:67.75pt;width:8.7pt;height:7.1pt;mso-position-horizontal:center;mso-position-horizontal-relative:margin" wp14:anchorId="1E812480"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64" behindDoc="0" locked="0" layoutInCell="1" allowOverlap="1" wp14:anchorId="1E5DC75F">
                <wp:simplePos x="0" y="0"/>
                <wp:positionH relativeFrom="column">
                  <wp:posOffset>4748530</wp:posOffset>
                </wp:positionH>
                <wp:positionV relativeFrom="paragraph">
                  <wp:posOffset>1072515</wp:posOffset>
                </wp:positionV>
                <wp:extent cx="111760" cy="91440"/>
                <wp:effectExtent l="19050" t="0" r="41275" b="23495"/>
                <wp:wrapNone/>
                <wp:docPr id="160" name="Hexagon 827934021"/>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827934021" fillcolor="#4f81bd" stroked="t" style="position:absolute;margin-left:373.9pt;margin-top:84.45pt;width:8.7pt;height:7.1pt" wp14:anchorId="1E5DC75F" type="shapetype_9">
                <w10:wrap type="none"/>
                <v:fill o:detectmouseclick="t" type="solid" color2="#b07e42"/>
                <v:stroke color="#4f81bd" weight="9360" joinstyle="miter" endcap="flat"/>
              </v:shape>
            </w:pict>
          </mc:Fallback>
        </mc:AlternateContent>
      </w:r>
      <w:r>
        <w:rPr>
          <w:noProof/>
          <w:lang w:eastAsia="hr-HR"/>
        </w:rPr>
        <w:drawing>
          <wp:inline distT="0" distB="0" distL="0" distR="0">
            <wp:extent cx="1828800" cy="1554480"/>
            <wp:effectExtent l="0" t="0" r="0" b="0"/>
            <wp:docPr id="16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76"/>
                    <pic:cNvPicPr>
                      <a:picLocks noChangeAspect="1" noChangeArrowheads="1"/>
                    </pic:cNvPicPr>
                  </pic:nvPicPr>
                  <pic:blipFill>
                    <a:blip r:embed="rId99"/>
                    <a:stretch>
                      <a:fillRect/>
                    </a:stretch>
                  </pic:blipFill>
                  <pic:spPr bwMode="auto">
                    <a:xfrm>
                      <a:off x="0" y="0"/>
                      <a:ext cx="1828800" cy="1554480"/>
                    </a:xfrm>
                    <a:prstGeom prst="rect">
                      <a:avLst/>
                    </a:prstGeom>
                  </pic:spPr>
                </pic:pic>
              </a:graphicData>
            </a:graphic>
          </wp:inline>
        </w:drawing>
      </w:r>
      <w:r>
        <w:t xml:space="preserve">  </w:t>
      </w:r>
      <w:r>
        <w:rPr>
          <w:noProof/>
          <w:lang w:eastAsia="hr-HR"/>
        </w:rPr>
        <w:drawing>
          <wp:inline distT="0" distB="0" distL="0" distR="0">
            <wp:extent cx="1905000" cy="1619250"/>
            <wp:effectExtent l="0" t="0" r="0" b="0"/>
            <wp:docPr id="16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73"/>
                    <pic:cNvPicPr>
                      <a:picLocks noChangeAspect="1" noChangeArrowheads="1"/>
                    </pic:cNvPicPr>
                  </pic:nvPicPr>
                  <pic:blipFill>
                    <a:blip r:embed="rId100"/>
                    <a:stretch>
                      <a:fillRect/>
                    </a:stretch>
                  </pic:blipFill>
                  <pic:spPr bwMode="auto">
                    <a:xfrm>
                      <a:off x="0" y="0"/>
                      <a:ext cx="1905000" cy="1619250"/>
                    </a:xfrm>
                    <a:prstGeom prst="rect">
                      <a:avLst/>
                    </a:prstGeom>
                  </pic:spPr>
                </pic:pic>
              </a:graphicData>
            </a:graphic>
          </wp:inline>
        </w:drawing>
      </w:r>
      <w:r>
        <w:t xml:space="preserve">  </w:t>
      </w:r>
      <w:r>
        <w:rPr>
          <w:noProof/>
          <w:lang w:eastAsia="hr-HR"/>
        </w:rPr>
        <w:drawing>
          <wp:inline distT="0" distB="0" distL="0" distR="0">
            <wp:extent cx="1906270" cy="1620520"/>
            <wp:effectExtent l="0" t="0" r="0" b="0"/>
            <wp:docPr id="16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74"/>
                    <pic:cNvPicPr>
                      <a:picLocks noChangeAspect="1" noChangeArrowheads="1"/>
                    </pic:cNvPicPr>
                  </pic:nvPicPr>
                  <pic:blipFill>
                    <a:blip r:embed="rId120"/>
                    <a:stretch>
                      <a:fillRect/>
                    </a:stretch>
                  </pic:blipFill>
                  <pic:spPr bwMode="auto">
                    <a:xfrm>
                      <a:off x="0" y="0"/>
                      <a:ext cx="1906270" cy="1620520"/>
                    </a:xfrm>
                    <a:prstGeom prst="rect">
                      <a:avLst/>
                    </a:prstGeom>
                  </pic:spPr>
                </pic:pic>
              </a:graphicData>
            </a:graphic>
          </wp:inline>
        </w:drawing>
      </w:r>
      <w:bookmarkEnd w:id="411"/>
    </w:p>
    <w:p w:rsidR="00A07D92" w:rsidRDefault="00A07D92"/>
    <w:p w:rsidR="00A07D92" w:rsidRDefault="00A07D92"/>
    <w:p w:rsidR="00A07D92" w:rsidRDefault="00A07D92"/>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495E63">
      <w:pPr>
        <w:keepNext/>
        <w:keepLines/>
        <w:spacing w:before="40"/>
        <w:outlineLvl w:val="2"/>
        <w:rPr>
          <w:rFonts w:cstheme="majorBidi"/>
          <w:color w:val="54883D"/>
          <w:sz w:val="28"/>
          <w:lang w:bidi="en-US"/>
        </w:rPr>
      </w:pPr>
      <w:bookmarkStart w:id="412" w:name="_Toc136522890"/>
      <w:r>
        <w:rPr>
          <w:rFonts w:cstheme="majorBidi"/>
          <w:color w:val="54883D"/>
          <w:sz w:val="28"/>
          <w:lang w:bidi="en-US"/>
        </w:rPr>
        <w:t>6.8.9 Karte</w:t>
      </w:r>
      <w:bookmarkEnd w:id="412"/>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t>6.8.9.1 Karta rizika</w:t>
      </w:r>
    </w:p>
    <w:tbl>
      <w:tblPr>
        <w:tblStyle w:val="Reetkatablice1011"/>
        <w:tblpPr w:leftFromText="180" w:rightFromText="180" w:vertAnchor="text" w:horzAnchor="page" w:tblpX="9034" w:tblpY="1136"/>
        <w:tblW w:w="1980" w:type="dxa"/>
        <w:tblLook w:val="04A0" w:firstRow="1" w:lastRow="0" w:firstColumn="1" w:lastColumn="0" w:noHBand="0" w:noVBand="1"/>
      </w:tblPr>
      <w:tblGrid>
        <w:gridCol w:w="845"/>
        <w:gridCol w:w="1135"/>
      </w:tblGrid>
      <w:tr w:rsidR="00A07D92">
        <w:trPr>
          <w:trHeight w:val="310"/>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RIZIK</w:t>
            </w:r>
          </w:p>
        </w:tc>
      </w:tr>
      <w:tr w:rsidR="00A07D92">
        <w:trPr>
          <w:trHeight w:val="354"/>
        </w:trPr>
        <w:tc>
          <w:tcPr>
            <w:tcW w:w="845"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Vrlo visok</w:t>
            </w:r>
          </w:p>
        </w:tc>
      </w:tr>
      <w:tr w:rsidR="00A07D92">
        <w:trPr>
          <w:trHeight w:val="286"/>
        </w:trPr>
        <w:tc>
          <w:tcPr>
            <w:tcW w:w="845"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Visok </w:t>
            </w:r>
          </w:p>
        </w:tc>
      </w:tr>
      <w:tr w:rsidR="00A07D92">
        <w:trPr>
          <w:trHeight w:val="262"/>
        </w:trPr>
        <w:tc>
          <w:tcPr>
            <w:tcW w:w="845"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 </w:t>
            </w:r>
          </w:p>
        </w:tc>
      </w:tr>
      <w:tr w:rsidR="00A07D92">
        <w:trPr>
          <w:trHeight w:val="280"/>
        </w:trPr>
        <w:tc>
          <w:tcPr>
            <w:tcW w:w="845" w:type="dxa"/>
            <w:shd w:val="clear" w:color="auto" w:fill="92D05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Nizak </w:t>
            </w:r>
          </w:p>
        </w:tc>
      </w:tr>
    </w:tbl>
    <w:p w:rsidR="00A07D92" w:rsidRDefault="00495E63">
      <w:pPr>
        <w:jc w:val="center"/>
        <w:rPr>
          <w:lang w:bidi="en-US"/>
        </w:rPr>
      </w:pPr>
      <w:r>
        <w:rPr>
          <w:noProof/>
          <w:lang w:eastAsia="hr-HR"/>
        </w:rPr>
        <w:lastRenderedPageBreak/>
        <w:drawing>
          <wp:inline distT="0" distB="0" distL="0" distR="0">
            <wp:extent cx="2974975" cy="4160520"/>
            <wp:effectExtent l="0" t="0" r="0" b="0"/>
            <wp:docPr id="164" name="Slik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lika27"/>
                    <pic:cNvPicPr>
                      <a:picLocks noChangeAspect="1" noChangeArrowheads="1"/>
                    </pic:cNvPicPr>
                  </pic:nvPicPr>
                  <pic:blipFill>
                    <a:blip r:embed="rId140"/>
                    <a:stretch>
                      <a:fillRect/>
                    </a:stretch>
                  </pic:blipFill>
                  <pic:spPr bwMode="auto">
                    <a:xfrm>
                      <a:off x="0" y="0"/>
                      <a:ext cx="2974975" cy="416052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44</w:t>
      </w:r>
      <w:r>
        <w:rPr>
          <w:rFonts w:eastAsia="Calibri"/>
          <w:bCs/>
          <w:sz w:val="20"/>
          <w:szCs w:val="18"/>
        </w:rPr>
        <w:fldChar w:fldCharType="end"/>
      </w:r>
      <w:r>
        <w:rPr>
          <w:rFonts w:eastAsia="Calibri"/>
          <w:bCs/>
          <w:color w:val="54883D"/>
          <w:sz w:val="20"/>
          <w:szCs w:val="18"/>
          <w:lang w:bidi="en-US"/>
        </w:rPr>
        <w:t>. Karta rizika – klizišta</w:t>
      </w: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t>6.8.9.2 Karta posljedica</w:t>
      </w:r>
    </w:p>
    <w:tbl>
      <w:tblPr>
        <w:tblStyle w:val="Reetkatablice1011"/>
        <w:tblpPr w:leftFromText="180" w:rightFromText="180" w:vertAnchor="text" w:horzAnchor="page" w:tblpX="9306" w:tblpY="510"/>
        <w:tblW w:w="2123" w:type="dxa"/>
        <w:tblLook w:val="04A0" w:firstRow="1" w:lastRow="0" w:firstColumn="1" w:lastColumn="0" w:noHBand="0" w:noVBand="1"/>
      </w:tblPr>
      <w:tblGrid>
        <w:gridCol w:w="846"/>
        <w:gridCol w:w="1277"/>
      </w:tblGrid>
      <w:tr w:rsidR="00A07D92">
        <w:trPr>
          <w:trHeight w:val="310"/>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lastRenderedPageBreak/>
              <w:t>POSLJEDICE</w:t>
            </w:r>
          </w:p>
        </w:tc>
      </w:tr>
      <w:tr w:rsidR="00A07D92">
        <w:trPr>
          <w:trHeight w:val="353"/>
        </w:trPr>
        <w:tc>
          <w:tcPr>
            <w:tcW w:w="846"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Katastrofalne </w:t>
            </w:r>
          </w:p>
        </w:tc>
      </w:tr>
      <w:tr w:rsidR="00A07D92">
        <w:trPr>
          <w:trHeight w:val="273"/>
        </w:trPr>
        <w:tc>
          <w:tcPr>
            <w:tcW w:w="846"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Značajne </w:t>
            </w:r>
          </w:p>
        </w:tc>
      </w:tr>
      <w:tr w:rsidR="00A07D92">
        <w:trPr>
          <w:trHeight w:val="278"/>
        </w:trPr>
        <w:tc>
          <w:tcPr>
            <w:tcW w:w="846"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Umjerene </w:t>
            </w:r>
          </w:p>
        </w:tc>
      </w:tr>
      <w:tr w:rsidR="00A07D92">
        <w:trPr>
          <w:trHeight w:val="267"/>
        </w:trPr>
        <w:tc>
          <w:tcPr>
            <w:tcW w:w="846" w:type="dxa"/>
            <w:shd w:val="clear" w:color="auto" w:fill="CCFF99"/>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Malene </w:t>
            </w:r>
          </w:p>
        </w:tc>
      </w:tr>
      <w:tr w:rsidR="00A07D92">
        <w:trPr>
          <w:trHeight w:val="286"/>
        </w:trPr>
        <w:tc>
          <w:tcPr>
            <w:tcW w:w="846" w:type="dxa"/>
            <w:shd w:val="clear" w:color="auto" w:fill="C6D9F1" w:themeFill="text2" w:themeFillTint="33"/>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Neznatne </w:t>
            </w:r>
          </w:p>
        </w:tc>
      </w:tr>
    </w:tbl>
    <w:p w:rsidR="00A07D92" w:rsidRDefault="00495E63">
      <w:pPr>
        <w:jc w:val="center"/>
        <w:rPr>
          <w:lang w:bidi="en-US"/>
        </w:rPr>
      </w:pPr>
      <w:r>
        <w:rPr>
          <w:noProof/>
          <w:lang w:eastAsia="hr-HR"/>
        </w:rPr>
        <w:drawing>
          <wp:inline distT="0" distB="0" distL="0" distR="0">
            <wp:extent cx="3201035" cy="4420235"/>
            <wp:effectExtent l="0" t="0" r="0" b="0"/>
            <wp:docPr id="165" name="Slik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lika28"/>
                    <pic:cNvPicPr>
                      <a:picLocks noChangeAspect="1" noChangeArrowheads="1"/>
                    </pic:cNvPicPr>
                  </pic:nvPicPr>
                  <pic:blipFill>
                    <a:blip r:embed="rId141"/>
                    <a:stretch>
                      <a:fillRect/>
                    </a:stretch>
                  </pic:blipFill>
                  <pic:spPr bwMode="auto">
                    <a:xfrm>
                      <a:off x="0" y="0"/>
                      <a:ext cx="3201035" cy="4420235"/>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45</w:t>
      </w:r>
      <w:r>
        <w:rPr>
          <w:rFonts w:eastAsia="Calibri"/>
          <w:bCs/>
          <w:sz w:val="20"/>
          <w:szCs w:val="18"/>
        </w:rPr>
        <w:fldChar w:fldCharType="end"/>
      </w:r>
      <w:r>
        <w:rPr>
          <w:rFonts w:eastAsia="Calibri"/>
          <w:bCs/>
          <w:color w:val="54883D"/>
          <w:sz w:val="20"/>
          <w:szCs w:val="18"/>
          <w:lang w:bidi="en-US"/>
        </w:rPr>
        <w:t>. Karta posljedica – klizišta</w:t>
      </w:r>
    </w:p>
    <w:p w:rsidR="00A07D92" w:rsidRDefault="00A07D92">
      <w:pPr>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A07D92">
      <w:pPr>
        <w:spacing w:before="0" w:after="200"/>
        <w:jc w:val="left"/>
        <w:rPr>
          <w:color w:val="FF0000"/>
          <w:szCs w:val="22"/>
        </w:rPr>
      </w:pPr>
    </w:p>
    <w:p w:rsidR="00A07D92" w:rsidRDefault="00495E63">
      <w:pPr>
        <w:pStyle w:val="Odlomakpopisa"/>
        <w:keepNext/>
        <w:numPr>
          <w:ilvl w:val="1"/>
          <w:numId w:val="2"/>
        </w:numPr>
        <w:outlineLvl w:val="1"/>
        <w:rPr>
          <w:bCs/>
          <w:color w:val="54883D"/>
          <w:sz w:val="30"/>
        </w:rPr>
      </w:pPr>
      <w:bookmarkStart w:id="413" w:name="_Toc136522891"/>
      <w:r>
        <w:rPr>
          <w:bCs/>
          <w:color w:val="54883D"/>
          <w:sz w:val="30"/>
        </w:rPr>
        <w:lastRenderedPageBreak/>
        <w:t>Tehničko tehnološke i druge nesreće u prometu</w:t>
      </w:r>
      <w:bookmarkEnd w:id="413"/>
    </w:p>
    <w:p w:rsidR="00A07D92" w:rsidRDefault="00495E63">
      <w:pPr>
        <w:keepNext/>
        <w:keepLines/>
        <w:numPr>
          <w:ilvl w:val="2"/>
          <w:numId w:val="2"/>
        </w:numPr>
        <w:spacing w:before="40"/>
        <w:ind w:left="720"/>
        <w:outlineLvl w:val="2"/>
        <w:rPr>
          <w:color w:val="54883D"/>
          <w:sz w:val="28"/>
          <w:lang w:bidi="en-US"/>
        </w:rPr>
      </w:pPr>
      <w:bookmarkStart w:id="414" w:name="_Toc136522892"/>
      <w:r>
        <w:rPr>
          <w:color w:val="54883D"/>
          <w:sz w:val="28"/>
          <w:lang w:bidi="en-US"/>
        </w:rPr>
        <w:t>Naziv scenarija</w:t>
      </w:r>
      <w:bookmarkEnd w:id="414"/>
    </w:p>
    <w:tbl>
      <w:tblPr>
        <w:tblStyle w:val="GridTable6ColorfulAccent3"/>
        <w:tblW w:w="9060" w:type="dxa"/>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Naziv scenarija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Tehničko-tehnološke nesreće u cestovnom prometu</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 xml:space="preserve">Grupa </w:t>
            </w:r>
            <w:r>
              <w:rPr>
                <w:color w:val="76923C" w:themeColor="accent3" w:themeShade="BF"/>
                <w:szCs w:val="20"/>
              </w:rPr>
              <w:t>rizika: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Tehničko-tehnološke i druge nesreće u prometu</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Rizik:</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r>
              <w:rPr>
                <w:b w:val="0"/>
                <w:color w:val="76923C" w:themeColor="accent3" w:themeShade="BF"/>
                <w:szCs w:val="20"/>
              </w:rPr>
              <w:t>Tehničko-tehnološke i druge nesreće u prometu</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szCs w:val="20"/>
              </w:rPr>
            </w:pPr>
            <w:r>
              <w:rPr>
                <w:color w:val="76923C" w:themeColor="accent3" w:themeShade="BF"/>
                <w:szCs w:val="20"/>
              </w:rPr>
              <w:t>Radna skupina: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rPr>
                <w:b w:val="0"/>
                <w:szCs w:val="20"/>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Grada Mali Loši</w:t>
            </w:r>
            <w:r>
              <w:rPr>
                <w:b w:val="0"/>
                <w:color w:val="76923C" w:themeColor="accent3" w:themeShade="BF"/>
              </w:rPr>
              <w:t>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szCs w:val="2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b w:val="0"/>
                <w:szCs w:val="2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A07D92">
      <w:pPr>
        <w:rPr>
          <w:lang w:bidi="en-US"/>
        </w:rPr>
      </w:pPr>
    </w:p>
    <w:p w:rsidR="00A07D92" w:rsidRDefault="00495E63">
      <w:pPr>
        <w:keepNext/>
        <w:keepLines/>
        <w:spacing w:before="40"/>
        <w:ind w:left="709" w:hanging="721"/>
        <w:outlineLvl w:val="2"/>
        <w:rPr>
          <w:rFonts w:cstheme="majorBidi"/>
          <w:color w:val="54883D"/>
          <w:sz w:val="28"/>
          <w:lang w:bidi="en-US"/>
        </w:rPr>
      </w:pPr>
      <w:bookmarkStart w:id="415" w:name="_Toc136522893"/>
      <w:r>
        <w:rPr>
          <w:rFonts w:cstheme="majorBidi"/>
          <w:color w:val="54883D"/>
          <w:sz w:val="28"/>
          <w:lang w:bidi="en-US"/>
        </w:rPr>
        <w:t>6.9.2 Uvod</w:t>
      </w:r>
      <w:bookmarkEnd w:id="415"/>
    </w:p>
    <w:p w:rsidR="00A07D92" w:rsidRDefault="00495E63">
      <w:r>
        <w:t xml:space="preserve">Na području Grada Malog Lošinja postoji mogućnost nastanka tehničko-tehnološke nesreće u </w:t>
      </w:r>
      <w:r>
        <w:t>cestovnom prometu i na lokaciji aerodroma.</w:t>
      </w:r>
    </w:p>
    <w:p w:rsidR="00A07D92" w:rsidRDefault="00495E63">
      <w:r>
        <w:t>Cestovni promet opasnim tvarima u Gradu ne smatra se gustim, a što je uzrokovalo njegovim položajem. Od opasnih tvari na ovom području prevoze se naftni derivati za opskrbu benzinskih postaja koje se nalaze na ovo</w:t>
      </w:r>
      <w:r>
        <w:t>m području, te ostalih subjekata koji koriste naftne derivate za grijanje, otpadne vode i ulja iz brodogradilišta.</w:t>
      </w:r>
    </w:p>
    <w:p w:rsidR="00A07D92" w:rsidRDefault="00495E63">
      <w:r>
        <w:t>Luke na području Grada uglavnom su se prestale koristiti za prekrcaj tereta te se danas u njima odvija pretežno putnički promet. Luka Mali Lo</w:t>
      </w:r>
      <w:r>
        <w:t>šinj otvorena je za javni promet (županijski značaj) do je ostalih 12 luka otvorenih za javni promet lokalnog značenja. Sve postojeće luke koje su otvorene za javni promet ograničenog su kapaciteta i mogućnosti za prihvat modernih i većih plovnih jedinica.</w:t>
      </w:r>
      <w:r>
        <w:t xml:space="preserve"> Budući da </w:t>
      </w:r>
      <w:proofErr w:type="spellStart"/>
      <w:r>
        <w:t>akvatorijem</w:t>
      </w:r>
      <w:proofErr w:type="spellEnd"/>
      <w:r>
        <w:t xml:space="preserve"> Grada ne prolaze veći brodovi koji prevoze opasan teret, smanjena je mogućnost nastanka havarije brodova koji bi doveli do velikih nesreća.</w:t>
      </w:r>
    </w:p>
    <w:p w:rsidR="00A07D92" w:rsidRDefault="00495E63">
      <w:r>
        <w:t>Međunarodni aerodrom Lošinj smješten je na središnjem dijelu otoka Lošinja, a od Malog Lošinj</w:t>
      </w:r>
      <w:r>
        <w:t>a udaljen je oko 8 kilometara. Na aerodrom mogu sletjeti zrakoplovi kapaciteta do 40 metara. Od opasnih tvari na lokaciji nalaze se dva podzemna spremnika kapaciteta 50 m</w:t>
      </w:r>
      <w:r>
        <w:rPr>
          <w:vertAlign w:val="superscript"/>
        </w:rPr>
        <w:t>3</w:t>
      </w:r>
      <w:r>
        <w:t xml:space="preserve"> (</w:t>
      </w:r>
      <w:proofErr w:type="spellStart"/>
      <w:r>
        <w:t>aviation</w:t>
      </w:r>
      <w:proofErr w:type="spellEnd"/>
      <w:r>
        <w:t xml:space="preserve"> gas i </w:t>
      </w:r>
      <w:proofErr w:type="spellStart"/>
      <w:r>
        <w:t>jet</w:t>
      </w:r>
      <w:proofErr w:type="spellEnd"/>
      <w:r>
        <w:t xml:space="preserve"> </w:t>
      </w:r>
      <w:proofErr w:type="spellStart"/>
      <w:r>
        <w:t>fuel</w:t>
      </w:r>
      <w:proofErr w:type="spellEnd"/>
      <w:r>
        <w:t>). Potencijalnu opasnost predstavlja prekrcaj goriva iz auto</w:t>
      </w:r>
      <w:r>
        <w:t>cisterne. S obzirom na udaljenost od naseljenih područja, u slučaju tehničko-tehnološke nesreće, bila bi ugrožena infrastruktura aerodroma te ljudi koji se u to vrijeme zateknu na lokaciji aerodroma.</w:t>
      </w:r>
    </w:p>
    <w:p w:rsidR="00A07D92" w:rsidRDefault="00A07D92"/>
    <w:p w:rsidR="00A07D92" w:rsidRDefault="00495E63">
      <w:pPr>
        <w:keepNext/>
        <w:keepLines/>
        <w:spacing w:before="40"/>
        <w:ind w:left="709" w:hanging="721"/>
        <w:outlineLvl w:val="2"/>
        <w:rPr>
          <w:rFonts w:cstheme="majorBidi"/>
          <w:color w:val="54883D"/>
          <w:sz w:val="28"/>
          <w:lang w:bidi="en-US"/>
        </w:rPr>
      </w:pPr>
      <w:bookmarkStart w:id="416" w:name="_Toc136522894"/>
      <w:r>
        <w:rPr>
          <w:rFonts w:cstheme="majorBidi"/>
          <w:color w:val="54883D"/>
          <w:sz w:val="28"/>
          <w:lang w:bidi="en-US"/>
        </w:rPr>
        <w:t>6.9.3 Prikaz utjecaja na kritičnu strukturu</w:t>
      </w:r>
      <w:bookmarkEnd w:id="416"/>
    </w:p>
    <w:tbl>
      <w:tblPr>
        <w:tblStyle w:val="GridTable6ColorfulAccent3"/>
        <w:tblW w:w="9060" w:type="dxa"/>
        <w:tblLook w:val="04A0" w:firstRow="1" w:lastRow="0" w:firstColumn="1" w:lastColumn="0" w:noHBand="0" w:noVBand="1"/>
      </w:tblPr>
      <w:tblGrid>
        <w:gridCol w:w="1270"/>
        <w:gridCol w:w="7790"/>
      </w:tblGrid>
      <w:tr w:rsidR="00A07D92" w:rsidTr="00A07D9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sz w:val="20"/>
                <w:szCs w:val="20"/>
              </w:rPr>
            </w:pPr>
            <w:r>
              <w:rPr>
                <w:color w:val="76923C" w:themeColor="accent3" w:themeShade="BF"/>
                <w:sz w:val="20"/>
                <w:szCs w:val="20"/>
              </w:rPr>
              <w:t>UTJECAJ</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SEKTOR</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Komunikacijska i informacijska tehnologija (elektroničke komunikacije, prijenos podataka, informacijski sustavi, pružanje audio i audiovizualnih usluga)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color w:val="auto"/>
                <w:sz w:val="20"/>
                <w:szCs w:val="20"/>
              </w:rPr>
            </w:pPr>
            <w:r>
              <w:rPr>
                <w:color w:val="76923C" w:themeColor="accent3" w:themeShade="BF"/>
                <w:sz w:val="20"/>
                <w:szCs w:val="20"/>
              </w:rPr>
              <w:t>x</w:t>
            </w: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Prijevoz opasnih tvari (kemijski, biološki, radiološki i</w:t>
            </w:r>
            <w:r>
              <w:rPr>
                <w:color w:val="76923C" w:themeColor="accent3" w:themeShade="BF"/>
                <w:sz w:val="20"/>
                <w:szCs w:val="20"/>
              </w:rPr>
              <w:t xml:space="preserve"> nuklearni materijali)</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civilna zaštita, hitna medicinska pomoć)</w:t>
            </w:r>
          </w:p>
        </w:tc>
      </w:tr>
      <w:tr w:rsidR="00A07D92" w:rsidTr="00A07D92">
        <w:tc>
          <w:tcPr>
            <w:cnfStyle w:val="001000000000" w:firstRow="0" w:lastRow="0" w:firstColumn="1" w:lastColumn="0" w:oddVBand="0" w:evenVBand="0" w:oddHBand="0" w:evenHBand="0" w:firstRowFirstColumn="0" w:firstRowLastColumn="0" w:lastRowFirstColumn="0" w:lastRowLastColumn="0"/>
            <w:tcW w:w="12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color w:val="auto"/>
                <w:sz w:val="20"/>
                <w:szCs w:val="20"/>
              </w:rPr>
            </w:pPr>
          </w:p>
        </w:tc>
        <w:tc>
          <w:tcPr>
            <w:tcW w:w="778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rsidR="00A07D92" w:rsidRDefault="00A07D92"/>
    <w:p w:rsidR="00A07D92" w:rsidRDefault="00495E63">
      <w:pPr>
        <w:keepNext/>
        <w:keepLines/>
        <w:spacing w:before="40"/>
        <w:ind w:left="709" w:hanging="721"/>
        <w:outlineLvl w:val="2"/>
        <w:rPr>
          <w:rFonts w:cstheme="majorBidi"/>
          <w:color w:val="54883D"/>
          <w:sz w:val="28"/>
          <w:lang w:bidi="en-US"/>
        </w:rPr>
      </w:pPr>
      <w:bookmarkStart w:id="417" w:name="_Toc136522895"/>
      <w:r>
        <w:rPr>
          <w:rFonts w:cstheme="majorBidi"/>
          <w:color w:val="54883D"/>
          <w:sz w:val="28"/>
          <w:lang w:bidi="en-US"/>
        </w:rPr>
        <w:t>6.9.4 Kontekst</w:t>
      </w:r>
      <w:bookmarkEnd w:id="417"/>
    </w:p>
    <w:p w:rsidR="00A07D92" w:rsidRDefault="00495E63">
      <w:pPr>
        <w:spacing w:after="0"/>
        <w:rPr>
          <w:color w:val="auto"/>
          <w:szCs w:val="22"/>
        </w:rPr>
      </w:pPr>
      <w:r>
        <w:rPr>
          <w:color w:val="auto"/>
          <w:szCs w:val="22"/>
        </w:rPr>
        <w:t>Prilikom prijevoza opasnih tvari cisternom prema benzinskim postajama postoji mogu</w:t>
      </w:r>
      <w:r>
        <w:rPr>
          <w:color w:val="auto"/>
          <w:szCs w:val="22"/>
        </w:rPr>
        <w:t xml:space="preserve">ćnost izlijevanja naftnih derivata u more. Kako bi se štetne posljedice svele na minimum, navedene benzinske postaje trebaju imati Plan intervencija kod iznenadnog onečišćenja mora. </w:t>
      </w:r>
    </w:p>
    <w:p w:rsidR="00A07D92" w:rsidRDefault="00495E63">
      <w:pPr>
        <w:spacing w:after="0"/>
        <w:rPr>
          <w:color w:val="auto"/>
          <w:szCs w:val="22"/>
        </w:rPr>
      </w:pPr>
      <w:r>
        <w:rPr>
          <w:color w:val="auto"/>
          <w:szCs w:val="22"/>
        </w:rPr>
        <w:t xml:space="preserve">Posebnu opasnost predstavlja izlijevanje opasnih tvari u blizini </w:t>
      </w:r>
      <w:r>
        <w:rPr>
          <w:color w:val="auto"/>
          <w:szCs w:val="22"/>
        </w:rPr>
        <w:t xml:space="preserve">vodoopskrbnih objekata. Odnosi se na magistralni opskrbni cjevovod uz </w:t>
      </w:r>
      <w:proofErr w:type="spellStart"/>
      <w:r>
        <w:rPr>
          <w:color w:val="auto"/>
          <w:szCs w:val="22"/>
        </w:rPr>
        <w:t>držvanu</w:t>
      </w:r>
      <w:proofErr w:type="spellEnd"/>
      <w:r>
        <w:rPr>
          <w:color w:val="auto"/>
          <w:szCs w:val="22"/>
        </w:rPr>
        <w:t xml:space="preserve"> cestu DC100. uz navedenu cestu nalaze se vodospreme „</w:t>
      </w:r>
      <w:proofErr w:type="spellStart"/>
      <w:r>
        <w:rPr>
          <w:color w:val="auto"/>
          <w:szCs w:val="22"/>
        </w:rPr>
        <w:t>Osor</w:t>
      </w:r>
      <w:proofErr w:type="spellEnd"/>
      <w:r>
        <w:rPr>
          <w:color w:val="auto"/>
          <w:szCs w:val="22"/>
        </w:rPr>
        <w:t>“, „</w:t>
      </w:r>
      <w:proofErr w:type="spellStart"/>
      <w:r>
        <w:rPr>
          <w:color w:val="auto"/>
          <w:szCs w:val="22"/>
        </w:rPr>
        <w:t>Nerezine</w:t>
      </w:r>
      <w:proofErr w:type="spellEnd"/>
      <w:r>
        <w:rPr>
          <w:color w:val="auto"/>
          <w:szCs w:val="22"/>
        </w:rPr>
        <w:t>“, „Sv. Jakov“, „</w:t>
      </w:r>
      <w:proofErr w:type="spellStart"/>
      <w:r>
        <w:rPr>
          <w:color w:val="auto"/>
          <w:szCs w:val="22"/>
        </w:rPr>
        <w:t>Ćunski</w:t>
      </w:r>
      <w:proofErr w:type="spellEnd"/>
      <w:r>
        <w:rPr>
          <w:color w:val="auto"/>
          <w:szCs w:val="22"/>
        </w:rPr>
        <w:t>“, uz županijsku cestu ŽC 5159 vodosprema „</w:t>
      </w:r>
      <w:proofErr w:type="spellStart"/>
      <w:r>
        <w:rPr>
          <w:color w:val="auto"/>
          <w:szCs w:val="22"/>
        </w:rPr>
        <w:t>Čikat</w:t>
      </w:r>
      <w:proofErr w:type="spellEnd"/>
      <w:r>
        <w:rPr>
          <w:color w:val="auto"/>
          <w:szCs w:val="22"/>
        </w:rPr>
        <w:t>“ uz ŽC 5158 vodosprema „Kalvarija“, u</w:t>
      </w:r>
      <w:r>
        <w:rPr>
          <w:color w:val="auto"/>
          <w:szCs w:val="22"/>
        </w:rPr>
        <w:t>z državnu cestu DC 100 vodosprema „</w:t>
      </w:r>
      <w:proofErr w:type="spellStart"/>
      <w:r>
        <w:rPr>
          <w:color w:val="auto"/>
          <w:szCs w:val="22"/>
        </w:rPr>
        <w:t>V.Lošinj</w:t>
      </w:r>
      <w:proofErr w:type="spellEnd"/>
      <w:r>
        <w:rPr>
          <w:color w:val="auto"/>
          <w:szCs w:val="22"/>
        </w:rPr>
        <w:t>“, te uz lokalnu cestu LC 58101 vodosprema „</w:t>
      </w:r>
      <w:proofErr w:type="spellStart"/>
      <w:r>
        <w:rPr>
          <w:color w:val="auto"/>
          <w:szCs w:val="22"/>
        </w:rPr>
        <w:t>Gmožaj</w:t>
      </w:r>
      <w:proofErr w:type="spellEnd"/>
      <w:r>
        <w:rPr>
          <w:color w:val="auto"/>
          <w:szCs w:val="22"/>
        </w:rPr>
        <w:t xml:space="preserve">“. Na području Grada ne postoje veće i </w:t>
      </w:r>
      <w:proofErr w:type="spellStart"/>
      <w:r>
        <w:rPr>
          <w:color w:val="auto"/>
          <w:szCs w:val="22"/>
        </w:rPr>
        <w:t>znalajnije</w:t>
      </w:r>
      <w:proofErr w:type="spellEnd"/>
      <w:r>
        <w:rPr>
          <w:color w:val="auto"/>
          <w:szCs w:val="22"/>
        </w:rPr>
        <w:t xml:space="preserve"> vodene površine koje bi bile ugrožene eventualnim izlijevanjem opasnih tvari uslijed nesreće u cestovnom prometu.</w:t>
      </w:r>
    </w:p>
    <w:p w:rsidR="00A07D92" w:rsidRDefault="00A07D92">
      <w:pPr>
        <w:spacing w:after="0"/>
        <w:rPr>
          <w:color w:val="auto"/>
          <w:szCs w:val="22"/>
        </w:rPr>
      </w:pPr>
    </w:p>
    <w:p w:rsidR="00A07D92" w:rsidRDefault="00A07D92">
      <w:pPr>
        <w:jc w:val="center"/>
        <w:rPr>
          <w:iCs/>
          <w:color w:val="54883D"/>
          <w:sz w:val="20"/>
          <w:lang w:bidi="en-US"/>
        </w:rPr>
      </w:pPr>
    </w:p>
    <w:p w:rsidR="00A07D92" w:rsidRDefault="00495E63">
      <w:pPr>
        <w:keepNext/>
        <w:keepLines/>
        <w:tabs>
          <w:tab w:val="left" w:pos="0"/>
        </w:tabs>
        <w:spacing w:before="40"/>
        <w:outlineLvl w:val="2"/>
        <w:rPr>
          <w:rFonts w:cstheme="majorBidi"/>
          <w:color w:val="54883D"/>
          <w:sz w:val="28"/>
          <w:lang w:bidi="en-US"/>
        </w:rPr>
      </w:pPr>
      <w:bookmarkStart w:id="418" w:name="_Toc136522896"/>
      <w:r>
        <w:rPr>
          <w:rFonts w:cstheme="majorBidi"/>
          <w:color w:val="54883D"/>
          <w:sz w:val="28"/>
          <w:lang w:bidi="en-US"/>
        </w:rPr>
        <w:t>6.9.5 Uzrok</w:t>
      </w:r>
      <w:bookmarkEnd w:id="418"/>
    </w:p>
    <w:p w:rsidR="00A07D92" w:rsidRDefault="00495E63">
      <w:pPr>
        <w:rPr>
          <w:szCs w:val="22"/>
        </w:rPr>
      </w:pPr>
      <w:r>
        <w:rPr>
          <w:szCs w:val="22"/>
        </w:rPr>
        <w:t>Uslijed kvara, ljudske pogreške ili prirodne nepogode dolazi do nesreće u cestovnom prometu prilikom prijevoza naftnih derivata. Dolazi do brzog ispuštanja zapaljive tvari. Tvar kojoj je temperatura ključanja viša od temperature okoline, isp</w:t>
      </w:r>
      <w:r>
        <w:rPr>
          <w:szCs w:val="22"/>
        </w:rPr>
        <w:t xml:space="preserve">rava sporije, prethodno formirajući lokvu na tlu te nastaje oblak pare koji se širi </w:t>
      </w:r>
      <w:proofErr w:type="spellStart"/>
      <w:r>
        <w:rPr>
          <w:szCs w:val="22"/>
        </w:rPr>
        <w:t>atomosferom</w:t>
      </w:r>
      <w:proofErr w:type="spellEnd"/>
      <w:r>
        <w:rPr>
          <w:szCs w:val="22"/>
        </w:rPr>
        <w:t xml:space="preserve">. U određenim koncentracijama i u doticaju sa zrakom nastaje eksplozivna smjesa i uz </w:t>
      </w:r>
      <w:proofErr w:type="spellStart"/>
      <w:r>
        <w:rPr>
          <w:szCs w:val="22"/>
        </w:rPr>
        <w:t>prisustvo</w:t>
      </w:r>
      <w:proofErr w:type="spellEnd"/>
      <w:r>
        <w:rPr>
          <w:szCs w:val="22"/>
        </w:rPr>
        <w:t xml:space="preserve"> iskre ili plamena dolazi do požara ili eksplozije.</w:t>
      </w:r>
    </w:p>
    <w:p w:rsidR="00A07D92" w:rsidRDefault="00A07D92">
      <w:pPr>
        <w:spacing w:before="0" w:after="0"/>
        <w:rPr>
          <w:u w:val="single"/>
        </w:rPr>
      </w:pPr>
    </w:p>
    <w:p w:rsidR="00A07D92" w:rsidRDefault="00495E63">
      <w:pPr>
        <w:rPr>
          <w:u w:val="single"/>
        </w:rPr>
      </w:pPr>
      <w:r>
        <w:rPr>
          <w:u w:val="single"/>
        </w:rPr>
        <w:t xml:space="preserve">RAZVOJ </w:t>
      </w:r>
      <w:r>
        <w:rPr>
          <w:u w:val="single"/>
        </w:rPr>
        <w:t>DOGAĐAJA KOJI JE PRETHODIO VELIKOJ NESREĆI</w:t>
      </w:r>
    </w:p>
    <w:p w:rsidR="00A07D92" w:rsidRDefault="00495E63">
      <w:pPr>
        <w:spacing w:before="0" w:after="0"/>
      </w:pPr>
      <w:r>
        <w:t>Uslijed kvara, ljudske pogreške ili prirodne nepogode dolazi do brzog ispuštanja opasne tvari (smjesa plina i aerosoli). Ovisno o dostignuću koncentracije opasne tvari u zraku nastati će negativne zdravstvene posl</w:t>
      </w:r>
      <w:r>
        <w:t>jedice po ljude ili životna ugroženost.</w:t>
      </w:r>
    </w:p>
    <w:p w:rsidR="00A07D92" w:rsidRDefault="00495E63">
      <w:pPr>
        <w:rPr>
          <w:u w:val="single"/>
        </w:rPr>
      </w:pPr>
      <w:r>
        <w:rPr>
          <w:u w:val="single"/>
        </w:rPr>
        <w:t>OKIDAČ KOJI JE UZROKOVAO VELIKU NESREĆU</w:t>
      </w:r>
    </w:p>
    <w:p w:rsidR="00A07D92" w:rsidRDefault="00495E63">
      <w:pPr>
        <w:spacing w:before="0" w:after="0"/>
        <w:rPr>
          <w:lang w:bidi="en-US"/>
        </w:rPr>
      </w:pPr>
      <w:r>
        <w:rPr>
          <w:lang w:bidi="en-US"/>
        </w:rPr>
        <w:t xml:space="preserve">Uz </w:t>
      </w:r>
      <w:proofErr w:type="spellStart"/>
      <w:r>
        <w:rPr>
          <w:lang w:bidi="en-US"/>
        </w:rPr>
        <w:t>prisustvo</w:t>
      </w:r>
      <w:proofErr w:type="spellEnd"/>
      <w:r>
        <w:rPr>
          <w:lang w:bidi="en-US"/>
        </w:rPr>
        <w:t xml:space="preserve"> uzročnika paljenja dolazi do eksplozije plinske faze opasne tvari.</w:t>
      </w:r>
    </w:p>
    <w:p w:rsidR="00A07D92" w:rsidRDefault="00495E63">
      <w:pPr>
        <w:keepNext/>
        <w:keepLines/>
        <w:tabs>
          <w:tab w:val="left" w:pos="0"/>
        </w:tabs>
        <w:spacing w:before="40"/>
        <w:outlineLvl w:val="2"/>
        <w:rPr>
          <w:rFonts w:cstheme="majorBidi"/>
          <w:iCs/>
          <w:color w:val="54883D"/>
          <w:sz w:val="28"/>
          <w:lang w:bidi="en-US"/>
        </w:rPr>
      </w:pPr>
      <w:bookmarkStart w:id="419" w:name="_Toc136522897"/>
      <w:r>
        <w:rPr>
          <w:rFonts w:cstheme="majorBidi"/>
          <w:iCs/>
          <w:color w:val="54883D"/>
          <w:sz w:val="28"/>
          <w:lang w:bidi="en-US"/>
        </w:rPr>
        <w:lastRenderedPageBreak/>
        <w:t>6.9.6 Događaj s najgorim mogućim posljedicama</w:t>
      </w:r>
      <w:bookmarkEnd w:id="419"/>
    </w:p>
    <w:p w:rsidR="00A07D92" w:rsidRDefault="00495E63">
      <w:pPr>
        <w:rPr>
          <w:lang w:bidi="en-US"/>
        </w:rPr>
      </w:pPr>
      <w:r>
        <w:rPr>
          <w:lang w:bidi="en-US"/>
        </w:rPr>
        <w:t>Najgori mogući slučaj definira se kao ispuštanje n</w:t>
      </w:r>
      <w:r>
        <w:rPr>
          <w:lang w:bidi="en-US"/>
        </w:rPr>
        <w:t xml:space="preserve">ajveće količine opasne tvari iz jednog procesa koje rezultira najvećom udaljenošću od mjesta ispuštanja do granice opasnosti za danu opasnu tvar. Zone ugroženosti računaju se za najgori mogući slučaj (tzv. </w:t>
      </w:r>
      <w:proofErr w:type="spellStart"/>
      <w:r>
        <w:rPr>
          <w:lang w:bidi="en-US"/>
        </w:rPr>
        <w:t>Worst</w:t>
      </w:r>
      <w:proofErr w:type="spellEnd"/>
      <w:r>
        <w:rPr>
          <w:lang w:bidi="en-US"/>
        </w:rPr>
        <w:t>-</w:t>
      </w:r>
      <w:proofErr w:type="spellStart"/>
      <w:r>
        <w:rPr>
          <w:lang w:bidi="en-US"/>
        </w:rPr>
        <w:t>case</w:t>
      </w:r>
      <w:proofErr w:type="spellEnd"/>
      <w:r>
        <w:rPr>
          <w:lang w:bidi="en-US"/>
        </w:rPr>
        <w:t>) koji se može dogoditi na lokaciji post</w:t>
      </w:r>
      <w:r>
        <w:rPr>
          <w:lang w:bidi="en-US"/>
        </w:rPr>
        <w:t>rojenja.</w:t>
      </w:r>
    </w:p>
    <w:p w:rsidR="00A07D92" w:rsidRDefault="00495E63">
      <w:pPr>
        <w:rPr>
          <w:i/>
          <w:iCs/>
          <w:color w:val="54883D"/>
          <w:lang w:bidi="en-US"/>
        </w:rPr>
      </w:pPr>
      <w:r>
        <w:rPr>
          <w:i/>
          <w:iCs/>
          <w:color w:val="54883D"/>
          <w:lang w:bidi="en-US"/>
        </w:rPr>
        <w:t xml:space="preserve">Scenarij </w:t>
      </w:r>
    </w:p>
    <w:p w:rsidR="00A07D92" w:rsidRDefault="00495E63">
      <w:pPr>
        <w:rPr>
          <w:lang w:bidi="en-US"/>
        </w:rPr>
      </w:pPr>
      <w:r>
        <w:rPr>
          <w:lang w:bidi="en-US"/>
        </w:rPr>
        <w:t>Prilikom prijevoza autocisterne s naftnim derivatima došlo je do prevrtanja autocisterne i ispuštanja čitave količine naftnih derivata iz pune autocisterne (15 tona) i stvaranje zapaljivog oblaka para. Uz prisutnost iskre ili plamena dol</w:t>
      </w:r>
      <w:r>
        <w:rPr>
          <w:lang w:bidi="en-US"/>
        </w:rPr>
        <w:t>azi do zapaljenja i nastanka požara na lokaciji.</w:t>
      </w:r>
    </w:p>
    <w:p w:rsidR="00A07D92" w:rsidRDefault="00495E63">
      <w:pPr>
        <w:rPr>
          <w:iCs/>
          <w:color w:val="auto"/>
          <w:szCs w:val="22"/>
          <w:lang w:bidi="en-US"/>
        </w:rPr>
      </w:pPr>
      <w:proofErr w:type="spellStart"/>
      <w:r>
        <w:rPr>
          <w:lang w:bidi="en-US"/>
        </w:rPr>
        <w:t>Vjetojatnost</w:t>
      </w:r>
      <w:proofErr w:type="spellEnd"/>
      <w:r>
        <w:rPr>
          <w:lang w:bidi="en-US"/>
        </w:rPr>
        <w:t xml:space="preserve"> da na lokaciji u blizini srednje škole dođe do nesreće koja uključuje istjecanje i zapaljenje opasne tekućine je mala, no ipak nije nemoguća pa se treba obratiti posebnu pozornost s obzirom da s</w:t>
      </w:r>
      <w:r>
        <w:rPr>
          <w:lang w:bidi="en-US"/>
        </w:rPr>
        <w:t xml:space="preserve">e na lokaciji nalazi srednja škola, a u neposrednoj blizini osnovna škola i vrtić. </w:t>
      </w:r>
      <w:r>
        <w:rPr>
          <w:iCs/>
          <w:color w:val="auto"/>
          <w:szCs w:val="22"/>
          <w:lang w:bidi="en-US"/>
        </w:rPr>
        <w:t>Za provedbu ove analize pretpostavljeni su sljedeći atmosferski uvjeti:</w:t>
      </w:r>
    </w:p>
    <w:p w:rsidR="00A07D92" w:rsidRDefault="00495E63">
      <w:pPr>
        <w:spacing w:after="0"/>
        <w:jc w:val="center"/>
        <w:rPr>
          <w:i/>
          <w:color w:val="54883D"/>
          <w:sz w:val="20"/>
          <w:szCs w:val="18"/>
        </w:rPr>
      </w:pPr>
      <w:r>
        <w:rPr>
          <w:i/>
          <w:color w:val="54883D"/>
          <w:sz w:val="20"/>
          <w:szCs w:val="18"/>
        </w:rPr>
        <w:t xml:space="preserve">Tablica </w:t>
      </w:r>
      <w:r>
        <w:rPr>
          <w:i/>
          <w:color w:val="54883D"/>
          <w:sz w:val="20"/>
          <w:szCs w:val="18"/>
        </w:rPr>
        <w:fldChar w:fldCharType="begin"/>
      </w:r>
      <w:r>
        <w:rPr>
          <w:i/>
          <w:sz w:val="20"/>
          <w:szCs w:val="18"/>
        </w:rPr>
        <w:instrText>SEQ Tablica \* ARABIC</w:instrText>
      </w:r>
      <w:r>
        <w:rPr>
          <w:i/>
          <w:sz w:val="20"/>
          <w:szCs w:val="18"/>
        </w:rPr>
        <w:fldChar w:fldCharType="separate"/>
      </w:r>
      <w:r>
        <w:rPr>
          <w:i/>
          <w:sz w:val="20"/>
          <w:szCs w:val="18"/>
        </w:rPr>
        <w:t>4</w:t>
      </w:r>
      <w:r>
        <w:rPr>
          <w:i/>
          <w:sz w:val="20"/>
          <w:szCs w:val="18"/>
        </w:rPr>
        <w:fldChar w:fldCharType="end"/>
      </w:r>
      <w:r>
        <w:rPr>
          <w:i/>
          <w:color w:val="54883D"/>
          <w:sz w:val="20"/>
          <w:szCs w:val="18"/>
        </w:rPr>
        <w:t>. Lokacijske značajke i meteorološki uvjeti</w:t>
      </w:r>
    </w:p>
    <w:tbl>
      <w:tblPr>
        <w:tblStyle w:val="Reetkatablice"/>
        <w:tblpPr w:leftFromText="180" w:rightFromText="180" w:vertAnchor="text" w:tblpXSpec="center" w:tblpY="1"/>
        <w:tblW w:w="8070" w:type="dxa"/>
        <w:jc w:val="center"/>
        <w:tblLook w:val="04A0" w:firstRow="1" w:lastRow="0" w:firstColumn="1" w:lastColumn="0" w:noHBand="0" w:noVBand="1"/>
      </w:tblPr>
      <w:tblGrid>
        <w:gridCol w:w="3675"/>
        <w:gridCol w:w="4395"/>
      </w:tblGrid>
      <w:tr w:rsidR="00A07D92">
        <w:trPr>
          <w:trHeight w:val="412"/>
          <w:tblHeader/>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rFonts w:ascii="Times New Roman" w:hAnsi="Times New Roman" w:cs="Times New Roman"/>
                <w:sz w:val="24"/>
                <w:lang w:eastAsia="hr-HR"/>
              </w:rPr>
            </w:pPr>
            <w:r>
              <w:rPr>
                <w:rFonts w:ascii="Times New Roman" w:hAnsi="Times New Roman" w:cs="Times New Roman"/>
                <w:sz w:val="20"/>
              </w:rPr>
              <w:t>Najveća udaljenost na ko</w:t>
            </w:r>
            <w:r>
              <w:rPr>
                <w:rFonts w:ascii="Times New Roman" w:hAnsi="Times New Roman" w:cs="Times New Roman"/>
                <w:sz w:val="20"/>
              </w:rPr>
              <w:t>joj se razmatra utjecaj - niz vjetar (m)</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rFonts w:ascii="Times New Roman" w:hAnsi="Times New Roman" w:cs="Times New Roman"/>
                <w:sz w:val="24"/>
                <w:lang w:eastAsia="hr-HR"/>
              </w:rPr>
            </w:pPr>
            <w:r>
              <w:rPr>
                <w:rFonts w:ascii="Times New Roman" w:hAnsi="Times New Roman" w:cs="Times New Roman"/>
                <w:sz w:val="20"/>
              </w:rPr>
              <w:t>1000</w:t>
            </w:r>
          </w:p>
        </w:tc>
      </w:tr>
      <w:tr w:rsidR="00A07D92">
        <w:trPr>
          <w:trHeight w:val="307"/>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rFonts w:ascii="Times New Roman" w:hAnsi="Times New Roman" w:cs="Times New Roman"/>
                <w:sz w:val="24"/>
                <w:lang w:eastAsia="hr-HR"/>
              </w:rPr>
            </w:pPr>
            <w:r>
              <w:rPr>
                <w:rFonts w:ascii="Times New Roman" w:hAnsi="Times New Roman" w:cs="Times New Roman"/>
                <w:sz w:val="20"/>
              </w:rPr>
              <w:t>Topografija terena</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rFonts w:ascii="Times New Roman" w:hAnsi="Times New Roman" w:cs="Times New Roman"/>
                <w:sz w:val="24"/>
                <w:lang w:eastAsia="hr-HR"/>
              </w:rPr>
            </w:pPr>
            <w:r>
              <w:rPr>
                <w:rFonts w:ascii="Times New Roman" w:hAnsi="Times New Roman" w:cs="Times New Roman"/>
                <w:sz w:val="20"/>
              </w:rPr>
              <w:t>Urbano</w:t>
            </w:r>
          </w:p>
        </w:tc>
      </w:tr>
      <w:tr w:rsidR="00A07D92">
        <w:trPr>
          <w:trHeight w:val="265"/>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rFonts w:ascii="Times New Roman" w:hAnsi="Times New Roman" w:cs="Times New Roman"/>
                <w:sz w:val="24"/>
                <w:lang w:eastAsia="hr-HR"/>
              </w:rPr>
            </w:pPr>
            <w:r>
              <w:rPr>
                <w:rFonts w:ascii="Times New Roman" w:hAnsi="Times New Roman" w:cs="Times New Roman"/>
                <w:sz w:val="20"/>
              </w:rPr>
              <w:t xml:space="preserve">Klasa stabilnosti </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rFonts w:ascii="Times New Roman" w:hAnsi="Times New Roman" w:cs="Times New Roman"/>
                <w:sz w:val="24"/>
                <w:lang w:eastAsia="hr-HR"/>
              </w:rPr>
            </w:pPr>
            <w:r>
              <w:rPr>
                <w:rFonts w:ascii="Times New Roman" w:hAnsi="Times New Roman" w:cs="Times New Roman"/>
                <w:sz w:val="20"/>
              </w:rPr>
              <w:t>F (stabilno) za najgori mogući slučaj</w:t>
            </w:r>
          </w:p>
          <w:p w:rsidR="00A07D92" w:rsidRDefault="00495E63">
            <w:pPr>
              <w:spacing w:after="120" w:line="240" w:lineRule="auto"/>
              <w:jc w:val="center"/>
              <w:rPr>
                <w:rFonts w:ascii="Times New Roman" w:hAnsi="Times New Roman" w:cs="Times New Roman"/>
                <w:sz w:val="24"/>
                <w:lang w:eastAsia="hr-HR"/>
              </w:rPr>
            </w:pPr>
            <w:r>
              <w:rPr>
                <w:rFonts w:ascii="Times New Roman" w:hAnsi="Times New Roman" w:cs="Times New Roman"/>
                <w:sz w:val="20"/>
              </w:rPr>
              <w:t>D (neutralno) za alternativni scenarij</w:t>
            </w:r>
          </w:p>
        </w:tc>
      </w:tr>
      <w:tr w:rsidR="00A07D92">
        <w:trPr>
          <w:trHeight w:val="265"/>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rFonts w:ascii="Times New Roman" w:hAnsi="Times New Roman" w:cs="Times New Roman"/>
                <w:sz w:val="24"/>
                <w:lang w:eastAsia="hr-HR"/>
              </w:rPr>
            </w:pPr>
            <w:r>
              <w:rPr>
                <w:rFonts w:ascii="Times New Roman" w:hAnsi="Times New Roman" w:cs="Times New Roman"/>
                <w:sz w:val="20"/>
              </w:rPr>
              <w:t>Brzina vjetra (m/s)</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rFonts w:ascii="Times New Roman" w:hAnsi="Times New Roman" w:cs="Times New Roman"/>
                <w:sz w:val="24"/>
                <w:lang w:eastAsia="hr-HR"/>
              </w:rPr>
            </w:pPr>
            <w:r>
              <w:rPr>
                <w:rFonts w:ascii="Times New Roman" w:hAnsi="Times New Roman" w:cs="Times New Roman"/>
                <w:sz w:val="20"/>
              </w:rPr>
              <w:t xml:space="preserve">1,5 </w:t>
            </w:r>
          </w:p>
        </w:tc>
      </w:tr>
      <w:tr w:rsidR="00A07D92">
        <w:trPr>
          <w:trHeight w:val="265"/>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rFonts w:ascii="Times New Roman" w:hAnsi="Times New Roman" w:cs="Times New Roman"/>
                <w:sz w:val="24"/>
                <w:lang w:eastAsia="hr-HR"/>
              </w:rPr>
            </w:pPr>
            <w:r>
              <w:rPr>
                <w:rFonts w:ascii="Times New Roman" w:hAnsi="Times New Roman" w:cs="Times New Roman"/>
                <w:sz w:val="20"/>
              </w:rPr>
              <w:t>Temperatura (</w:t>
            </w:r>
            <w:r>
              <w:rPr>
                <w:rFonts w:ascii="Times New Roman" w:hAnsi="Times New Roman" w:cs="Times New Roman"/>
                <w:sz w:val="20"/>
                <w:szCs w:val="20"/>
              </w:rPr>
              <w:t>°C)</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rFonts w:ascii="Times New Roman" w:hAnsi="Times New Roman" w:cs="Times New Roman"/>
                <w:sz w:val="24"/>
                <w:lang w:eastAsia="hr-HR"/>
              </w:rPr>
            </w:pPr>
            <w:r>
              <w:rPr>
                <w:rFonts w:ascii="Times New Roman" w:hAnsi="Times New Roman" w:cs="Times New Roman"/>
                <w:sz w:val="20"/>
                <w:szCs w:val="20"/>
                <w:lang w:eastAsia="hr-HR"/>
              </w:rPr>
              <w:t xml:space="preserve">20 </w:t>
            </w:r>
            <w:r>
              <w:rPr>
                <w:rFonts w:ascii="Times New Roman" w:hAnsi="Times New Roman" w:cs="Times New Roman"/>
                <w:sz w:val="20"/>
                <w:szCs w:val="20"/>
              </w:rPr>
              <w:t>°C</w:t>
            </w:r>
          </w:p>
        </w:tc>
      </w:tr>
      <w:tr w:rsidR="00A07D92">
        <w:trPr>
          <w:trHeight w:val="265"/>
          <w:jc w:val="center"/>
        </w:trPr>
        <w:tc>
          <w:tcPr>
            <w:tcW w:w="3675"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rPr>
                <w:rFonts w:ascii="Times New Roman" w:hAnsi="Times New Roman" w:cs="Times New Roman"/>
                <w:sz w:val="24"/>
                <w:lang w:eastAsia="hr-HR"/>
              </w:rPr>
            </w:pPr>
            <w:r>
              <w:rPr>
                <w:rFonts w:ascii="Times New Roman" w:hAnsi="Times New Roman" w:cs="Times New Roman"/>
                <w:sz w:val="20"/>
              </w:rPr>
              <w:t>Relativna vlažnost (%)</w:t>
            </w:r>
          </w:p>
        </w:tc>
        <w:tc>
          <w:tcPr>
            <w:tcW w:w="4394" w:type="dxa"/>
            <w:tcBorders>
              <w:top w:val="single" w:sz="8" w:space="0" w:color="54883D"/>
              <w:left w:val="single" w:sz="8" w:space="0" w:color="54883D"/>
              <w:bottom w:val="single" w:sz="8" w:space="0" w:color="54883D"/>
              <w:right w:val="single" w:sz="8" w:space="0" w:color="54883D"/>
            </w:tcBorders>
            <w:shd w:val="clear" w:color="auto" w:fill="FFFFFF" w:themeFill="background1"/>
            <w:vAlign w:val="center"/>
          </w:tcPr>
          <w:p w:rsidR="00A07D92" w:rsidRDefault="00495E63">
            <w:pPr>
              <w:spacing w:after="120" w:line="240" w:lineRule="auto"/>
              <w:jc w:val="center"/>
              <w:rPr>
                <w:rFonts w:ascii="Times New Roman" w:hAnsi="Times New Roman" w:cs="Times New Roman"/>
                <w:sz w:val="24"/>
                <w:lang w:eastAsia="hr-HR"/>
              </w:rPr>
            </w:pPr>
            <w:r>
              <w:rPr>
                <w:rFonts w:ascii="Times New Roman" w:hAnsi="Times New Roman" w:cs="Times New Roman"/>
                <w:sz w:val="20"/>
              </w:rPr>
              <w:t>50</w:t>
            </w:r>
          </w:p>
        </w:tc>
      </w:tr>
    </w:tbl>
    <w:p w:rsidR="00A07D92" w:rsidRDefault="00A07D92">
      <w:pPr>
        <w:rPr>
          <w:lang w:bidi="en-US"/>
        </w:rPr>
      </w:pPr>
    </w:p>
    <w:p w:rsidR="00A07D92" w:rsidRDefault="00A07D92">
      <w:pPr>
        <w:keepNext/>
        <w:spacing w:after="0"/>
        <w:jc w:val="center"/>
        <w:rPr>
          <w:b/>
          <w:bCs/>
          <w:i/>
          <w:color w:val="54883D"/>
          <w:sz w:val="20"/>
          <w:szCs w:val="18"/>
        </w:rPr>
      </w:pPr>
    </w:p>
    <w:p w:rsidR="00A07D92" w:rsidRDefault="00495E63">
      <w:pPr>
        <w:keepNext/>
        <w:spacing w:after="0"/>
        <w:jc w:val="center"/>
        <w:rPr>
          <w:i/>
          <w:color w:val="54883D"/>
          <w:sz w:val="20"/>
          <w:szCs w:val="18"/>
        </w:rPr>
      </w:pPr>
      <w:r>
        <w:rPr>
          <w:i/>
          <w:color w:val="54883D"/>
          <w:sz w:val="20"/>
          <w:szCs w:val="18"/>
        </w:rPr>
        <w:t xml:space="preserve">Tablica </w:t>
      </w:r>
      <w:r>
        <w:rPr>
          <w:i/>
          <w:color w:val="54883D"/>
          <w:sz w:val="20"/>
          <w:szCs w:val="18"/>
        </w:rPr>
        <w:fldChar w:fldCharType="begin"/>
      </w:r>
      <w:r>
        <w:rPr>
          <w:i/>
          <w:sz w:val="20"/>
          <w:szCs w:val="18"/>
        </w:rPr>
        <w:instrText>SEQ Tablica \* ARABIC</w:instrText>
      </w:r>
      <w:r>
        <w:rPr>
          <w:i/>
          <w:sz w:val="20"/>
          <w:szCs w:val="18"/>
        </w:rPr>
        <w:fldChar w:fldCharType="separate"/>
      </w:r>
      <w:r>
        <w:rPr>
          <w:i/>
          <w:sz w:val="20"/>
          <w:szCs w:val="18"/>
        </w:rPr>
        <w:t>5</w:t>
      </w:r>
      <w:r>
        <w:rPr>
          <w:i/>
          <w:sz w:val="20"/>
          <w:szCs w:val="18"/>
        </w:rPr>
        <w:fldChar w:fldCharType="end"/>
      </w:r>
      <w:r>
        <w:rPr>
          <w:i/>
          <w:color w:val="54883D"/>
          <w:sz w:val="20"/>
          <w:szCs w:val="18"/>
        </w:rPr>
        <w:t>. Zone utjecaja prema definiranim graničnim koncentracijama</w:t>
      </w:r>
    </w:p>
    <w:tbl>
      <w:tblPr>
        <w:tblW w:w="7940" w:type="dxa"/>
        <w:jc w:val="center"/>
        <w:shd w:val="clear" w:color="auto" w:fill="FFFFFF"/>
        <w:tblLook w:val="04A0" w:firstRow="1" w:lastRow="0" w:firstColumn="1" w:lastColumn="0" w:noHBand="0" w:noVBand="1"/>
      </w:tblPr>
      <w:tblGrid>
        <w:gridCol w:w="1559"/>
        <w:gridCol w:w="6381"/>
      </w:tblGrid>
      <w:tr w:rsidR="00A07D92">
        <w:trPr>
          <w:trHeight w:val="398"/>
          <w:jc w:val="center"/>
        </w:trPr>
        <w:tc>
          <w:tcPr>
            <w:tcW w:w="7939" w:type="dxa"/>
            <w:gridSpan w:val="2"/>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rsidR="00A07D92" w:rsidRDefault="00495E63">
            <w:pPr>
              <w:spacing w:after="0" w:line="360" w:lineRule="auto"/>
              <w:jc w:val="center"/>
              <w:rPr>
                <w:rFonts w:cstheme="minorHAnsi"/>
                <w:b/>
                <w:smallCaps/>
                <w:color w:val="FFFFFF"/>
                <w:sz w:val="20"/>
              </w:rPr>
            </w:pPr>
            <w:r>
              <w:rPr>
                <w:rFonts w:cstheme="minorHAnsi"/>
                <w:b/>
                <w:smallCaps/>
                <w:sz w:val="20"/>
              </w:rPr>
              <w:t>Zona ugroženosti</w:t>
            </w:r>
          </w:p>
        </w:tc>
      </w:tr>
      <w:tr w:rsidR="00A07D92">
        <w:trPr>
          <w:trHeight w:val="398"/>
          <w:jc w:val="center"/>
        </w:trPr>
        <w:tc>
          <w:tcPr>
            <w:tcW w:w="1559"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Autospacing="1" w:after="0"/>
              <w:rPr>
                <w:rFonts w:cstheme="minorHAnsi"/>
                <w:b/>
                <w:sz w:val="20"/>
              </w:rPr>
            </w:pPr>
            <w:r>
              <w:rPr>
                <w:rFonts w:cstheme="minorHAnsi"/>
                <w:b/>
                <w:sz w:val="20"/>
              </w:rPr>
              <w:t>Crvena:</w:t>
            </w:r>
          </w:p>
        </w:tc>
        <w:tc>
          <w:tcPr>
            <w:tcW w:w="6380"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rsidR="00A07D92" w:rsidRDefault="00495E63">
            <w:pPr>
              <w:spacing w:after="0" w:line="240" w:lineRule="auto"/>
              <w:rPr>
                <w:rFonts w:cstheme="minorHAnsi"/>
                <w:sz w:val="20"/>
                <w:lang w:bidi="en-US"/>
              </w:rPr>
            </w:pPr>
            <w:r>
              <w:rPr>
                <w:rFonts w:cstheme="minorHAnsi"/>
                <w:sz w:val="20"/>
                <w:lang w:bidi="en-US"/>
              </w:rPr>
              <w:t xml:space="preserve"> 10 kW/m</w:t>
            </w:r>
            <w:r>
              <w:rPr>
                <w:rFonts w:cstheme="minorHAnsi"/>
                <w:sz w:val="20"/>
                <w:vertAlign w:val="superscript"/>
                <w:lang w:bidi="en-US"/>
              </w:rPr>
              <w:t>2</w:t>
            </w:r>
            <w:r>
              <w:rPr>
                <w:rFonts w:cstheme="minorHAnsi"/>
                <w:sz w:val="20"/>
                <w:lang w:bidi="en-US"/>
              </w:rPr>
              <w:tab/>
              <w:t xml:space="preserve">40 m – zona visoke smrtnosti </w:t>
            </w:r>
          </w:p>
        </w:tc>
      </w:tr>
      <w:tr w:rsidR="00A07D92">
        <w:trPr>
          <w:trHeight w:val="380"/>
          <w:jc w:val="center"/>
        </w:trPr>
        <w:tc>
          <w:tcPr>
            <w:tcW w:w="1559" w:type="dxa"/>
            <w:tcBorders>
              <w:top w:val="single" w:sz="4" w:space="0" w:color="54883D"/>
              <w:left w:val="single" w:sz="4" w:space="0" w:color="54883D"/>
              <w:bottom w:val="single" w:sz="4" w:space="0" w:color="54883D"/>
              <w:right w:val="single" w:sz="4" w:space="0" w:color="54883D"/>
            </w:tcBorders>
            <w:shd w:val="clear" w:color="auto" w:fill="E36C0A" w:themeFill="accent6" w:themeFillShade="BF"/>
            <w:vAlign w:val="center"/>
          </w:tcPr>
          <w:p w:rsidR="00A07D92" w:rsidRDefault="00495E63">
            <w:pPr>
              <w:spacing w:beforeAutospacing="1" w:after="0"/>
              <w:rPr>
                <w:rFonts w:cstheme="minorHAnsi"/>
                <w:b/>
                <w:sz w:val="20"/>
              </w:rPr>
            </w:pPr>
            <w:r>
              <w:rPr>
                <w:rFonts w:cstheme="minorHAnsi"/>
                <w:b/>
                <w:sz w:val="20"/>
              </w:rPr>
              <w:t>Narančasta:</w:t>
            </w:r>
          </w:p>
        </w:tc>
        <w:tc>
          <w:tcPr>
            <w:tcW w:w="6380"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rsidR="00A07D92" w:rsidRDefault="00495E63">
            <w:pPr>
              <w:spacing w:after="0" w:line="240" w:lineRule="auto"/>
              <w:rPr>
                <w:rFonts w:cstheme="minorHAnsi"/>
                <w:sz w:val="20"/>
                <w:lang w:bidi="en-US"/>
              </w:rPr>
            </w:pPr>
            <w:r>
              <w:rPr>
                <w:rFonts w:cstheme="minorHAnsi"/>
                <w:sz w:val="20"/>
                <w:lang w:bidi="en-US"/>
              </w:rPr>
              <w:t>5,0 kW/m</w:t>
            </w:r>
            <w:r>
              <w:rPr>
                <w:rFonts w:cstheme="minorHAnsi"/>
                <w:sz w:val="20"/>
                <w:vertAlign w:val="superscript"/>
                <w:lang w:bidi="en-US"/>
              </w:rPr>
              <w:t>2</w:t>
            </w:r>
            <w:r>
              <w:rPr>
                <w:rFonts w:cstheme="minorHAnsi"/>
                <w:sz w:val="20"/>
                <w:lang w:bidi="en-US"/>
              </w:rPr>
              <w:tab/>
              <w:t>50 m – zona smrtnosti</w:t>
            </w:r>
          </w:p>
        </w:tc>
      </w:tr>
      <w:tr w:rsidR="00A07D92">
        <w:trPr>
          <w:trHeight w:val="398"/>
          <w:jc w:val="center"/>
        </w:trPr>
        <w:tc>
          <w:tcPr>
            <w:tcW w:w="1559"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Autospacing="1" w:after="0"/>
              <w:rPr>
                <w:rFonts w:cstheme="minorHAnsi"/>
                <w:b/>
                <w:sz w:val="20"/>
              </w:rPr>
            </w:pPr>
            <w:r>
              <w:rPr>
                <w:rFonts w:cstheme="minorHAnsi"/>
                <w:b/>
                <w:sz w:val="20"/>
              </w:rPr>
              <w:t>Žuta:</w:t>
            </w:r>
          </w:p>
        </w:tc>
        <w:tc>
          <w:tcPr>
            <w:tcW w:w="6380"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rsidR="00A07D92" w:rsidRDefault="00495E63">
            <w:pPr>
              <w:spacing w:after="0"/>
              <w:rPr>
                <w:rFonts w:cstheme="minorHAnsi"/>
                <w:sz w:val="20"/>
              </w:rPr>
            </w:pPr>
            <w:r>
              <w:rPr>
                <w:rFonts w:cstheme="minorHAnsi"/>
                <w:sz w:val="20"/>
                <w:lang w:bidi="en-US"/>
              </w:rPr>
              <w:t>2,0 kW/m</w:t>
            </w:r>
            <w:r>
              <w:rPr>
                <w:rFonts w:cstheme="minorHAnsi"/>
                <w:sz w:val="20"/>
                <w:vertAlign w:val="superscript"/>
                <w:lang w:bidi="en-US"/>
              </w:rPr>
              <w:t>2</w:t>
            </w:r>
            <w:r>
              <w:rPr>
                <w:rFonts w:cstheme="minorHAnsi"/>
                <w:sz w:val="20"/>
                <w:lang w:bidi="en-US"/>
              </w:rPr>
              <w:tab/>
              <w:t>75 m – zona trajnih posljedica</w:t>
            </w:r>
          </w:p>
        </w:tc>
      </w:tr>
    </w:tbl>
    <w:p w:rsidR="00A07D92" w:rsidRDefault="00A07D92">
      <w:pPr>
        <w:rPr>
          <w:lang w:bidi="en-US"/>
        </w:rPr>
      </w:pPr>
    </w:p>
    <w:p w:rsidR="00A07D92" w:rsidRDefault="00495E63">
      <w:pPr>
        <w:jc w:val="center"/>
        <w:rPr>
          <w:color w:val="FF0000"/>
        </w:rPr>
      </w:pPr>
      <w:r>
        <w:rPr>
          <w:noProof/>
          <w:lang w:eastAsia="hr-HR"/>
        </w:rPr>
        <w:lastRenderedPageBreak/>
        <w:drawing>
          <wp:inline distT="0" distB="0" distL="0" distR="0">
            <wp:extent cx="5647055" cy="4102735"/>
            <wp:effectExtent l="0" t="0" r="0" b="0"/>
            <wp:docPr id="166" name="Slik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lika29"/>
                    <pic:cNvPicPr>
                      <a:picLocks noChangeAspect="1" noChangeArrowheads="1"/>
                    </pic:cNvPicPr>
                  </pic:nvPicPr>
                  <pic:blipFill>
                    <a:blip r:embed="rId142"/>
                    <a:stretch>
                      <a:fillRect/>
                    </a:stretch>
                  </pic:blipFill>
                  <pic:spPr bwMode="auto">
                    <a:xfrm>
                      <a:off x="0" y="0"/>
                      <a:ext cx="5647055" cy="4102735"/>
                    </a:xfrm>
                    <a:prstGeom prst="rect">
                      <a:avLst/>
                    </a:prstGeom>
                  </pic:spPr>
                </pic:pic>
              </a:graphicData>
            </a:graphic>
          </wp:inline>
        </w:drawing>
      </w:r>
    </w:p>
    <w:p w:rsidR="00A07D92" w:rsidRDefault="00495E63">
      <w:pPr>
        <w:spacing w:after="0"/>
        <w:jc w:val="center"/>
        <w:rPr>
          <w:i/>
          <w:color w:val="54883D"/>
          <w:sz w:val="20"/>
          <w:szCs w:val="18"/>
        </w:rPr>
      </w:pPr>
      <w:r>
        <w:rPr>
          <w:i/>
          <w:color w:val="54883D"/>
          <w:sz w:val="20"/>
          <w:szCs w:val="18"/>
        </w:rPr>
        <w:t xml:space="preserve">Slika </w:t>
      </w:r>
      <w:r>
        <w:rPr>
          <w:i/>
          <w:color w:val="54883D"/>
          <w:sz w:val="20"/>
          <w:szCs w:val="18"/>
        </w:rPr>
        <w:fldChar w:fldCharType="begin"/>
      </w:r>
      <w:r>
        <w:rPr>
          <w:i/>
          <w:sz w:val="20"/>
          <w:szCs w:val="18"/>
        </w:rPr>
        <w:instrText>SEQ Slika \* ARABIC</w:instrText>
      </w:r>
      <w:r>
        <w:rPr>
          <w:i/>
          <w:sz w:val="20"/>
          <w:szCs w:val="18"/>
        </w:rPr>
        <w:fldChar w:fldCharType="separate"/>
      </w:r>
      <w:r>
        <w:rPr>
          <w:i/>
          <w:sz w:val="20"/>
          <w:szCs w:val="18"/>
        </w:rPr>
        <w:t>46</w:t>
      </w:r>
      <w:r>
        <w:rPr>
          <w:i/>
          <w:sz w:val="20"/>
          <w:szCs w:val="18"/>
        </w:rPr>
        <w:fldChar w:fldCharType="end"/>
      </w:r>
      <w:r>
        <w:rPr>
          <w:i/>
          <w:color w:val="54883D"/>
          <w:sz w:val="20"/>
          <w:szCs w:val="18"/>
        </w:rPr>
        <w:t xml:space="preserve">. Zone ugroženosti u slučaju nesreće </w:t>
      </w:r>
    </w:p>
    <w:p w:rsidR="00A07D92" w:rsidRDefault="00A07D92">
      <w:pPr>
        <w:rPr>
          <w:lang w:bidi="en-US"/>
        </w:rPr>
      </w:pPr>
    </w:p>
    <w:p w:rsidR="00A07D92" w:rsidRDefault="00495E63">
      <w:pPr>
        <w:rPr>
          <w:lang w:bidi="en-US"/>
        </w:rPr>
      </w:pPr>
      <w:r>
        <w:rPr>
          <w:lang w:bidi="en-US"/>
        </w:rPr>
        <w:t xml:space="preserve">U zoni od 40 metara od mjesta događaja možemo očekivati smrtne slučajeve u roku od 60 sekundi od trenutka akcidenta, u zoni od 50 metara od mjesta događaja možemo očekivati ozlijeđene s </w:t>
      </w:r>
      <w:r>
        <w:rPr>
          <w:lang w:bidi="en-US"/>
        </w:rPr>
        <w:t>opeklinama drugog stupnja te će svi prisutni u zoni od 75 metara u roku od 60 sekundi od trenutka akcidenta osjećati bol.</w:t>
      </w:r>
    </w:p>
    <w:p w:rsidR="00A07D92" w:rsidRDefault="00495E63">
      <w:pPr>
        <w:rPr>
          <w:i/>
          <w:iCs/>
          <w:color w:val="54883D"/>
        </w:rPr>
      </w:pPr>
      <w:r>
        <w:rPr>
          <w:i/>
          <w:iCs/>
          <w:color w:val="54883D"/>
        </w:rPr>
        <w:t>Posljedice</w:t>
      </w:r>
    </w:p>
    <w:p w:rsidR="00A07D92" w:rsidRDefault="00495E63">
      <w:pPr>
        <w:rPr>
          <w:u w:val="single"/>
        </w:rPr>
      </w:pPr>
      <w:r>
        <w:rPr>
          <w:u w:val="single"/>
        </w:rPr>
        <w:t>Život i zdravlje ljudi</w:t>
      </w:r>
    </w:p>
    <w:p w:rsidR="00A07D92" w:rsidRDefault="00495E63">
      <w:r>
        <w:t>U slučaju najgoreg mogućeg scenarija (čija vjerojatnost je malena) zapaljenja naftnih derivata iz au</w:t>
      </w:r>
      <w:r>
        <w:t>tocisterne prilikom nastanka nesreće u cestovnom prometu u blizini škola i dječjeg vrtića ugroženo bi bilo oko 400 osoba.</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79</w:t>
      </w:r>
      <w:r>
        <w:rPr>
          <w:rFonts w:eastAsia="Calibri"/>
          <w:bCs/>
          <w:sz w:val="20"/>
          <w:szCs w:val="18"/>
        </w:rPr>
        <w:fldChar w:fldCharType="end"/>
      </w:r>
      <w:r>
        <w:rPr>
          <w:rFonts w:eastAsia="Calibri"/>
          <w:bCs/>
          <w:color w:val="54883D"/>
          <w:sz w:val="20"/>
          <w:szCs w:val="18"/>
          <w:lang w:bidi="en-US"/>
        </w:rPr>
        <w:t xml:space="preserve">.Vrijednost kriterija za posljedice na život i zdravlje ljudi po kategorijama – tehničko-tehnološke </w:t>
      </w:r>
      <w:r>
        <w:rPr>
          <w:rFonts w:eastAsia="Calibri"/>
          <w:bCs/>
          <w:color w:val="54883D"/>
          <w:sz w:val="20"/>
          <w:szCs w:val="18"/>
          <w:lang w:bidi="en-US"/>
        </w:rPr>
        <w:t>nesreće</w:t>
      </w:r>
    </w:p>
    <w:tbl>
      <w:tblPr>
        <w:tblStyle w:val="ivopisnatablicareetke6-isticanje3121"/>
        <w:tblW w:w="8332" w:type="dxa"/>
        <w:jc w:val="center"/>
        <w:tblLook w:val="04A0" w:firstRow="1" w:lastRow="0" w:firstColumn="1" w:lastColumn="0" w:noHBand="0" w:noVBand="1"/>
      </w:tblPr>
      <w:tblGrid>
        <w:gridCol w:w="1528"/>
        <w:gridCol w:w="2566"/>
        <w:gridCol w:w="2252"/>
        <w:gridCol w:w="1986"/>
      </w:tblGrid>
      <w:tr w:rsidR="00A07D92" w:rsidTr="00A07D92">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BROJ UGROŽENIH OSOBA %</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1.</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&lt; 0,001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07D92" w:rsidTr="00A07D92">
        <w:trPr>
          <w:trHeight w:val="243"/>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2.</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0,001 – 0,0046</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3.</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0,0047 – 0,011</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trHeight w:val="231"/>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4.</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0,012 – 0,035</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5.</w:t>
            </w:r>
          </w:p>
        </w:tc>
        <w:tc>
          <w:tcPr>
            <w:tcW w:w="256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25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0,036 &gt;</w:t>
            </w:r>
          </w:p>
        </w:tc>
        <w:tc>
          <w:tcPr>
            <w:tcW w:w="198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bl>
    <w:p w:rsidR="00A07D92" w:rsidRDefault="00A07D92">
      <w:pPr>
        <w:rPr>
          <w:u w:val="single"/>
        </w:rPr>
      </w:pPr>
    </w:p>
    <w:p w:rsidR="00A07D92" w:rsidRDefault="00495E63">
      <w:pPr>
        <w:rPr>
          <w:u w:val="single"/>
        </w:rPr>
      </w:pPr>
      <w:r>
        <w:rPr>
          <w:u w:val="single"/>
        </w:rPr>
        <w:lastRenderedPageBreak/>
        <w:t>Gospodarstvo</w:t>
      </w:r>
    </w:p>
    <w:p w:rsidR="00A07D92" w:rsidRDefault="00495E63">
      <w:pPr>
        <w:rPr>
          <w:iCs/>
          <w:color w:val="auto"/>
        </w:rPr>
      </w:pPr>
      <w:r>
        <w:rPr>
          <w:rStyle w:val="Jakoisticanje"/>
          <w:i w:val="0"/>
          <w:color w:val="auto"/>
        </w:rPr>
        <w:t xml:space="preserve">Za očekivati je da bi došlo do značajne </w:t>
      </w:r>
      <w:r>
        <w:rPr>
          <w:rStyle w:val="Jakoisticanje"/>
          <w:i w:val="0"/>
          <w:color w:val="auto"/>
        </w:rPr>
        <w:t>materijalne štete na cestovnoj infrastrukturi, okolnim stambenim i poslovnim objektima. Očekuje se materijalna šteta na stambenim/poslovnim objektima koji se nalaze u zonama ugroženosti.</w:t>
      </w:r>
    </w:p>
    <w:p w:rsidR="00A07D92" w:rsidRDefault="00495E63">
      <w:pPr>
        <w:jc w:val="center"/>
        <w:rPr>
          <w:iCs/>
          <w:color w:val="54883D"/>
          <w:sz w:val="20"/>
        </w:rPr>
      </w:pPr>
      <w:r>
        <w:rPr>
          <w:iCs/>
          <w:color w:val="54883D"/>
          <w:sz w:val="20"/>
        </w:rPr>
        <w:t xml:space="preserve">Tablica </w:t>
      </w:r>
      <w:r>
        <w:rPr>
          <w:iCs/>
          <w:color w:val="54883D"/>
          <w:sz w:val="20"/>
        </w:rPr>
        <w:fldChar w:fldCharType="begin"/>
      </w:r>
      <w:r>
        <w:rPr>
          <w:iCs/>
          <w:sz w:val="20"/>
        </w:rPr>
        <w:instrText>SEQ Tabela \* ARABIC</w:instrText>
      </w:r>
      <w:r>
        <w:rPr>
          <w:iCs/>
          <w:sz w:val="20"/>
        </w:rPr>
        <w:fldChar w:fldCharType="separate"/>
      </w:r>
      <w:r>
        <w:rPr>
          <w:iCs/>
          <w:sz w:val="20"/>
        </w:rPr>
        <w:t>80</w:t>
      </w:r>
      <w:r>
        <w:rPr>
          <w:iCs/>
          <w:sz w:val="20"/>
        </w:rPr>
        <w:fldChar w:fldCharType="end"/>
      </w:r>
      <w:r>
        <w:rPr>
          <w:iCs/>
          <w:color w:val="54883D"/>
          <w:sz w:val="20"/>
        </w:rPr>
        <w:t xml:space="preserve">.Vrijednost kriterija za posljedice </w:t>
      </w:r>
      <w:r>
        <w:rPr>
          <w:iCs/>
          <w:color w:val="54883D"/>
          <w:sz w:val="20"/>
        </w:rPr>
        <w:t>na gospodarstvo po kategorijama – tehničko-tehnološke nesreće</w:t>
      </w:r>
    </w:p>
    <w:tbl>
      <w:tblPr>
        <w:tblStyle w:val="ivopisnatablicareetke6-isticanje333"/>
        <w:tblW w:w="9052" w:type="dxa"/>
        <w:jc w:val="center"/>
        <w:tblLook w:val="04A0" w:firstRow="1" w:lastRow="0" w:firstColumn="1" w:lastColumn="0" w:noHBand="0" w:noVBand="1"/>
      </w:tblPr>
      <w:tblGrid>
        <w:gridCol w:w="1528"/>
        <w:gridCol w:w="2294"/>
        <w:gridCol w:w="3402"/>
        <w:gridCol w:w="1828"/>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82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1.</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2.</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3.</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4.</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 xml:space="preserve">2.757.798,30 – </w:t>
            </w:r>
            <w:r>
              <w:rPr>
                <w:color w:val="auto"/>
                <w:sz w:val="20"/>
                <w:szCs w:val="20"/>
              </w:rPr>
              <w:t>4.596.330,50</w:t>
            </w:r>
          </w:p>
        </w:tc>
        <w:tc>
          <w:tcPr>
            <w:tcW w:w="1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5.</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402"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82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spacing w:after="0"/>
        <w:rPr>
          <w:u w:val="single"/>
        </w:rPr>
      </w:pPr>
    </w:p>
    <w:p w:rsidR="00A07D92" w:rsidRDefault="00495E63">
      <w:pPr>
        <w:spacing w:after="0"/>
        <w:rPr>
          <w:u w:val="single"/>
        </w:rPr>
      </w:pPr>
      <w:r>
        <w:rPr>
          <w:u w:val="single"/>
        </w:rPr>
        <w:t>Društvena stabilnost i politika</w:t>
      </w:r>
    </w:p>
    <w:p w:rsidR="00A07D92" w:rsidRDefault="00495E63">
      <w:pPr>
        <w:rPr>
          <w:rFonts w:eastAsiaTheme="minorHAnsi"/>
          <w:b/>
          <w:u w:val="single"/>
        </w:rPr>
      </w:pPr>
      <w:r>
        <w:rPr>
          <w:rFonts w:eastAsiaTheme="minorHAnsi"/>
          <w:b/>
          <w:u w:val="single"/>
        </w:rPr>
        <w:t>Posljedice po kritičnu infrastrukturu:</w:t>
      </w:r>
    </w:p>
    <w:p w:rsidR="00A07D92" w:rsidRDefault="00495E63">
      <w:pPr>
        <w:spacing w:before="120" w:after="120"/>
        <w:ind w:right="74"/>
        <w:rPr>
          <w:i/>
          <w:iCs/>
          <w:color w:val="54883D"/>
        </w:rPr>
      </w:pPr>
      <w:r>
        <w:rPr>
          <w:i/>
          <w:iCs/>
          <w:color w:val="54883D"/>
        </w:rPr>
        <w:t>Proizvodnja, skladištenje i prijevoz opasnih tvari</w:t>
      </w:r>
    </w:p>
    <w:p w:rsidR="00A07D92" w:rsidRDefault="00495E63">
      <w:pPr>
        <w:spacing w:before="120" w:after="120"/>
        <w:ind w:right="74"/>
      </w:pPr>
      <w:r>
        <w:t>Na kritičnim cestovnim prometnicama moglo bi doći do zatvaranja prometa.</w:t>
      </w:r>
    </w:p>
    <w:p w:rsidR="00A07D92" w:rsidRDefault="00495E63">
      <w:pPr>
        <w:spacing w:before="120" w:after="120"/>
        <w:ind w:right="74"/>
        <w:rPr>
          <w:i/>
          <w:iCs/>
          <w:color w:val="54883D"/>
        </w:rPr>
      </w:pPr>
      <w:r>
        <w:rPr>
          <w:i/>
          <w:iCs/>
          <w:color w:val="54883D"/>
        </w:rPr>
        <w:t>Promet</w:t>
      </w:r>
    </w:p>
    <w:p w:rsidR="00A07D92" w:rsidRDefault="00495E63">
      <w:pPr>
        <w:spacing w:after="0"/>
        <w:rPr>
          <w:szCs w:val="20"/>
        </w:rPr>
      </w:pPr>
      <w:r>
        <w:rPr>
          <w:szCs w:val="20"/>
        </w:rPr>
        <w:t>Ovisno o razmjerima katastrofe, odnosno vrsti i količini opasnih tvari koje se prevoze, može doći do prekida prometa kao i do oštećenja samih prometnica na kojima bi eventualno došlo do nesreće.</w:t>
      </w:r>
    </w:p>
    <w:p w:rsidR="00A07D92" w:rsidRDefault="00495E63">
      <w:pPr>
        <w:spacing w:after="0"/>
        <w:rPr>
          <w:i/>
          <w:iCs/>
          <w:color w:val="54883D"/>
          <w:szCs w:val="20"/>
        </w:rPr>
      </w:pPr>
      <w:r>
        <w:rPr>
          <w:i/>
          <w:iCs/>
          <w:color w:val="54883D"/>
          <w:szCs w:val="20"/>
        </w:rPr>
        <w:t xml:space="preserve">Nacionalni spomenici </w:t>
      </w:r>
    </w:p>
    <w:p w:rsidR="00A07D92" w:rsidRDefault="00495E63">
      <w:pPr>
        <w:spacing w:after="0"/>
        <w:rPr>
          <w:color w:val="auto"/>
          <w:szCs w:val="20"/>
        </w:rPr>
      </w:pPr>
      <w:r>
        <w:rPr>
          <w:color w:val="auto"/>
          <w:szCs w:val="20"/>
        </w:rPr>
        <w:t>Ovisno o veličini tehničko-tehnološke n</w:t>
      </w:r>
      <w:r>
        <w:rPr>
          <w:color w:val="auto"/>
          <w:szCs w:val="20"/>
        </w:rPr>
        <w:t>esreće postoji mogućnost ugrožavanja objekata na području znanosti, spomenika i drugih nacionalnih vrijednosti.</w:t>
      </w:r>
    </w:p>
    <w:p w:rsidR="00A07D92" w:rsidRDefault="00A07D92">
      <w:pPr>
        <w:spacing w:before="0" w:after="0"/>
        <w:rPr>
          <w:rFonts w:eastAsia="Calibri"/>
          <w:bCs/>
          <w:color w:val="54883D"/>
          <w:sz w:val="20"/>
          <w:szCs w:val="18"/>
          <w:lang w:bidi="en-US"/>
        </w:rPr>
      </w:pP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81</w:t>
      </w:r>
      <w:r>
        <w:rPr>
          <w:rFonts w:eastAsia="Calibri"/>
          <w:bCs/>
          <w:sz w:val="20"/>
          <w:szCs w:val="18"/>
        </w:rPr>
        <w:fldChar w:fldCharType="end"/>
      </w:r>
      <w:r>
        <w:rPr>
          <w:rFonts w:eastAsia="Calibri"/>
          <w:bCs/>
          <w:color w:val="54883D"/>
          <w:sz w:val="20"/>
          <w:szCs w:val="18"/>
          <w:lang w:bidi="en-US"/>
        </w:rPr>
        <w:t>.Vrijednost kriterija za posljedice na društvenu stabilnost i politiku</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 oštećena kritična infrastruktura – </w:t>
      </w:r>
      <w:r>
        <w:rPr>
          <w:rFonts w:eastAsia="Calibri"/>
          <w:bCs/>
          <w:color w:val="54883D"/>
          <w:sz w:val="20"/>
          <w:szCs w:val="18"/>
          <w:lang w:bidi="en-US"/>
        </w:rPr>
        <w:t>tehničko-tehnološke nesreće</w:t>
      </w:r>
    </w:p>
    <w:tbl>
      <w:tblPr>
        <w:tblStyle w:val="ivopisnatablicareetke6-isticanje333"/>
        <w:tblW w:w="8910" w:type="dxa"/>
        <w:jc w:val="center"/>
        <w:tblLook w:val="04A0" w:firstRow="1" w:lastRow="0" w:firstColumn="1" w:lastColumn="0" w:noHBand="0" w:noVBand="1"/>
      </w:tblPr>
      <w:tblGrid>
        <w:gridCol w:w="1528"/>
        <w:gridCol w:w="2294"/>
        <w:gridCol w:w="3259"/>
        <w:gridCol w:w="182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8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1.</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2.</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3.</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4.</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5.</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rPr>
          <w:rFonts w:eastAsiaTheme="minorHAnsi"/>
          <w:b/>
          <w:u w:val="single"/>
        </w:rPr>
      </w:pPr>
    </w:p>
    <w:p w:rsidR="00A07D92" w:rsidRDefault="00495E63">
      <w:pPr>
        <w:rPr>
          <w:rFonts w:eastAsiaTheme="minorHAnsi"/>
          <w:b/>
          <w:u w:val="single"/>
        </w:rPr>
      </w:pPr>
      <w:r>
        <w:rPr>
          <w:rFonts w:eastAsiaTheme="minorHAnsi"/>
          <w:b/>
          <w:u w:val="single"/>
        </w:rPr>
        <w:t>Posljedice po građevine javnog društvenog značaja:</w:t>
      </w:r>
    </w:p>
    <w:p w:rsidR="00A07D92" w:rsidRDefault="00495E63">
      <w:pPr>
        <w:spacing w:before="0" w:after="0"/>
        <w:rPr>
          <w:rFonts w:eastAsia="Calibri"/>
          <w:bCs/>
          <w:color w:val="54883D"/>
          <w:sz w:val="20"/>
          <w:szCs w:val="18"/>
          <w:lang w:bidi="en-US"/>
        </w:rPr>
      </w:pPr>
      <w:r>
        <w:t xml:space="preserve">U slučaju tehničko-tehnološke nesreće neće doći do </w:t>
      </w:r>
      <w:proofErr w:type="spellStart"/>
      <w:r>
        <w:t>posljeldica</w:t>
      </w:r>
      <w:proofErr w:type="spellEnd"/>
      <w:r>
        <w:t xml:space="preserve"> na građevinama javnog društvenog značaja te se ne očekuje zastoj u obavljanju djelatnosti navedenih građevina/ustanova.</w:t>
      </w:r>
    </w:p>
    <w:p w:rsidR="00A07D92" w:rsidRDefault="00A07D92">
      <w:pPr>
        <w:spacing w:before="0" w:after="0"/>
        <w:jc w:val="center"/>
        <w:rPr>
          <w:rFonts w:eastAsia="Calibri"/>
          <w:bCs/>
          <w:color w:val="54883D"/>
          <w:sz w:val="20"/>
          <w:szCs w:val="18"/>
          <w:lang w:bidi="en-US"/>
        </w:rPr>
      </w:pPr>
    </w:p>
    <w:p w:rsidR="00A07D92" w:rsidRDefault="00A07D92">
      <w:pPr>
        <w:spacing w:before="0" w:after="0"/>
        <w:jc w:val="center"/>
        <w:rPr>
          <w:rFonts w:eastAsia="Calibri"/>
          <w:bCs/>
          <w:color w:val="54883D"/>
          <w:sz w:val="20"/>
          <w:szCs w:val="18"/>
          <w:lang w:bidi="en-US"/>
        </w:rPr>
      </w:pP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lastRenderedPageBreak/>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82</w:t>
      </w:r>
      <w:r>
        <w:rPr>
          <w:rFonts w:eastAsia="Calibri"/>
          <w:bCs/>
          <w:sz w:val="20"/>
          <w:szCs w:val="18"/>
        </w:rPr>
        <w:fldChar w:fldCharType="end"/>
      </w:r>
      <w:r>
        <w:rPr>
          <w:rFonts w:eastAsia="Calibri"/>
          <w:bCs/>
          <w:color w:val="54883D"/>
          <w:sz w:val="20"/>
          <w:szCs w:val="18"/>
          <w:lang w:bidi="en-US"/>
        </w:rPr>
        <w:t xml:space="preserve">..Vrijednost kriterija za posljedice na društvenu stabilnost i politiku </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 - štete/gubitci na ustanovama/građevinama javnog društvenog značaja – tehničko-tehnološke nesreće</w:t>
      </w:r>
    </w:p>
    <w:tbl>
      <w:tblPr>
        <w:tblStyle w:val="ivopisnatablicareetke6-isticanje333"/>
        <w:tblW w:w="8910" w:type="dxa"/>
        <w:jc w:val="center"/>
        <w:tblLook w:val="04A0" w:firstRow="1" w:lastRow="0" w:firstColumn="1" w:lastColumn="0" w:noHBand="0" w:noVBand="1"/>
      </w:tblPr>
      <w:tblGrid>
        <w:gridCol w:w="1528"/>
        <w:gridCol w:w="2294"/>
        <w:gridCol w:w="3259"/>
        <w:gridCol w:w="1829"/>
      </w:tblGrid>
      <w:tr w:rsidR="00A07D92" w:rsidTr="00A07D9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color w:val="000000"/>
                <w:sz w:val="20"/>
                <w:szCs w:val="20"/>
              </w:rPr>
            </w:pPr>
            <w:r>
              <w:rPr>
                <w:color w:val="000000"/>
                <w:sz w:val="20"/>
                <w:szCs w:val="20"/>
              </w:rPr>
              <w:t>KATEGORIJA</w:t>
            </w:r>
          </w:p>
        </w:tc>
        <w:tc>
          <w:tcPr>
            <w:tcW w:w="229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POSLJEDICE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KRITERIJ (€)</w:t>
            </w:r>
          </w:p>
        </w:tc>
        <w:tc>
          <w:tcPr>
            <w:tcW w:w="182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1.</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 – 183.853,22</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2.</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183.853,22 – 919.266,10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3.</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auto"/>
                <w:sz w:val="20"/>
                <w:szCs w:val="20"/>
              </w:rPr>
              <w:t>919.266,10 – 2.757.798,30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4.</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auto"/>
                <w:sz w:val="20"/>
                <w:szCs w:val="20"/>
              </w:rPr>
              <w:t>2.757.798,30 – 4.596.330,50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color w:val="000000"/>
                <w:sz w:val="20"/>
                <w:szCs w:val="20"/>
              </w:rPr>
            </w:pPr>
            <w:r>
              <w:rPr>
                <w:color w:val="000000"/>
                <w:sz w:val="20"/>
                <w:szCs w:val="20"/>
              </w:rPr>
              <w:t>5.</w:t>
            </w:r>
          </w:p>
        </w:tc>
        <w:tc>
          <w:tcPr>
            <w:tcW w:w="229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25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 xml:space="preserve">&gt; </w:t>
            </w:r>
            <w:r>
              <w:rPr>
                <w:color w:val="auto"/>
                <w:sz w:val="20"/>
                <w:szCs w:val="20"/>
              </w:rPr>
              <w:t>4.596.330,50</w:t>
            </w:r>
          </w:p>
        </w:tc>
        <w:tc>
          <w:tcPr>
            <w:tcW w:w="182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rsidR="00A07D92" w:rsidRDefault="00A07D92">
      <w:pPr>
        <w:spacing w:before="0" w:after="0"/>
        <w:jc w:val="left"/>
        <w:rPr>
          <w:rFonts w:eastAsiaTheme="minorHAnsi"/>
          <w:b/>
          <w:u w:val="single"/>
        </w:rPr>
      </w:pPr>
    </w:p>
    <w:p w:rsidR="00A07D92" w:rsidRDefault="00A07D92">
      <w:pPr>
        <w:spacing w:before="0" w:after="200"/>
        <w:jc w:val="center"/>
        <w:rPr>
          <w:rFonts w:eastAsia="Calibri"/>
          <w:bCs/>
          <w:color w:val="54883D"/>
          <w:sz w:val="20"/>
          <w:szCs w:val="18"/>
          <w:lang w:bidi="en-US"/>
        </w:rPr>
      </w:pPr>
    </w:p>
    <w:p w:rsidR="00A07D92" w:rsidRDefault="00495E63">
      <w:pPr>
        <w:spacing w:before="0" w:after="20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83</w:t>
      </w:r>
      <w:r>
        <w:rPr>
          <w:rFonts w:eastAsia="Calibri"/>
          <w:bCs/>
          <w:sz w:val="20"/>
          <w:szCs w:val="18"/>
        </w:rPr>
        <w:fldChar w:fldCharType="end"/>
      </w:r>
      <w:r>
        <w:rPr>
          <w:rFonts w:eastAsia="Calibri"/>
          <w:bCs/>
          <w:color w:val="54883D"/>
          <w:sz w:val="20"/>
          <w:szCs w:val="18"/>
          <w:lang w:bidi="en-US"/>
        </w:rPr>
        <w:t xml:space="preserve">.Vrijednost kriterija za društvenu </w:t>
      </w:r>
      <w:r>
        <w:rPr>
          <w:rFonts w:eastAsia="Calibri"/>
          <w:bCs/>
          <w:color w:val="54883D"/>
          <w:sz w:val="20"/>
          <w:szCs w:val="18"/>
          <w:lang w:bidi="en-US"/>
        </w:rPr>
        <w:t>stabilnost i politiku - zbirno – industrijske nesreće</w:t>
      </w:r>
    </w:p>
    <w:tbl>
      <w:tblPr>
        <w:tblStyle w:val="ivopisnatablicareetke6-isticanje310"/>
        <w:tblW w:w="7923" w:type="dxa"/>
        <w:jc w:val="center"/>
        <w:tblLook w:val="04A0" w:firstRow="1" w:lastRow="0" w:firstColumn="1" w:lastColumn="0" w:noHBand="0" w:noVBand="1"/>
      </w:tblPr>
      <w:tblGrid>
        <w:gridCol w:w="1557"/>
        <w:gridCol w:w="2108"/>
        <w:gridCol w:w="2834"/>
        <w:gridCol w:w="1424"/>
      </w:tblGrid>
      <w:tr w:rsidR="00A07D92" w:rsidTr="00A07D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rPr>
                <w:sz w:val="20"/>
              </w:rPr>
            </w:pPr>
            <w:r>
              <w:rPr>
                <w:color w:val="76923C" w:themeColor="accent3" w:themeShade="BF"/>
                <w:sz w:val="20"/>
              </w:rPr>
              <w:t>KATEGORIJA</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KRITIČNA INFRASTRUKTURA</w:t>
            </w: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USTANOVE/GRAĐEVINE JAVNOG DRUŠTVENOG ZNAČAJA</w:t>
            </w: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jc w:val="center"/>
              <w:cnfStyle w:val="100000000000" w:firstRow="1" w:lastRow="0" w:firstColumn="0" w:lastColumn="0" w:oddVBand="0" w:evenVBand="0" w:oddHBand="0" w:evenHBand="0" w:firstRowFirstColumn="0" w:firstRowLastColumn="0" w:lastRowFirstColumn="0" w:lastRowLastColumn="0"/>
              <w:rPr>
                <w:sz w:val="20"/>
              </w:rPr>
            </w:pPr>
            <w:r>
              <w:rPr>
                <w:color w:val="76923C" w:themeColor="accent3" w:themeShade="BF"/>
                <w:sz w:val="20"/>
              </w:rPr>
              <w:t>ODABRANO</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1.</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r>
              <w:rPr>
                <w:b/>
                <w:color w:val="76923C" w:themeColor="accent3" w:themeShade="BF"/>
                <w:sz w:val="20"/>
              </w:rPr>
              <w:t>x</w:t>
            </w: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2.</w:t>
            </w:r>
          </w:p>
        </w:tc>
        <w:tc>
          <w:tcPr>
            <w:tcW w:w="21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themeColor="accent3" w:themeShade="BF"/>
                <w:sz w:val="20"/>
              </w:rPr>
              <w:t>x</w:t>
            </w:r>
          </w:p>
        </w:tc>
        <w:tc>
          <w:tcPr>
            <w:tcW w:w="283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color w:val="76923C" w:themeColor="accent3" w:themeShade="BF"/>
                <w:sz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3.</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b/>
                <w:color w:val="76923C" w:themeColor="accent3" w:themeShade="BF"/>
                <w:sz w:val="20"/>
              </w:rPr>
            </w:pPr>
          </w:p>
        </w:tc>
      </w:tr>
      <w:tr w:rsidR="00A07D92" w:rsidTr="00A07D92">
        <w:trPr>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4.</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rPr>
            </w:pPr>
          </w:p>
        </w:tc>
      </w:tr>
      <w:tr w:rsidR="00A07D92" w:rsidTr="00A07D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ind w:left="29" w:hanging="29"/>
              <w:jc w:val="center"/>
              <w:rPr>
                <w:sz w:val="20"/>
              </w:rPr>
            </w:pPr>
            <w:r>
              <w:rPr>
                <w:color w:val="76923C" w:themeColor="accent3" w:themeShade="BF"/>
                <w:sz w:val="20"/>
              </w:rPr>
              <w:t>5.</w:t>
            </w:r>
          </w:p>
        </w:tc>
        <w:tc>
          <w:tcPr>
            <w:tcW w:w="210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283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c>
          <w:tcPr>
            <w:tcW w:w="142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ind w:left="29" w:hanging="29"/>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rPr>
            </w:pPr>
          </w:p>
        </w:tc>
      </w:tr>
    </w:tbl>
    <w:p w:rsidR="00A07D92" w:rsidRDefault="00A07D92">
      <w:pPr>
        <w:rPr>
          <w:i/>
          <w:iCs/>
          <w:color w:val="54883D"/>
        </w:rPr>
      </w:pPr>
    </w:p>
    <w:p w:rsidR="00A07D92" w:rsidRDefault="00495E63">
      <w:pPr>
        <w:rPr>
          <w:i/>
          <w:iCs/>
          <w:color w:val="54883D"/>
        </w:rPr>
      </w:pPr>
      <w:r>
        <w:rPr>
          <w:i/>
          <w:iCs/>
          <w:color w:val="54883D"/>
        </w:rPr>
        <w:t>Vjerojatnost događaja</w:t>
      </w:r>
    </w:p>
    <w:p w:rsidR="00A07D92" w:rsidRDefault="00495E63">
      <w:r>
        <w:t xml:space="preserve">S obzirom na </w:t>
      </w:r>
      <w:proofErr w:type="spellStart"/>
      <w:r>
        <w:t>razmatrajuće</w:t>
      </w:r>
      <w:proofErr w:type="spellEnd"/>
      <w:r>
        <w:t xml:space="preserve"> podatke, izračunata je vjerojatnost pojavljivanja ovog događaja prema IAEA – TECDOC-727 metodi i Priručniku za razvrstavanje i utvrđivanje prioriteta među rizicima izazvanim velikim nesrećama u procesnoj i srodnim industrijama. Ra</w:t>
      </w:r>
      <w:r>
        <w:t xml:space="preserve">čunanje vjerojatnosti nekog događaja (promet opasnih materijala) provodi se pomoću zbrajanja logaritama: </w:t>
      </w:r>
    </w:p>
    <w:p w:rsidR="00A07D92" w:rsidRDefault="00495E63">
      <w:pPr>
        <w:spacing w:before="120" w:after="120"/>
        <w:rPr>
          <w:b/>
        </w:rPr>
      </w:pPr>
      <w:r>
        <w:rPr>
          <w:b/>
        </w:rPr>
        <w:t>N</w:t>
      </w:r>
      <w:r>
        <w:rPr>
          <w:b/>
          <w:vertAlign w:val="subscript"/>
        </w:rPr>
        <w:t>p,t</w:t>
      </w:r>
      <w:r>
        <w:rPr>
          <w:b/>
        </w:rPr>
        <w:t>=N</w:t>
      </w:r>
      <w:r>
        <w:rPr>
          <w:b/>
          <w:vertAlign w:val="superscript"/>
        </w:rPr>
        <w:t>*</w:t>
      </w:r>
      <w:r>
        <w:rPr>
          <w:b/>
          <w:vertAlign w:val="subscript"/>
        </w:rPr>
        <w:t>p,t</w:t>
      </w:r>
      <w:r>
        <w:rPr>
          <w:b/>
        </w:rPr>
        <w:t xml:space="preserve"> + </w:t>
      </w:r>
      <w:proofErr w:type="spellStart"/>
      <w:r>
        <w:rPr>
          <w:b/>
        </w:rPr>
        <w:t>n</w:t>
      </w:r>
      <w:r>
        <w:rPr>
          <w:b/>
          <w:vertAlign w:val="subscript"/>
        </w:rPr>
        <w:t>su</w:t>
      </w:r>
      <w:proofErr w:type="spellEnd"/>
      <w:r>
        <w:rPr>
          <w:b/>
        </w:rPr>
        <w:t xml:space="preserve">+ </w:t>
      </w:r>
      <w:proofErr w:type="spellStart"/>
      <w:r>
        <w:rPr>
          <w:b/>
        </w:rPr>
        <w:t>n</w:t>
      </w:r>
      <w:r>
        <w:rPr>
          <w:b/>
          <w:vertAlign w:val="subscript"/>
        </w:rPr>
        <w:t>pq</w:t>
      </w:r>
      <w:proofErr w:type="spellEnd"/>
      <w:r>
        <w:rPr>
          <w:b/>
        </w:rPr>
        <w:t xml:space="preserve">+ </w:t>
      </w:r>
      <w:proofErr w:type="spellStart"/>
      <w:r>
        <w:rPr>
          <w:b/>
        </w:rPr>
        <w:t>n</w:t>
      </w:r>
      <w:r>
        <w:rPr>
          <w:b/>
          <w:vertAlign w:val="subscript"/>
        </w:rPr>
        <w:t>n</w:t>
      </w:r>
      <w:proofErr w:type="spellEnd"/>
      <w:r>
        <w:rPr>
          <w:b/>
        </w:rPr>
        <w:t xml:space="preserve">, </w:t>
      </w:r>
    </w:p>
    <w:p w:rsidR="00A07D92" w:rsidRDefault="00495E63">
      <w:pPr>
        <w:spacing w:before="120" w:after="120"/>
        <w:rPr>
          <w:b/>
        </w:rPr>
      </w:pPr>
      <w:r>
        <w:rPr>
          <w:b/>
        </w:rPr>
        <w:t xml:space="preserve">N = | log </w:t>
      </w:r>
      <w:r>
        <w:rPr>
          <w:b/>
          <w:vertAlign w:val="subscript"/>
        </w:rPr>
        <w:t>10</w:t>
      </w:r>
      <w:r>
        <w:rPr>
          <w:b/>
        </w:rPr>
        <w:t xml:space="preserve"> P |</w:t>
      </w:r>
    </w:p>
    <w:p w:rsidR="00A07D92" w:rsidRDefault="00495E63">
      <w:pPr>
        <w:spacing w:before="120" w:after="120"/>
      </w:pPr>
      <w:r>
        <w:t xml:space="preserve">gdje je </w:t>
      </w:r>
    </w:p>
    <w:p w:rsidR="00A07D92" w:rsidRDefault="00495E63">
      <w:pPr>
        <w:spacing w:before="120" w:after="120"/>
        <w:rPr>
          <w:color w:val="000000"/>
          <w:lang w:bidi="en-US"/>
        </w:rPr>
      </w:pPr>
      <w:r>
        <w:rPr>
          <w:b/>
          <w:color w:val="000000"/>
          <w:lang w:bidi="en-US"/>
        </w:rPr>
        <w:t>N*</w:t>
      </w:r>
      <w:r>
        <w:rPr>
          <w:b/>
          <w:color w:val="000000"/>
          <w:vertAlign w:val="subscript"/>
          <w:lang w:bidi="en-US"/>
        </w:rPr>
        <w:t>p,t</w:t>
      </w:r>
      <w:r>
        <w:rPr>
          <w:color w:val="000000"/>
          <w:lang w:bidi="en-US"/>
        </w:rPr>
        <w:t>= prosječni broj vjerojatnosti za postrojenje i tvar;</w:t>
      </w:r>
    </w:p>
    <w:p w:rsidR="00A07D92" w:rsidRDefault="00495E63">
      <w:pPr>
        <w:spacing w:before="120" w:after="120"/>
        <w:rPr>
          <w:color w:val="000000"/>
          <w:lang w:bidi="en-US"/>
        </w:rPr>
      </w:pPr>
      <w:proofErr w:type="spellStart"/>
      <w:r>
        <w:rPr>
          <w:b/>
          <w:color w:val="000000"/>
          <w:lang w:bidi="en-US"/>
        </w:rPr>
        <w:t>N</w:t>
      </w:r>
      <w:r>
        <w:rPr>
          <w:b/>
          <w:color w:val="000000"/>
          <w:vertAlign w:val="subscript"/>
          <w:lang w:bidi="en-US"/>
        </w:rPr>
        <w:t>su</w:t>
      </w:r>
      <w:proofErr w:type="spellEnd"/>
      <w:r>
        <w:rPr>
          <w:color w:val="000000"/>
          <w:lang w:bidi="en-US"/>
        </w:rPr>
        <w:t xml:space="preserve">= korekcijski parametar broja vjerojatnosti za sigurnosne uvjete prometnog sustava </w:t>
      </w:r>
    </w:p>
    <w:p w:rsidR="00A07D92" w:rsidRDefault="00495E63">
      <w:pPr>
        <w:spacing w:before="120" w:after="120"/>
        <w:rPr>
          <w:color w:val="000000"/>
          <w:lang w:bidi="en-US"/>
        </w:rPr>
      </w:pPr>
      <w:proofErr w:type="spellStart"/>
      <w:r>
        <w:rPr>
          <w:b/>
          <w:color w:val="000000"/>
          <w:lang w:bidi="en-US"/>
        </w:rPr>
        <w:t>N</w:t>
      </w:r>
      <w:r>
        <w:rPr>
          <w:b/>
          <w:color w:val="000000"/>
          <w:vertAlign w:val="subscript"/>
          <w:lang w:bidi="en-US"/>
        </w:rPr>
        <w:t>pq</w:t>
      </w:r>
      <w:proofErr w:type="spellEnd"/>
      <w:r>
        <w:rPr>
          <w:color w:val="000000"/>
          <w:lang w:bidi="en-US"/>
        </w:rPr>
        <w:t xml:space="preserve"> = korekcijski parametar broja vjerojatnosti za gustoću prometa</w:t>
      </w:r>
    </w:p>
    <w:p w:rsidR="00A07D92" w:rsidRDefault="00495E63">
      <w:pPr>
        <w:spacing w:before="120" w:after="120"/>
        <w:rPr>
          <w:color w:val="000000"/>
          <w:lang w:bidi="en-US"/>
        </w:rPr>
      </w:pPr>
      <w:proofErr w:type="spellStart"/>
      <w:r>
        <w:rPr>
          <w:b/>
          <w:color w:val="000000"/>
          <w:lang w:bidi="en-US"/>
        </w:rPr>
        <w:t>n</w:t>
      </w:r>
      <w:r>
        <w:rPr>
          <w:b/>
          <w:color w:val="000000"/>
          <w:vertAlign w:val="subscript"/>
          <w:lang w:bidi="en-US"/>
        </w:rPr>
        <w:t>n</w:t>
      </w:r>
      <w:proofErr w:type="spellEnd"/>
      <w:r>
        <w:rPr>
          <w:color w:val="000000"/>
          <w:lang w:bidi="en-US"/>
        </w:rPr>
        <w:t xml:space="preserve">= korekcijski parametar broja vjerojatnosti za smjer vjetra prema naseljenom području; </w:t>
      </w:r>
    </w:p>
    <w:p w:rsidR="00A07D92" w:rsidRDefault="00495E63">
      <w:pPr>
        <w:spacing w:before="120" w:after="120"/>
      </w:pPr>
      <w:r>
        <w:t>N - broj vjeroj</w:t>
      </w:r>
      <w:r>
        <w:t>atnosti</w:t>
      </w:r>
    </w:p>
    <w:p w:rsidR="00A07D92" w:rsidRDefault="00495E63">
      <w:pPr>
        <w:spacing w:before="120" w:after="120"/>
      </w:pPr>
      <w:r>
        <w:t>P - vrijednost učestalosti</w:t>
      </w:r>
    </w:p>
    <w:p w:rsidR="00A07D92" w:rsidRDefault="00495E63">
      <w:pPr>
        <w:spacing w:before="120" w:after="120"/>
      </w:pPr>
      <w:r>
        <w:t xml:space="preserve">Vjerojatnost pojavljivanja ovog događaja: </w:t>
      </w:r>
    </w:p>
    <w:p w:rsidR="00A07D92" w:rsidRDefault="00495E63">
      <w:pPr>
        <w:spacing w:before="120" w:after="120"/>
        <w:rPr>
          <w:rFonts w:eastAsiaTheme="minorEastAsia"/>
          <w:b/>
          <w:color w:val="auto"/>
          <w:szCs w:val="22"/>
          <w:lang w:eastAsia="hr-HR"/>
        </w:rPr>
      </w:pPr>
      <w:r>
        <w:rPr>
          <w:rFonts w:eastAsiaTheme="minorEastAsia"/>
          <w:b/>
          <w:color w:val="auto"/>
          <w:szCs w:val="22"/>
          <w:lang w:eastAsia="hr-HR"/>
        </w:rPr>
        <w:t>N</w:t>
      </w:r>
      <w:r>
        <w:rPr>
          <w:rFonts w:eastAsiaTheme="minorEastAsia"/>
          <w:b/>
          <w:color w:val="auto"/>
          <w:szCs w:val="22"/>
          <w:vertAlign w:val="subscript"/>
          <w:lang w:eastAsia="hr-HR"/>
        </w:rPr>
        <w:t xml:space="preserve">p,t </w:t>
      </w:r>
      <w:r>
        <w:rPr>
          <w:rFonts w:eastAsiaTheme="minorEastAsia"/>
          <w:b/>
          <w:color w:val="auto"/>
          <w:szCs w:val="22"/>
          <w:lang w:eastAsia="hr-HR"/>
        </w:rPr>
        <w:t>= 8,5 + 1 + (-2,5) + 0 = 7</w:t>
      </w:r>
    </w:p>
    <w:p w:rsidR="00A07D92" w:rsidRDefault="00495E63">
      <w:pPr>
        <w:spacing w:before="120" w:after="120"/>
        <w:rPr>
          <w:rFonts w:eastAsiaTheme="minorEastAsia"/>
          <w:b/>
          <w:color w:val="auto"/>
          <w:szCs w:val="22"/>
          <w:vertAlign w:val="superscript"/>
          <w:lang w:eastAsia="hr-HR"/>
        </w:rPr>
      </w:pPr>
      <w:r>
        <w:rPr>
          <w:rFonts w:eastAsiaTheme="minorEastAsia"/>
          <w:b/>
          <w:color w:val="auto"/>
          <w:szCs w:val="22"/>
          <w:lang w:eastAsia="hr-HR"/>
        </w:rPr>
        <w:t>N</w:t>
      </w:r>
      <w:r>
        <w:rPr>
          <w:rFonts w:eastAsiaTheme="minorEastAsia"/>
          <w:b/>
          <w:color w:val="auto"/>
          <w:szCs w:val="22"/>
          <w:vertAlign w:val="subscript"/>
          <w:lang w:eastAsia="hr-HR"/>
        </w:rPr>
        <w:t>p,t</w:t>
      </w:r>
      <w:r>
        <w:rPr>
          <w:rFonts w:eastAsiaTheme="minorEastAsia"/>
          <w:b/>
          <w:color w:val="auto"/>
          <w:szCs w:val="22"/>
          <w:lang w:eastAsia="hr-HR"/>
        </w:rPr>
        <w:t>, (broj nesreća godišnje) = 1x10</w:t>
      </w:r>
      <w:r>
        <w:rPr>
          <w:rFonts w:eastAsiaTheme="minorEastAsia"/>
          <w:b/>
          <w:color w:val="auto"/>
          <w:szCs w:val="22"/>
          <w:vertAlign w:val="superscript"/>
          <w:lang w:eastAsia="hr-HR"/>
        </w:rPr>
        <w:t>-7</w:t>
      </w:r>
    </w:p>
    <w:p w:rsidR="00A07D92" w:rsidRDefault="00495E63">
      <w:pPr>
        <w:spacing w:before="240" w:after="240"/>
        <w:ind w:right="-2"/>
      </w:pPr>
      <w:r>
        <w:lastRenderedPageBreak/>
        <w:t>Slijedom navedenog iz dobivene jednadžbe dobiven je broj od 1x10</w:t>
      </w:r>
      <w:r>
        <w:rPr>
          <w:vertAlign w:val="superscript"/>
        </w:rPr>
        <w:t>-7</w:t>
      </w:r>
      <w:r>
        <w:t xml:space="preserve"> što predstavlja da na 1 000 </w:t>
      </w:r>
      <w:proofErr w:type="spellStart"/>
      <w:r>
        <w:t>000</w:t>
      </w:r>
      <w:proofErr w:type="spellEnd"/>
      <w:r>
        <w:t xml:space="preserve"> slučajeva se desi 1 događaj.</w:t>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84</w:t>
      </w:r>
      <w:r>
        <w:rPr>
          <w:rFonts w:eastAsia="Calibri"/>
          <w:bCs/>
          <w:sz w:val="20"/>
          <w:szCs w:val="18"/>
        </w:rPr>
        <w:fldChar w:fldCharType="end"/>
      </w:r>
      <w:r>
        <w:rPr>
          <w:rFonts w:eastAsia="Calibri"/>
          <w:bCs/>
          <w:color w:val="54883D"/>
          <w:sz w:val="20"/>
          <w:szCs w:val="18"/>
          <w:lang w:bidi="en-US"/>
        </w:rPr>
        <w:t>.Vjerojatnost / frekvencija – tehničko-tehnološke nesreće</w:t>
      </w:r>
    </w:p>
    <w:p w:rsidR="00A07D92" w:rsidRDefault="00A07D92">
      <w:pPr>
        <w:spacing w:before="0" w:after="0"/>
        <w:jc w:val="center"/>
        <w:rPr>
          <w:rFonts w:eastAsia="Calibri"/>
          <w:bCs/>
          <w:color w:val="54883D"/>
          <w:sz w:val="20"/>
          <w:szCs w:val="18"/>
          <w:lang w:bidi="en-US"/>
        </w:rPr>
      </w:pPr>
    </w:p>
    <w:tbl>
      <w:tblPr>
        <w:tblStyle w:val="ivopisnatablicareetke6-isticanje310"/>
        <w:tblW w:w="9634" w:type="dxa"/>
        <w:tblLook w:val="04A0" w:firstRow="1" w:lastRow="0" w:firstColumn="1" w:lastColumn="0" w:noHBand="0" w:noVBand="1"/>
      </w:tblPr>
      <w:tblGrid>
        <w:gridCol w:w="1554"/>
        <w:gridCol w:w="1701"/>
        <w:gridCol w:w="1841"/>
        <w:gridCol w:w="2977"/>
        <w:gridCol w:w="1561"/>
      </w:tblGrid>
      <w:tr w:rsidR="00A07D92" w:rsidTr="00A07D92">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sz w:val="20"/>
                <w:szCs w:val="20"/>
              </w:rPr>
            </w:pPr>
            <w:r>
              <w:rPr>
                <w:color w:val="76923C" w:themeColor="accent3" w:themeShade="BF"/>
                <w:sz w:val="20"/>
                <w:szCs w:val="20"/>
              </w:rPr>
              <w:t>KATEGORIJA</w:t>
            </w:r>
          </w:p>
        </w:tc>
        <w:tc>
          <w:tcPr>
            <w:tcW w:w="8080" w:type="dxa"/>
            <w:gridSpan w:val="4"/>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VJEROJATNOST / FREKVENCIJA</w:t>
            </w:r>
          </w:p>
        </w:tc>
      </w:tr>
      <w:tr w:rsidR="00A07D92" w:rsidTr="00A07D92">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4"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rPr>
                <w:color w:val="76923C" w:themeColor="accent3" w:themeShade="BF"/>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KVALITATIVNO</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VJEROJATNOST</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FREKVENCIJA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color w:val="76923C" w:themeColor="accent3" w:themeShade="BF"/>
                <w:sz w:val="20"/>
                <w:szCs w:val="20"/>
              </w:rPr>
              <w:t>ODABRANO</w:t>
            </w: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1</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 1 %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Pr>
                <w:b/>
                <w:color w:val="76923C" w:themeColor="accent3" w:themeShade="BF"/>
                <w:sz w:val="20"/>
                <w:szCs w:val="20"/>
              </w:rPr>
              <w:t>x</w:t>
            </w: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2</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3</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b/>
                <w:color w:val="76923C" w:themeColor="accent3" w:themeShade="BF"/>
                <w:sz w:val="20"/>
                <w:szCs w:val="20"/>
              </w:rPr>
            </w:pPr>
          </w:p>
        </w:tc>
      </w:tr>
      <w:tr w:rsidR="00A07D92" w:rsidTr="00A07D9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4</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76923C" w:themeColor="accent3" w:themeShade="BF"/>
                <w:sz w:val="20"/>
                <w:szCs w:val="20"/>
              </w:rPr>
            </w:pPr>
          </w:p>
        </w:tc>
      </w:tr>
      <w:tr w:rsidR="00A07D92" w:rsidTr="00A07D92">
        <w:trPr>
          <w:trHeight w:val="270"/>
        </w:trPr>
        <w:tc>
          <w:tcPr>
            <w:cnfStyle w:val="001000000000" w:firstRow="0" w:lastRow="0" w:firstColumn="1" w:lastColumn="0" w:oddVBand="0" w:evenVBand="0" w:oddHBand="0" w:evenHBand="0" w:firstRowFirstColumn="0" w:firstRowLastColumn="0" w:lastRowFirstColumn="0" w:lastRowLastColumn="0"/>
            <w:tcW w:w="155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rPr>
                <w:sz w:val="20"/>
                <w:szCs w:val="20"/>
              </w:rPr>
            </w:pPr>
            <w:r>
              <w:rPr>
                <w:color w:val="76923C" w:themeColor="accent3" w:themeShade="BF"/>
                <w:sz w:val="20"/>
                <w:szCs w:val="20"/>
              </w:rPr>
              <w:t>5</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4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97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5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76923C" w:themeColor="accent3" w:themeShade="BF"/>
                <w:sz w:val="20"/>
                <w:szCs w:val="20"/>
              </w:rPr>
            </w:pPr>
          </w:p>
        </w:tc>
      </w:tr>
    </w:tbl>
    <w:p w:rsidR="00A07D92" w:rsidRDefault="00A07D92">
      <w:pPr>
        <w:rPr>
          <w:lang w:bidi="en-US"/>
        </w:rPr>
      </w:pPr>
    </w:p>
    <w:p w:rsidR="00A07D92" w:rsidRDefault="00A07D92">
      <w:pPr>
        <w:rPr>
          <w:lang w:bidi="en-US"/>
        </w:rPr>
      </w:pPr>
    </w:p>
    <w:p w:rsidR="00A07D92" w:rsidRDefault="00495E63">
      <w:pPr>
        <w:keepNext/>
        <w:keepLines/>
        <w:spacing w:before="40"/>
        <w:outlineLvl w:val="2"/>
        <w:rPr>
          <w:rFonts w:cstheme="majorBidi"/>
          <w:iCs/>
          <w:color w:val="54883D"/>
          <w:sz w:val="28"/>
          <w:lang w:bidi="en-US"/>
        </w:rPr>
      </w:pPr>
      <w:bookmarkStart w:id="420" w:name="_Toc136522898"/>
      <w:r>
        <w:rPr>
          <w:rFonts w:cstheme="majorBidi"/>
          <w:iCs/>
          <w:color w:val="54883D"/>
          <w:sz w:val="28"/>
          <w:lang w:bidi="en-US"/>
        </w:rPr>
        <w:t xml:space="preserve">6.9.7 Podaci, </w:t>
      </w:r>
      <w:r>
        <w:rPr>
          <w:rFonts w:cstheme="majorBidi"/>
          <w:iCs/>
          <w:color w:val="54883D"/>
          <w:sz w:val="28"/>
          <w:lang w:bidi="en-US"/>
        </w:rPr>
        <w:t>izvori i metode proračuna</w:t>
      </w:r>
      <w:bookmarkEnd w:id="420"/>
    </w:p>
    <w:p w:rsidR="00A07D92" w:rsidRDefault="00495E63">
      <w:r>
        <w:t>Prilikom izračuna zona ugroženosti i procjene rizika korišteni su podaci iz:</w:t>
      </w:r>
    </w:p>
    <w:p w:rsidR="00A07D92" w:rsidRDefault="00495E63">
      <w:pPr>
        <w:numPr>
          <w:ilvl w:val="0"/>
          <w:numId w:val="5"/>
        </w:numPr>
        <w:spacing w:before="120" w:after="120"/>
        <w:ind w:left="284" w:hanging="142"/>
        <w:contextualSpacing/>
        <w:rPr>
          <w:color w:val="auto"/>
        </w:rPr>
      </w:pPr>
      <w:r>
        <w:rPr>
          <w:color w:val="auto"/>
        </w:rPr>
        <w:t>Procjena ugroženosti stanovništva, materijalnih i kulturnih dobara te okoliša od katastrofa i velikih nesreća, Grad Mali Lošinj 2015.,</w:t>
      </w:r>
    </w:p>
    <w:p w:rsidR="00A07D92" w:rsidRDefault="00495E63">
      <w:pPr>
        <w:numPr>
          <w:ilvl w:val="0"/>
          <w:numId w:val="5"/>
        </w:numPr>
        <w:spacing w:before="120" w:after="120"/>
        <w:ind w:left="284" w:hanging="142"/>
        <w:contextualSpacing/>
        <w:rPr>
          <w:color w:val="auto"/>
        </w:rPr>
      </w:pPr>
      <w:r>
        <w:rPr>
          <w:color w:val="auto"/>
        </w:rPr>
        <w:t xml:space="preserve">Procjena </w:t>
      </w:r>
      <w:r>
        <w:rPr>
          <w:color w:val="auto"/>
        </w:rPr>
        <w:t>ugroženosti od požara i tehnoloških eksplozija Grad Mali Lošinj, 2020.,</w:t>
      </w:r>
      <w:bookmarkStart w:id="421" w:name="_Hlk135821818"/>
      <w:bookmarkEnd w:id="421"/>
    </w:p>
    <w:p w:rsidR="00A07D92" w:rsidRDefault="00495E63">
      <w:pPr>
        <w:numPr>
          <w:ilvl w:val="0"/>
          <w:numId w:val="5"/>
        </w:numPr>
        <w:spacing w:before="120" w:after="120"/>
        <w:ind w:left="284" w:hanging="142"/>
        <w:contextualSpacing/>
        <w:rPr>
          <w:color w:val="auto"/>
        </w:rPr>
      </w:pPr>
      <w:r>
        <w:rPr>
          <w:color w:val="auto"/>
        </w:rPr>
        <w:t>Uredba o sprječavanju velikih nesreća koje uključuju opasne tvari (NN 44/14, NN 31/17, NN 45/17,)</w:t>
      </w:r>
    </w:p>
    <w:p w:rsidR="00A07D92" w:rsidRDefault="00495E63">
      <w:pPr>
        <w:numPr>
          <w:ilvl w:val="0"/>
          <w:numId w:val="5"/>
        </w:numPr>
        <w:spacing w:before="120" w:after="120"/>
        <w:ind w:left="284" w:hanging="142"/>
        <w:contextualSpacing/>
        <w:rPr>
          <w:color w:val="auto"/>
        </w:rPr>
      </w:pPr>
      <w:r>
        <w:rPr>
          <w:color w:val="auto"/>
        </w:rPr>
        <w:t>Grada Malog Lošinja</w:t>
      </w:r>
    </w:p>
    <w:p w:rsidR="00A07D92" w:rsidRDefault="00495E63">
      <w:pPr>
        <w:numPr>
          <w:ilvl w:val="0"/>
          <w:numId w:val="5"/>
        </w:numPr>
        <w:spacing w:before="120" w:after="120"/>
        <w:ind w:left="284" w:hanging="142"/>
        <w:contextualSpacing/>
        <w:rPr>
          <w:color w:val="auto"/>
        </w:rPr>
      </w:pPr>
      <w:r>
        <w:rPr>
          <w:color w:val="auto"/>
        </w:rPr>
        <w:t xml:space="preserve">Procjene rizika od velikih nesreća za Grad Mali Lošinj, 2018., </w:t>
      </w:r>
      <w:bookmarkStart w:id="422" w:name="_Hlk135821680"/>
      <w:bookmarkEnd w:id="422"/>
    </w:p>
    <w:p w:rsidR="00A07D92" w:rsidRDefault="00495E63">
      <w:pPr>
        <w:numPr>
          <w:ilvl w:val="0"/>
          <w:numId w:val="5"/>
        </w:numPr>
        <w:spacing w:before="120" w:after="120"/>
        <w:ind w:left="284" w:hanging="142"/>
        <w:contextualSpacing/>
        <w:rPr>
          <w:color w:val="auto"/>
        </w:rPr>
      </w:pPr>
      <w:r>
        <w:rPr>
          <w:color w:val="auto"/>
        </w:rPr>
        <w:t>Pr</w:t>
      </w:r>
      <w:r>
        <w:rPr>
          <w:color w:val="auto"/>
        </w:rPr>
        <w:t xml:space="preserve">ocjene rizika od katastrofa za Republiku Hrvatsku, </w:t>
      </w:r>
    </w:p>
    <w:p w:rsidR="00A07D92" w:rsidRDefault="00495E63">
      <w:pPr>
        <w:numPr>
          <w:ilvl w:val="0"/>
          <w:numId w:val="5"/>
        </w:numPr>
        <w:spacing w:before="120" w:after="120"/>
        <w:ind w:left="284" w:hanging="142"/>
        <w:contextualSpacing/>
        <w:rPr>
          <w:color w:val="auto"/>
        </w:rPr>
      </w:pPr>
      <w:r>
        <w:t>Priručniku za razvrstavanje i utvrđivanje prioriteta među rizicima izazvanim velikim nesrećama u procesnoj i srodnim industrijama (Beč,1993.)</w:t>
      </w:r>
    </w:p>
    <w:p w:rsidR="00A07D92" w:rsidRDefault="00495E63">
      <w:pPr>
        <w:spacing w:before="0" w:after="200"/>
        <w:jc w:val="left"/>
        <w:rPr>
          <w:color w:val="auto"/>
        </w:rPr>
      </w:pPr>
      <w:r>
        <w:br w:type="page"/>
      </w:r>
    </w:p>
    <w:p w:rsidR="00A07D92" w:rsidRDefault="00495E63">
      <w:pPr>
        <w:keepNext/>
        <w:keepLines/>
        <w:tabs>
          <w:tab w:val="left" w:pos="0"/>
        </w:tabs>
        <w:spacing w:before="40"/>
        <w:outlineLvl w:val="2"/>
        <w:rPr>
          <w:rFonts w:cstheme="majorBidi"/>
          <w:color w:val="54883D"/>
          <w:sz w:val="28"/>
          <w:lang w:bidi="en-US"/>
        </w:rPr>
      </w:pPr>
      <w:bookmarkStart w:id="423" w:name="_Toc136522899"/>
      <w:r>
        <w:rPr>
          <w:rFonts w:cstheme="majorBidi"/>
          <w:color w:val="54883D"/>
          <w:sz w:val="28"/>
          <w:lang w:bidi="en-US"/>
        </w:rPr>
        <w:lastRenderedPageBreak/>
        <w:t>6.9.8 Matrice rizika</w:t>
      </w:r>
      <w:bookmarkEnd w:id="423"/>
    </w:p>
    <w:p w:rsidR="00A07D92" w:rsidRDefault="00495E63">
      <w:r>
        <w:t>Rizik: Tehničko-tehnološke nesreće u ce</w:t>
      </w:r>
      <w:r>
        <w:t>stovnom prometu</w:t>
      </w:r>
    </w:p>
    <w:p w:rsidR="00A07D92" w:rsidRDefault="00495E63">
      <w:pPr>
        <w:jc w:val="left"/>
      </w:pPr>
      <w:r>
        <w:rPr>
          <w:noProof/>
          <w:lang w:eastAsia="hr-HR"/>
        </w:rPr>
        <mc:AlternateContent>
          <mc:Choice Requires="wps">
            <w:drawing>
              <wp:anchor distT="0" distB="0" distL="0" distR="0" simplePos="0" relativeHeight="68" behindDoc="0" locked="0" layoutInCell="1" allowOverlap="1" wp14:anchorId="0A52ACC9">
                <wp:simplePos x="0" y="0"/>
                <wp:positionH relativeFrom="column">
                  <wp:posOffset>1289685</wp:posOffset>
                </wp:positionH>
                <wp:positionV relativeFrom="paragraph">
                  <wp:posOffset>1997075</wp:posOffset>
                </wp:positionV>
                <wp:extent cx="314960" cy="253365"/>
                <wp:effectExtent l="19050" t="0" r="28575" b="13970"/>
                <wp:wrapNone/>
                <wp:docPr id="167" name="Hexagon 658162831"/>
                <wp:cNvGraphicFramePr/>
                <a:graphic xmlns:a="http://schemas.openxmlformats.org/drawingml/2006/main">
                  <a:graphicData uri="http://schemas.microsoft.com/office/word/2010/wordprocessingShape">
                    <wps:wsp>
                      <wps:cNvSpPr/>
                      <wps:spPr>
                        <a:xfrm>
                          <a:off x="0" y="0"/>
                          <a:ext cx="314280" cy="252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658162831" fillcolor="#4f81bd" stroked="t" style="position:absolute;margin-left:101.55pt;margin-top:157.25pt;width:24.7pt;height:19.85pt" wp14:anchorId="0A52ACC9" type="shapetype_9">
                <w10:wrap type="none"/>
                <v:fill o:detectmouseclick="t" type="solid" color2="#b07e42"/>
                <v:stroke color="#4f81bd" weight="9360" joinstyle="miter" endcap="flat"/>
              </v:shape>
            </w:pict>
          </mc:Fallback>
        </mc:AlternateContent>
      </w:r>
      <w:r>
        <w:t>Naziv scenarija: Nesreća nastala u cestovnom prometu</w:t>
      </w:r>
      <w:r>
        <w:rPr>
          <w:noProof/>
          <w:lang w:eastAsia="hr-HR"/>
        </w:rPr>
        <w:drawing>
          <wp:inline distT="0" distB="0" distL="0" distR="0">
            <wp:extent cx="5210175" cy="4443730"/>
            <wp:effectExtent l="0" t="0" r="0" b="0"/>
            <wp:docPr id="168" name="Picture 190528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905280593"/>
                    <pic:cNvPicPr>
                      <a:picLocks noChangeAspect="1" noChangeArrowheads="1"/>
                    </pic:cNvPicPr>
                  </pic:nvPicPr>
                  <pic:blipFill>
                    <a:blip r:embed="rId98"/>
                    <a:stretch>
                      <a:fillRect/>
                    </a:stretch>
                  </pic:blipFill>
                  <pic:spPr bwMode="auto">
                    <a:xfrm>
                      <a:off x="0" y="0"/>
                      <a:ext cx="5210175" cy="4443730"/>
                    </a:xfrm>
                    <a:prstGeom prst="rect">
                      <a:avLst/>
                    </a:prstGeom>
                  </pic:spPr>
                </pic:pic>
              </a:graphicData>
            </a:graphic>
          </wp:inline>
        </w:drawing>
      </w:r>
    </w:p>
    <w:p w:rsidR="00A07D92" w:rsidRDefault="00A07D92">
      <w:pPr>
        <w:jc w:val="left"/>
        <w:rPr>
          <w:b/>
        </w:rPr>
      </w:pPr>
    </w:p>
    <w:p w:rsidR="00A07D92" w:rsidRDefault="00A07D92">
      <w:pPr>
        <w:jc w:val="left"/>
      </w:pPr>
    </w:p>
    <w:p w:rsidR="00A07D92" w:rsidRDefault="00495E63">
      <w:pPr>
        <w:jc w:val="center"/>
        <w:rPr>
          <w:b/>
          <w:sz w:val="20"/>
        </w:rPr>
      </w:pPr>
      <w:r>
        <w:rPr>
          <w:b/>
          <w:sz w:val="20"/>
        </w:rPr>
        <w:t>Život i zdravlje ljudi</w:t>
      </w:r>
      <w:r>
        <w:rPr>
          <w:b/>
          <w:sz w:val="20"/>
        </w:rPr>
        <w:tab/>
      </w:r>
      <w:r>
        <w:rPr>
          <w:b/>
          <w:sz w:val="20"/>
        </w:rPr>
        <w:tab/>
        <w:t xml:space="preserve">       Gospodarstvo</w:t>
      </w:r>
      <w:r>
        <w:rPr>
          <w:b/>
          <w:sz w:val="20"/>
        </w:rPr>
        <w:tab/>
        <w:t xml:space="preserve">          Društvena stabilnost i politika</w:t>
      </w:r>
    </w:p>
    <w:p w:rsidR="00A07D92" w:rsidRDefault="00495E63">
      <w:r>
        <w:rPr>
          <w:noProof/>
          <w:lang w:eastAsia="hr-HR"/>
        </w:rPr>
        <mc:AlternateContent>
          <mc:Choice Requires="wps">
            <w:drawing>
              <wp:anchor distT="0" distB="0" distL="0" distR="0" simplePos="0" relativeHeight="69" behindDoc="0" locked="0" layoutInCell="1" allowOverlap="1" wp14:anchorId="41AA415A">
                <wp:simplePos x="0" y="0"/>
                <wp:positionH relativeFrom="column">
                  <wp:posOffset>436880</wp:posOffset>
                </wp:positionH>
                <wp:positionV relativeFrom="paragraph">
                  <wp:posOffset>275590</wp:posOffset>
                </wp:positionV>
                <wp:extent cx="111760" cy="91440"/>
                <wp:effectExtent l="19050" t="0" r="41275" b="23495"/>
                <wp:wrapNone/>
                <wp:docPr id="169" name="Hexagon 10863303"/>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10863303" fillcolor="#4f81bd" stroked="t" style="position:absolute;margin-left:34.4pt;margin-top:21.7pt;width:8.7pt;height:7.1pt" wp14:anchorId="41AA415A"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70" behindDoc="0" locked="0" layoutInCell="1" allowOverlap="1" wp14:anchorId="019B946B">
                <wp:simplePos x="0" y="0"/>
                <wp:positionH relativeFrom="column">
                  <wp:posOffset>2320925</wp:posOffset>
                </wp:positionH>
                <wp:positionV relativeFrom="paragraph">
                  <wp:posOffset>852170</wp:posOffset>
                </wp:positionV>
                <wp:extent cx="111760" cy="91440"/>
                <wp:effectExtent l="19050" t="0" r="41275" b="23495"/>
                <wp:wrapNone/>
                <wp:docPr id="170" name="Hexagon 93035572"/>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93035572" fillcolor="#4f81bd" stroked="t" style="position:absolute;margin-left:182.75pt;margin-top:67.1pt;width:8.7pt;height:7.1pt" wp14:anchorId="019B946B" type="shapetype_9">
                <w10:wrap type="none"/>
                <v:fill o:detectmouseclick="t" type="solid" color2="#b07e42"/>
                <v:stroke color="#4f81bd" weight="9360" joinstyle="miter" endcap="flat"/>
              </v:shape>
            </w:pict>
          </mc:Fallback>
        </mc:AlternateContent>
      </w:r>
      <w:r>
        <w:rPr>
          <w:noProof/>
          <w:lang w:eastAsia="hr-HR"/>
        </w:rPr>
        <mc:AlternateContent>
          <mc:Choice Requires="wps">
            <w:drawing>
              <wp:anchor distT="0" distB="0" distL="0" distR="0" simplePos="0" relativeHeight="71" behindDoc="0" locked="0" layoutInCell="1" allowOverlap="1" wp14:anchorId="1E17A9D0">
                <wp:simplePos x="0" y="0"/>
                <wp:positionH relativeFrom="column">
                  <wp:posOffset>4227830</wp:posOffset>
                </wp:positionH>
                <wp:positionV relativeFrom="paragraph">
                  <wp:posOffset>893445</wp:posOffset>
                </wp:positionV>
                <wp:extent cx="111760" cy="91440"/>
                <wp:effectExtent l="19050" t="0" r="41275" b="23495"/>
                <wp:wrapNone/>
                <wp:docPr id="171" name="Hexagon 92686602"/>
                <wp:cNvGraphicFramePr/>
                <a:graphic xmlns:a="http://schemas.openxmlformats.org/drawingml/2006/main">
                  <a:graphicData uri="http://schemas.microsoft.com/office/word/2010/wordprocessingShape">
                    <wps:wsp>
                      <wps:cNvSpPr/>
                      <wps:spPr>
                        <a:xfrm>
                          <a:off x="0" y="0"/>
                          <a:ext cx="111240" cy="90720"/>
                        </a:xfrm>
                        <a:prstGeom prst="hexagon">
                          <a:avLst>
                            <a:gd name="adj" fmla="val 30594"/>
                            <a:gd name="vf" fmla="val 115470"/>
                          </a:avLst>
                        </a:prstGeom>
                        <a:solidFill>
                          <a:srgbClr val="4F81BD"/>
                        </a:solidFill>
                        <a:ln w="9360">
                          <a:solidFill>
                            <a:srgbClr val="4F81BD"/>
                          </a:solidFill>
                          <a:miter/>
                        </a:ln>
                      </wps:spPr>
                      <wps:style>
                        <a:lnRef idx="0">
                          <a:scrgbClr r="0" g="0" b="0"/>
                        </a:lnRef>
                        <a:fillRef idx="0">
                          <a:scrgbClr r="0" g="0" b="0"/>
                        </a:fillRef>
                        <a:effectRef idx="0">
                          <a:scrgbClr r="0" g="0" b="0"/>
                        </a:effectRef>
                        <a:fontRef idx="minor"/>
                      </wps:style>
                      <wps:bodyPr/>
                    </wps:wsp>
                  </a:graphicData>
                </a:graphic>
              </wp:anchor>
            </w:drawing>
          </mc:Choice>
          <mc:Fallback>
            <w:pict>
              <v:shape id="shape_0" ID="Hexagon 92686602" fillcolor="#4f81bd" stroked="t" style="position:absolute;margin-left:332.9pt;margin-top:70.35pt;width:8.7pt;height:7.1pt" wp14:anchorId="1E17A9D0" type="shapetype_9">
                <w10:wrap type="none"/>
                <v:fill o:detectmouseclick="t" type="solid" color2="#b07e42"/>
                <v:stroke color="#4f81bd" weight="9360" joinstyle="miter" endcap="flat"/>
              </v:shape>
            </w:pict>
          </mc:Fallback>
        </mc:AlternateContent>
      </w:r>
      <w:r>
        <w:rPr>
          <w:noProof/>
          <w:lang w:eastAsia="hr-HR"/>
        </w:rPr>
        <w:drawing>
          <wp:inline distT="0" distB="0" distL="0" distR="0">
            <wp:extent cx="1828800" cy="1554480"/>
            <wp:effectExtent l="0" t="0" r="0" b="0"/>
            <wp:docPr id="172" name="Picture 115757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157576098"/>
                    <pic:cNvPicPr>
                      <a:picLocks noChangeAspect="1" noChangeArrowheads="1"/>
                    </pic:cNvPicPr>
                  </pic:nvPicPr>
                  <pic:blipFill>
                    <a:blip r:embed="rId99"/>
                    <a:stretch>
                      <a:fillRect/>
                    </a:stretch>
                  </pic:blipFill>
                  <pic:spPr bwMode="auto">
                    <a:xfrm>
                      <a:off x="0" y="0"/>
                      <a:ext cx="1828800" cy="1554480"/>
                    </a:xfrm>
                    <a:prstGeom prst="rect">
                      <a:avLst/>
                    </a:prstGeom>
                  </pic:spPr>
                </pic:pic>
              </a:graphicData>
            </a:graphic>
          </wp:inline>
        </w:drawing>
      </w:r>
      <w:r>
        <w:rPr>
          <w:noProof/>
          <w:lang w:eastAsia="hr-HR"/>
        </w:rPr>
        <w:drawing>
          <wp:inline distT="0" distB="0" distL="0" distR="0">
            <wp:extent cx="1905000" cy="1619250"/>
            <wp:effectExtent l="0" t="0" r="0" b="0"/>
            <wp:docPr id="173" name="Picture 16273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62734299"/>
                    <pic:cNvPicPr>
                      <a:picLocks noChangeAspect="1" noChangeArrowheads="1"/>
                    </pic:cNvPicPr>
                  </pic:nvPicPr>
                  <pic:blipFill>
                    <a:blip r:embed="rId100"/>
                    <a:stretch>
                      <a:fillRect/>
                    </a:stretch>
                  </pic:blipFill>
                  <pic:spPr bwMode="auto">
                    <a:xfrm>
                      <a:off x="0" y="0"/>
                      <a:ext cx="1905000" cy="1619250"/>
                    </a:xfrm>
                    <a:prstGeom prst="rect">
                      <a:avLst/>
                    </a:prstGeom>
                  </pic:spPr>
                </pic:pic>
              </a:graphicData>
            </a:graphic>
          </wp:inline>
        </w:drawing>
      </w:r>
      <w:r>
        <w:rPr>
          <w:noProof/>
          <w:lang w:eastAsia="hr-HR"/>
        </w:rPr>
        <w:drawing>
          <wp:inline distT="0" distB="0" distL="0" distR="0">
            <wp:extent cx="1906270" cy="1620520"/>
            <wp:effectExtent l="0" t="0" r="0" b="0"/>
            <wp:docPr id="174" name="Picture 74278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742781876"/>
                    <pic:cNvPicPr>
                      <a:picLocks noChangeAspect="1" noChangeArrowheads="1"/>
                    </pic:cNvPicPr>
                  </pic:nvPicPr>
                  <pic:blipFill>
                    <a:blip r:embed="rId101"/>
                    <a:stretch>
                      <a:fillRect/>
                    </a:stretch>
                  </pic:blipFill>
                  <pic:spPr bwMode="auto">
                    <a:xfrm>
                      <a:off x="0" y="0"/>
                      <a:ext cx="1906270" cy="1620520"/>
                    </a:xfrm>
                    <a:prstGeom prst="rect">
                      <a:avLst/>
                    </a:prstGeom>
                  </pic:spPr>
                </pic:pic>
              </a:graphicData>
            </a:graphic>
          </wp:inline>
        </w:drawing>
      </w:r>
    </w:p>
    <w:p w:rsidR="00A07D92" w:rsidRDefault="00A07D92"/>
    <w:p w:rsidR="00A07D92" w:rsidRDefault="00A07D92"/>
    <w:p w:rsidR="00A07D92" w:rsidRDefault="00A07D92"/>
    <w:p w:rsidR="00A07D92" w:rsidRDefault="00495E63">
      <w:pPr>
        <w:rPr>
          <w:u w:val="single"/>
        </w:rPr>
      </w:pPr>
      <w:r>
        <w:rPr>
          <w:u w:val="single"/>
        </w:rPr>
        <w:lastRenderedPageBreak/>
        <w:t>METODOLOGIJA I NEPOUZDANOST</w:t>
      </w:r>
    </w:p>
    <w:tbl>
      <w:tblPr>
        <w:tblStyle w:val="Reetkatablice"/>
        <w:tblW w:w="9634" w:type="dxa"/>
        <w:tblLook w:val="04A0" w:firstRow="1" w:lastRow="0" w:firstColumn="1" w:lastColumn="0" w:noHBand="0" w:noVBand="1"/>
      </w:tblPr>
      <w:tblGrid>
        <w:gridCol w:w="2241"/>
        <w:gridCol w:w="984"/>
        <w:gridCol w:w="6409"/>
      </w:tblGrid>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highlight w:val="yellow"/>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highlight w:val="yellow"/>
              </w:rPr>
            </w:pPr>
            <w:r>
              <w:rPr>
                <w:rFonts w:ascii="Times New Roman" w:hAnsi="Times New Roman" w:cs="Times New Roman"/>
                <w:sz w:val="20"/>
                <w:lang w:eastAsia="hr-HR"/>
              </w:rPr>
              <w:t xml:space="preserve">Ne postoji dovoljna količina statističkih, iskustva </w:t>
            </w:r>
            <w:r>
              <w:rPr>
                <w:rFonts w:ascii="Times New Roman" w:hAnsi="Times New Roman" w:cs="Times New Roman"/>
                <w:sz w:val="20"/>
                <w:lang w:eastAsia="hr-HR"/>
              </w:rPr>
              <w:t>stručnjaka i ostalih podataka te pouzdana metodologija procjene posljedica zbog čega se očekuju značajnije greške</w:t>
            </w: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Vrlo visoka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4</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468"/>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Visoka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3</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X</w:t>
            </w:r>
          </w:p>
        </w:tc>
      </w:tr>
      <w:tr w:rsidR="00A07D92">
        <w:trPr>
          <w:trHeight w:val="306"/>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line="240" w:lineRule="auto"/>
              <w:jc w:val="center"/>
              <w:rPr>
                <w:sz w:val="20"/>
              </w:rPr>
            </w:pPr>
            <w:r>
              <w:rPr>
                <w:rFonts w:ascii="Times New Roman" w:hAnsi="Times New Roman" w:cs="Times New Roman"/>
                <w:sz w:val="20"/>
                <w:lang w:eastAsia="hr-HR"/>
              </w:rPr>
              <w:t>2</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459"/>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b/>
                <w:sz w:val="20"/>
                <w:highlight w:val="yellow"/>
              </w:rPr>
            </w:pPr>
            <w:r>
              <w:rPr>
                <w:rFonts w:ascii="Times New Roman" w:hAnsi="Times New Roman" w:cs="Times New Roman"/>
                <w:b/>
                <w:sz w:val="20"/>
                <w:lang w:eastAsia="hr-HR"/>
              </w:rPr>
              <w:t>Vrlo niska nepouzdanost</w:t>
            </w:r>
          </w:p>
        </w:tc>
        <w:tc>
          <w:tcPr>
            <w:tcW w:w="98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line="240" w:lineRule="auto"/>
              <w:jc w:val="center"/>
              <w:rPr>
                <w:sz w:val="20"/>
              </w:rPr>
            </w:pPr>
            <w:r>
              <w:rPr>
                <w:rFonts w:ascii="Times New Roman" w:hAnsi="Times New Roman" w:cs="Times New Roman"/>
                <w:sz w:val="20"/>
                <w:lang w:eastAsia="hr-HR"/>
              </w:rPr>
              <w:t>1</w:t>
            </w:r>
          </w:p>
        </w:tc>
        <w:tc>
          <w:tcPr>
            <w:tcW w:w="640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jc w:val="center"/>
              <w:rPr>
                <w:rFonts w:ascii="Times New Roman" w:hAnsi="Times New Roman" w:cs="Times New Roman"/>
                <w:sz w:val="20"/>
                <w:highlight w:val="yellow"/>
                <w:lang w:eastAsia="hr-HR"/>
              </w:rPr>
            </w:pPr>
          </w:p>
        </w:tc>
      </w:tr>
      <w:tr w:rsidR="00A07D92">
        <w:trPr>
          <w:trHeight w:val="612"/>
        </w:trPr>
        <w:tc>
          <w:tcPr>
            <w:tcW w:w="2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line="240" w:lineRule="auto"/>
              <w:rPr>
                <w:rFonts w:ascii="Times New Roman" w:hAnsi="Times New Roman" w:cs="Times New Roman"/>
                <w:sz w:val="20"/>
                <w:highlight w:val="yellow"/>
                <w:lang w:eastAsia="hr-HR"/>
              </w:rPr>
            </w:pPr>
          </w:p>
        </w:tc>
        <w:tc>
          <w:tcPr>
            <w:tcW w:w="739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line="240" w:lineRule="auto"/>
              <w:jc w:val="center"/>
              <w:rPr>
                <w:sz w:val="20"/>
                <w:highlight w:val="yellow"/>
              </w:rPr>
            </w:pPr>
            <w:r>
              <w:rPr>
                <w:rFonts w:ascii="Times New Roman" w:hAnsi="Times New Roman" w:cs="Times New Roman"/>
                <w:sz w:val="20"/>
                <w:lang w:eastAsia="hr-HR"/>
              </w:rPr>
              <w:t xml:space="preserve">Postoji dovoljna količina </w:t>
            </w:r>
            <w:r>
              <w:rPr>
                <w:rFonts w:ascii="Times New Roman" w:hAnsi="Times New Roman" w:cs="Times New Roman"/>
                <w:sz w:val="20"/>
                <w:lang w:eastAsia="hr-HR"/>
              </w:rPr>
              <w:t>statističkih podataka, iskustva stručnjaka i pouzdana metodologija procjene zbog čega je pojavljivanje grešaka vrlo malo vjerojatno</w:t>
            </w:r>
          </w:p>
        </w:tc>
      </w:tr>
    </w:tbl>
    <w:p w:rsidR="00A07D92" w:rsidRDefault="00A07D92">
      <w:pPr>
        <w:spacing w:before="0" w:after="0"/>
        <w:ind w:firstLine="708"/>
      </w:pPr>
    </w:p>
    <w:p w:rsidR="00A07D92" w:rsidRDefault="00495E63">
      <w:pPr>
        <w:keepNext/>
        <w:keepLines/>
        <w:tabs>
          <w:tab w:val="left" w:pos="0"/>
        </w:tabs>
        <w:spacing w:before="40"/>
        <w:outlineLvl w:val="2"/>
        <w:rPr>
          <w:rFonts w:cstheme="majorBidi"/>
          <w:color w:val="54883D"/>
          <w:sz w:val="28"/>
          <w:lang w:bidi="en-US"/>
        </w:rPr>
      </w:pPr>
      <w:bookmarkStart w:id="424" w:name="_Toc136522900"/>
      <w:r>
        <w:rPr>
          <w:rFonts w:cstheme="majorBidi"/>
          <w:color w:val="54883D"/>
          <w:sz w:val="28"/>
          <w:lang w:bidi="en-US"/>
        </w:rPr>
        <w:t>6.5.9 Karte</w:t>
      </w:r>
      <w:bookmarkEnd w:id="424"/>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t>6.5.9.1 Karte prijetnji</w:t>
      </w:r>
    </w:p>
    <w:p w:rsidR="00A07D92" w:rsidRDefault="00495E63">
      <w:pPr>
        <w:spacing w:after="0"/>
        <w:rPr>
          <w:iCs/>
          <w:color w:val="54883D"/>
        </w:rPr>
      </w:pPr>
      <w:r>
        <w:rPr>
          <w:iCs/>
          <w:color w:val="54883D"/>
        </w:rPr>
        <w:t xml:space="preserve">Karta prijetnji – tehničko – tehnološke nesreće na području Grada Malog Lošinja </w:t>
      </w:r>
    </w:p>
    <w:p w:rsidR="00A07D92" w:rsidRDefault="00A07D92">
      <w:pPr>
        <w:spacing w:after="0"/>
        <w:rPr>
          <w:iCs/>
          <w:color w:val="54883D"/>
        </w:rPr>
      </w:pPr>
    </w:p>
    <w:p w:rsidR="00A07D92" w:rsidRDefault="00495E63">
      <w:pPr>
        <w:keepNext/>
        <w:keepLines/>
        <w:spacing w:before="40" w:after="0"/>
        <w:outlineLvl w:val="3"/>
        <w:rPr>
          <w:rFonts w:eastAsiaTheme="majorEastAsia" w:cstheme="majorBidi"/>
          <w:iCs/>
          <w:color w:val="54883D"/>
          <w:lang w:bidi="en-US"/>
        </w:rPr>
      </w:pPr>
      <w:r>
        <w:rPr>
          <w:rFonts w:eastAsiaTheme="majorEastAsia" w:cstheme="majorBidi"/>
          <w:iCs/>
          <w:color w:val="54883D"/>
          <w:lang w:bidi="en-US"/>
        </w:rPr>
        <w:t>6.5.9.2 Karta rizika</w:t>
      </w:r>
    </w:p>
    <w:tbl>
      <w:tblPr>
        <w:tblStyle w:val="Reetkatablice"/>
        <w:tblpPr w:leftFromText="180" w:rightFromText="180" w:vertAnchor="text" w:horzAnchor="page" w:tblpX="9360" w:tblpY="1365"/>
        <w:tblW w:w="1980" w:type="dxa"/>
        <w:tblLook w:val="04A0" w:firstRow="1" w:lastRow="0" w:firstColumn="1" w:lastColumn="0" w:noHBand="0" w:noVBand="1"/>
      </w:tblPr>
      <w:tblGrid>
        <w:gridCol w:w="845"/>
        <w:gridCol w:w="1135"/>
      </w:tblGrid>
      <w:tr w:rsidR="00A07D92">
        <w:trPr>
          <w:trHeight w:val="310"/>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1979"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RIZIK</w:t>
            </w:r>
          </w:p>
        </w:tc>
      </w:tr>
      <w:tr w:rsidR="00A07D92">
        <w:trPr>
          <w:trHeight w:val="354"/>
        </w:trPr>
        <w:tc>
          <w:tcPr>
            <w:tcW w:w="845"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Vrlo visok</w:t>
            </w:r>
          </w:p>
        </w:tc>
      </w:tr>
      <w:tr w:rsidR="00A07D92">
        <w:trPr>
          <w:trHeight w:val="286"/>
        </w:trPr>
        <w:tc>
          <w:tcPr>
            <w:tcW w:w="845"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Visok </w:t>
            </w:r>
          </w:p>
        </w:tc>
      </w:tr>
      <w:tr w:rsidR="00A07D92">
        <w:trPr>
          <w:trHeight w:val="262"/>
        </w:trPr>
        <w:tc>
          <w:tcPr>
            <w:tcW w:w="845"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 </w:t>
            </w:r>
          </w:p>
        </w:tc>
      </w:tr>
      <w:tr w:rsidR="00A07D92">
        <w:trPr>
          <w:trHeight w:val="280"/>
        </w:trPr>
        <w:tc>
          <w:tcPr>
            <w:tcW w:w="845" w:type="dxa"/>
            <w:shd w:val="clear" w:color="auto" w:fill="92D050"/>
            <w:vAlign w:val="center"/>
          </w:tcPr>
          <w:p w:rsidR="00A07D92" w:rsidRDefault="00A07D92">
            <w:pPr>
              <w:spacing w:before="0" w:after="0" w:line="240" w:lineRule="auto"/>
              <w:rPr>
                <w:rFonts w:ascii="Times New Roman" w:hAnsi="Times New Roman" w:cs="Times New Roman"/>
                <w:sz w:val="18"/>
                <w:szCs w:val="20"/>
                <w:lang w:eastAsia="hr-HR"/>
              </w:rPr>
            </w:pPr>
          </w:p>
        </w:tc>
        <w:tc>
          <w:tcPr>
            <w:tcW w:w="1134"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Nizak </w:t>
            </w:r>
          </w:p>
        </w:tc>
      </w:tr>
    </w:tbl>
    <w:p w:rsidR="00A07D92" w:rsidRDefault="00495E63">
      <w:pPr>
        <w:jc w:val="center"/>
        <w:rPr>
          <w:lang w:bidi="en-US"/>
        </w:rPr>
      </w:pPr>
      <w:r>
        <w:rPr>
          <w:noProof/>
          <w:lang w:eastAsia="hr-HR"/>
        </w:rPr>
        <w:drawing>
          <wp:inline distT="0" distB="0" distL="0" distR="0">
            <wp:extent cx="3330575" cy="4488180"/>
            <wp:effectExtent l="0" t="0" r="0" b="0"/>
            <wp:docPr id="1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9"/>
                    <pic:cNvPicPr>
                      <a:picLocks noChangeAspect="1" noChangeArrowheads="1"/>
                    </pic:cNvPicPr>
                  </pic:nvPicPr>
                  <pic:blipFill>
                    <a:blip r:embed="rId102"/>
                    <a:stretch>
                      <a:fillRect/>
                    </a:stretch>
                  </pic:blipFill>
                  <pic:spPr bwMode="auto">
                    <a:xfrm>
                      <a:off x="0" y="0"/>
                      <a:ext cx="3330575" cy="448818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47</w:t>
      </w:r>
      <w:r>
        <w:rPr>
          <w:rFonts w:eastAsia="Calibri"/>
          <w:bCs/>
          <w:sz w:val="20"/>
          <w:szCs w:val="18"/>
        </w:rPr>
        <w:fldChar w:fldCharType="end"/>
      </w:r>
      <w:r>
        <w:rPr>
          <w:rFonts w:eastAsia="Calibri"/>
          <w:bCs/>
          <w:color w:val="54883D"/>
          <w:sz w:val="20"/>
          <w:szCs w:val="18"/>
          <w:lang w:bidi="en-US"/>
        </w:rPr>
        <w:t>. Karta rizika – tehničko-tehnološka nesreće u cestovnom prometu</w:t>
      </w:r>
    </w:p>
    <w:p w:rsidR="00A07D92" w:rsidRDefault="00495E63">
      <w:pPr>
        <w:keepNext/>
        <w:keepLines/>
        <w:spacing w:before="40"/>
        <w:outlineLvl w:val="3"/>
        <w:rPr>
          <w:rFonts w:eastAsiaTheme="majorEastAsia" w:cstheme="majorBidi"/>
          <w:iCs/>
          <w:color w:val="54883D"/>
          <w:lang w:bidi="en-US"/>
        </w:rPr>
      </w:pPr>
      <w:r>
        <w:rPr>
          <w:rFonts w:eastAsiaTheme="majorEastAsia" w:cstheme="majorBidi"/>
          <w:iCs/>
          <w:color w:val="54883D"/>
          <w:lang w:bidi="en-US"/>
        </w:rPr>
        <w:lastRenderedPageBreak/>
        <w:t>6.5.9.3 Karta posljedica</w:t>
      </w:r>
    </w:p>
    <w:tbl>
      <w:tblPr>
        <w:tblStyle w:val="Reetkatablice"/>
        <w:tblpPr w:leftFromText="180" w:rightFromText="180" w:vertAnchor="text" w:horzAnchor="page" w:tblpX="9320" w:tblpY="1612"/>
        <w:tblW w:w="2123" w:type="dxa"/>
        <w:tblLook w:val="04A0" w:firstRow="1" w:lastRow="0" w:firstColumn="1" w:lastColumn="0" w:noHBand="0" w:noVBand="1"/>
      </w:tblPr>
      <w:tblGrid>
        <w:gridCol w:w="846"/>
        <w:gridCol w:w="1277"/>
      </w:tblGrid>
      <w:tr w:rsidR="00A07D92">
        <w:trPr>
          <w:trHeight w:val="310"/>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KAZALO</w:t>
            </w:r>
          </w:p>
        </w:tc>
      </w:tr>
      <w:tr w:rsidR="00A07D92">
        <w:trPr>
          <w:trHeight w:val="297"/>
        </w:trPr>
        <w:tc>
          <w:tcPr>
            <w:tcW w:w="2122" w:type="dxa"/>
            <w:gridSpan w:val="2"/>
            <w:shd w:val="clear" w:color="auto" w:fill="auto"/>
            <w:vAlign w:val="center"/>
          </w:tcPr>
          <w:p w:rsidR="00A07D92" w:rsidRDefault="00495E63">
            <w:pPr>
              <w:spacing w:before="0" w:after="0" w:line="240" w:lineRule="auto"/>
              <w:jc w:val="center"/>
              <w:rPr>
                <w:rFonts w:ascii="Times New Roman" w:hAnsi="Times New Roman" w:cs="Times New Roman"/>
                <w:sz w:val="24"/>
                <w:lang w:eastAsia="hr-HR"/>
              </w:rPr>
            </w:pPr>
            <w:r>
              <w:rPr>
                <w:rFonts w:ascii="Times New Roman" w:hAnsi="Times New Roman" w:cs="Times New Roman"/>
                <w:b/>
                <w:sz w:val="18"/>
                <w:szCs w:val="20"/>
                <w:lang w:eastAsia="hr-HR"/>
              </w:rPr>
              <w:t>POSLJEDICE</w:t>
            </w:r>
          </w:p>
        </w:tc>
      </w:tr>
      <w:tr w:rsidR="00A07D92">
        <w:trPr>
          <w:trHeight w:val="211"/>
        </w:trPr>
        <w:tc>
          <w:tcPr>
            <w:tcW w:w="846" w:type="dxa"/>
            <w:shd w:val="clear" w:color="auto" w:fill="FF0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Katastrofalne </w:t>
            </w:r>
          </w:p>
        </w:tc>
      </w:tr>
      <w:tr w:rsidR="00A07D92">
        <w:trPr>
          <w:trHeight w:val="273"/>
        </w:trPr>
        <w:tc>
          <w:tcPr>
            <w:tcW w:w="846" w:type="dxa"/>
            <w:shd w:val="clear" w:color="auto" w:fill="FFC0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Značajne </w:t>
            </w:r>
          </w:p>
        </w:tc>
      </w:tr>
      <w:tr w:rsidR="00A07D92">
        <w:trPr>
          <w:trHeight w:val="278"/>
        </w:trPr>
        <w:tc>
          <w:tcPr>
            <w:tcW w:w="846" w:type="dxa"/>
            <w:shd w:val="clear" w:color="auto" w:fill="FFFF00"/>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Umjerene </w:t>
            </w:r>
          </w:p>
        </w:tc>
      </w:tr>
      <w:tr w:rsidR="00A07D92">
        <w:trPr>
          <w:trHeight w:val="267"/>
        </w:trPr>
        <w:tc>
          <w:tcPr>
            <w:tcW w:w="846" w:type="dxa"/>
            <w:shd w:val="clear" w:color="auto" w:fill="CCFF99"/>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Malene </w:t>
            </w:r>
          </w:p>
        </w:tc>
      </w:tr>
      <w:tr w:rsidR="00A07D92">
        <w:trPr>
          <w:trHeight w:val="286"/>
        </w:trPr>
        <w:tc>
          <w:tcPr>
            <w:tcW w:w="846" w:type="dxa"/>
            <w:shd w:val="clear" w:color="auto" w:fill="C6D9F1" w:themeFill="text2" w:themeFillTint="33"/>
            <w:vAlign w:val="center"/>
          </w:tcPr>
          <w:p w:rsidR="00A07D92" w:rsidRDefault="00A07D92">
            <w:pPr>
              <w:spacing w:before="0" w:after="0" w:line="240" w:lineRule="auto"/>
              <w:rPr>
                <w:rFonts w:ascii="Times New Roman" w:hAnsi="Times New Roman" w:cs="Times New Roman"/>
                <w:sz w:val="18"/>
                <w:szCs w:val="20"/>
                <w:lang w:eastAsia="hr-HR"/>
              </w:rPr>
            </w:pPr>
          </w:p>
        </w:tc>
        <w:tc>
          <w:tcPr>
            <w:tcW w:w="1276" w:type="dxa"/>
            <w:shd w:val="clear" w:color="auto" w:fill="auto"/>
            <w:vAlign w:val="center"/>
          </w:tcPr>
          <w:p w:rsidR="00A07D92" w:rsidRDefault="00495E63">
            <w:pPr>
              <w:spacing w:before="0" w:after="0" w:line="240" w:lineRule="auto"/>
              <w:rPr>
                <w:rFonts w:ascii="Times New Roman" w:hAnsi="Times New Roman" w:cs="Times New Roman"/>
                <w:sz w:val="24"/>
                <w:lang w:eastAsia="hr-HR"/>
              </w:rPr>
            </w:pPr>
            <w:r>
              <w:rPr>
                <w:rFonts w:ascii="Times New Roman" w:hAnsi="Times New Roman" w:cs="Times New Roman"/>
                <w:sz w:val="18"/>
                <w:szCs w:val="20"/>
                <w:lang w:eastAsia="hr-HR"/>
              </w:rPr>
              <w:t xml:space="preserve">Neznatne </w:t>
            </w:r>
          </w:p>
        </w:tc>
      </w:tr>
    </w:tbl>
    <w:p w:rsidR="00A07D92" w:rsidRDefault="00495E63">
      <w:pPr>
        <w:jc w:val="center"/>
        <w:rPr>
          <w:i/>
          <w:iCs/>
          <w:color w:val="54883D"/>
        </w:rPr>
      </w:pPr>
      <w:r>
        <w:rPr>
          <w:noProof/>
          <w:lang w:eastAsia="hr-HR"/>
        </w:rPr>
        <w:drawing>
          <wp:inline distT="0" distB="0" distL="0" distR="0">
            <wp:extent cx="3330575" cy="4488180"/>
            <wp:effectExtent l="0" t="0" r="0" b="0"/>
            <wp:docPr id="176" name="Slik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lika30"/>
                    <pic:cNvPicPr>
                      <a:picLocks noChangeAspect="1" noChangeArrowheads="1"/>
                    </pic:cNvPicPr>
                  </pic:nvPicPr>
                  <pic:blipFill>
                    <a:blip r:embed="rId102"/>
                    <a:stretch>
                      <a:fillRect/>
                    </a:stretch>
                  </pic:blipFill>
                  <pic:spPr bwMode="auto">
                    <a:xfrm>
                      <a:off x="0" y="0"/>
                      <a:ext cx="3330575" cy="4488180"/>
                    </a:xfrm>
                    <a:prstGeom prst="rect">
                      <a:avLst/>
                    </a:prstGeom>
                  </pic:spPr>
                </pic:pic>
              </a:graphicData>
            </a:graphic>
          </wp:inline>
        </w:drawing>
      </w:r>
    </w:p>
    <w:p w:rsidR="00A07D92" w:rsidRDefault="00495E63">
      <w:pPr>
        <w:spacing w:before="0" w:after="0"/>
        <w:jc w:val="center"/>
        <w:rPr>
          <w:rFonts w:eastAsia="Calibri"/>
          <w:bCs/>
          <w:color w:val="54883D"/>
          <w:sz w:val="20"/>
          <w:szCs w:val="18"/>
          <w:lang w:bidi="en-US"/>
        </w:rPr>
      </w:pPr>
      <w:r>
        <w:rPr>
          <w:rFonts w:eastAsia="Calibri"/>
          <w:bCs/>
          <w:color w:val="54883D"/>
          <w:sz w:val="20"/>
          <w:szCs w:val="18"/>
          <w:lang w:bidi="en-US"/>
        </w:rPr>
        <w:t xml:space="preserve">Slika </w:t>
      </w:r>
      <w:r>
        <w:rPr>
          <w:rFonts w:eastAsia="Calibri"/>
          <w:bCs/>
          <w:color w:val="54883D"/>
          <w:sz w:val="20"/>
          <w:szCs w:val="18"/>
          <w:lang w:bidi="en-US"/>
        </w:rPr>
        <w:fldChar w:fldCharType="begin"/>
      </w:r>
      <w:r>
        <w:rPr>
          <w:rFonts w:eastAsia="Calibri"/>
          <w:bCs/>
          <w:sz w:val="20"/>
          <w:szCs w:val="18"/>
        </w:rPr>
        <w:instrText>SEQ Slika \* ARABIC</w:instrText>
      </w:r>
      <w:r>
        <w:rPr>
          <w:rFonts w:eastAsia="Calibri"/>
          <w:bCs/>
          <w:sz w:val="20"/>
          <w:szCs w:val="18"/>
        </w:rPr>
        <w:fldChar w:fldCharType="separate"/>
      </w:r>
      <w:r>
        <w:rPr>
          <w:rFonts w:eastAsia="Calibri"/>
          <w:bCs/>
          <w:sz w:val="20"/>
          <w:szCs w:val="18"/>
        </w:rPr>
        <w:t>48</w:t>
      </w:r>
      <w:r>
        <w:rPr>
          <w:rFonts w:eastAsia="Calibri"/>
          <w:bCs/>
          <w:sz w:val="20"/>
          <w:szCs w:val="18"/>
        </w:rPr>
        <w:fldChar w:fldCharType="end"/>
      </w:r>
      <w:r>
        <w:rPr>
          <w:rFonts w:eastAsia="Calibri"/>
          <w:bCs/>
          <w:color w:val="54883D"/>
          <w:sz w:val="20"/>
          <w:szCs w:val="18"/>
          <w:lang w:bidi="en-US"/>
        </w:rPr>
        <w:t>. Karta posljedica – tehničko-tehnološke nesreće u cestovnom prometu</w:t>
      </w:r>
    </w:p>
    <w:p w:rsidR="00A07D92" w:rsidRDefault="00A07D92">
      <w:pPr>
        <w:spacing w:before="0" w:after="200"/>
        <w:jc w:val="left"/>
        <w:rPr>
          <w:color w:val="FF0000"/>
          <w:szCs w:val="22"/>
        </w:rPr>
      </w:pPr>
    </w:p>
    <w:p w:rsidR="00A07D92" w:rsidRDefault="00A07D92">
      <w:pPr>
        <w:rPr>
          <w:lang w:bidi="en-US"/>
        </w:rPr>
      </w:pPr>
    </w:p>
    <w:p w:rsidR="00A07D92" w:rsidRDefault="00A07D92">
      <w:pPr>
        <w:spacing w:after="0"/>
        <w:rPr>
          <w:color w:val="auto"/>
          <w:szCs w:val="22"/>
        </w:rPr>
      </w:pPr>
    </w:p>
    <w:p w:rsidR="00A07D92" w:rsidRDefault="00A07D92">
      <w:pPr>
        <w:spacing w:after="0"/>
        <w:rPr>
          <w:rFonts w:eastAsiaTheme="minorHAnsi"/>
          <w:color w:val="auto"/>
          <w:szCs w:val="22"/>
        </w:rPr>
      </w:pPr>
    </w:p>
    <w:p w:rsidR="00A07D92" w:rsidRDefault="00A07D92">
      <w:pPr>
        <w:rPr>
          <w:lang w:bidi="en-US"/>
        </w:rPr>
      </w:pPr>
    </w:p>
    <w:p w:rsidR="00A07D92" w:rsidRDefault="00A07D92">
      <w:pPr>
        <w:rPr>
          <w:lang w:bidi="en-US"/>
        </w:rPr>
      </w:pPr>
    </w:p>
    <w:p w:rsidR="00A07D92" w:rsidRDefault="00A07D92">
      <w:pPr>
        <w:rPr>
          <w:lang w:bidi="en-US"/>
        </w:rPr>
      </w:pPr>
    </w:p>
    <w:p w:rsidR="00A07D92" w:rsidRDefault="00A07D92">
      <w:pPr>
        <w:spacing w:before="0" w:after="200"/>
        <w:jc w:val="left"/>
        <w:rPr>
          <w:color w:val="FF0000"/>
          <w:szCs w:val="22"/>
        </w:rPr>
      </w:pPr>
    </w:p>
    <w:p w:rsidR="00A07D92" w:rsidRDefault="00495E63">
      <w:pPr>
        <w:spacing w:before="0" w:after="200"/>
        <w:jc w:val="left"/>
        <w:rPr>
          <w:color w:val="FF0000"/>
          <w:szCs w:val="22"/>
        </w:rPr>
      </w:pPr>
      <w:r>
        <w:br w:type="page"/>
      </w:r>
    </w:p>
    <w:p w:rsidR="00A07D92" w:rsidRDefault="00495E63">
      <w:pPr>
        <w:pStyle w:val="Naslov1"/>
        <w:numPr>
          <w:ilvl w:val="0"/>
          <w:numId w:val="2"/>
        </w:numPr>
      </w:pPr>
      <w:bookmarkStart w:id="425" w:name="_Toc9596653"/>
      <w:bookmarkStart w:id="426" w:name="_Toc507493208"/>
      <w:bookmarkStart w:id="427" w:name="_Toc136522901"/>
      <w:bookmarkStart w:id="428" w:name="_Toc9596663"/>
      <w:bookmarkStart w:id="429" w:name="_Toc496856133"/>
      <w:bookmarkStart w:id="430" w:name="_Toc492284986"/>
      <w:bookmarkEnd w:id="425"/>
      <w:bookmarkEnd w:id="426"/>
      <w:r>
        <w:lastRenderedPageBreak/>
        <w:t>USPOREDBA RIZIKA</w:t>
      </w:r>
      <w:bookmarkEnd w:id="427"/>
      <w:bookmarkEnd w:id="428"/>
      <w:bookmarkEnd w:id="429"/>
      <w:bookmarkEnd w:id="430"/>
    </w:p>
    <w:p w:rsidR="00A07D92" w:rsidRDefault="00495E63">
      <w:r>
        <w:t xml:space="preserve">U ovom poglavlju prikazana je usporedba rezultata procjene jednostavnih rizika te obrada svih </w:t>
      </w:r>
      <w:r>
        <w:t>scenarija. Svi rezultati iskazani u zajedničkoj matrici.</w:t>
      </w:r>
    </w:p>
    <w:p w:rsidR="00A07D92" w:rsidRDefault="00495E63">
      <w:pPr>
        <w:jc w:val="center"/>
      </w:pPr>
      <w:r>
        <w:rPr>
          <w:noProof/>
          <w:lang w:eastAsia="hr-HR"/>
        </w:rPr>
        <mc:AlternateContent>
          <mc:Choice Requires="wps">
            <w:drawing>
              <wp:anchor distT="0" distB="0" distL="0" distR="0" simplePos="0" relativeHeight="19" behindDoc="0" locked="0" layoutInCell="1" allowOverlap="1" wp14:anchorId="054CCBDB">
                <wp:simplePos x="0" y="0"/>
                <wp:positionH relativeFrom="margin">
                  <wp:posOffset>2108835</wp:posOffset>
                </wp:positionH>
                <wp:positionV relativeFrom="paragraph">
                  <wp:posOffset>3048635</wp:posOffset>
                </wp:positionV>
                <wp:extent cx="659130" cy="207645"/>
                <wp:effectExtent l="0" t="0" r="27305" b="21590"/>
                <wp:wrapNone/>
                <wp:docPr id="177" name="Text Box 277"/>
                <wp:cNvGraphicFramePr/>
                <a:graphic xmlns:a="http://schemas.openxmlformats.org/drawingml/2006/main">
                  <a:graphicData uri="http://schemas.microsoft.com/office/word/2010/wordprocessingShape">
                    <wps:wsp>
                      <wps:cNvSpPr/>
                      <wps:spPr>
                        <a:xfrm>
                          <a:off x="0" y="0"/>
                          <a:ext cx="658440" cy="207000"/>
                        </a:xfrm>
                        <a:prstGeom prst="rect">
                          <a:avLst/>
                        </a:prstGeom>
                        <a:solidFill>
                          <a:schemeClr val="lt1"/>
                        </a:solidFill>
                        <a:ln w="6480">
                          <a:solidFill>
                            <a:srgbClr val="000000"/>
                          </a:solidFill>
                          <a:round/>
                        </a:ln>
                      </wps:spPr>
                      <wps:style>
                        <a:lnRef idx="0">
                          <a:schemeClr val="accent1"/>
                        </a:lnRef>
                        <a:fillRef idx="0">
                          <a:schemeClr val="accent1"/>
                        </a:fillRef>
                        <a:effectRef idx="0">
                          <a:schemeClr val="accent1"/>
                        </a:effectRef>
                        <a:fontRef idx="minor"/>
                      </wps:style>
                      <wps:txbx>
                        <w:txbxContent>
                          <w:p w:rsidR="00A07D92" w:rsidRDefault="00495E63">
                            <w:pPr>
                              <w:pStyle w:val="Sadrajokvira"/>
                              <w:spacing w:before="0" w:after="0" w:line="240" w:lineRule="auto"/>
                              <w:jc w:val="center"/>
                              <w:rPr>
                                <w:color w:val="000000"/>
                              </w:rPr>
                            </w:pPr>
                            <w:r>
                              <w:rPr>
                                <w:color w:val="000000"/>
                                <w:sz w:val="14"/>
                              </w:rPr>
                              <w:t>POPLAVE</w:t>
                            </w:r>
                          </w:p>
                        </w:txbxContent>
                      </wps:txbx>
                      <wps:bodyPr>
                        <a:prstTxWarp prst="textNoShape">
                          <a:avLst/>
                        </a:prstTxWarp>
                        <a:noAutofit/>
                      </wps:bodyPr>
                    </wps:wsp>
                  </a:graphicData>
                </a:graphic>
              </wp:anchor>
            </w:drawing>
          </mc:Choice>
          <mc:Fallback>
            <w:pict>
              <v:rect id="shape_0" ID="Text Box 277" fillcolor="white" stroked="t" style="position:absolute;margin-left:166.05pt;margin-top:240.05pt;width:51.8pt;height:16.25pt;mso-position-horizontal-relative:margin" wp14:anchorId="054CCBDB">
                <w10:wrap type="square"/>
                <v:fill o:detectmouseclick="t" type="solid" color2="black"/>
                <v:stroke color="black" weight="6480" joinstyle="round" endcap="flat"/>
                <v:textbox>
                  <w:txbxContent>
                    <w:p>
                      <w:pPr>
                        <w:pStyle w:val="Sadrajokvira"/>
                        <w:spacing w:lineRule="auto" w:line="240" w:before="0" w:after="0"/>
                        <w:jc w:val="center"/>
                        <w:rPr>
                          <w:color w:val="000000"/>
                        </w:rPr>
                      </w:pPr>
                      <w:r>
                        <w:rPr>
                          <w:color w:val="000000"/>
                          <w:sz w:val="14"/>
                        </w:rPr>
                        <w:t>POPLAVE</w:t>
                      </w:r>
                    </w:p>
                  </w:txbxContent>
                </v:textbox>
              </v:rect>
            </w:pict>
          </mc:Fallback>
        </mc:AlternateContent>
      </w:r>
      <w:r>
        <w:rPr>
          <w:noProof/>
          <w:lang w:eastAsia="hr-HR"/>
        </w:rPr>
        <mc:AlternateContent>
          <mc:Choice Requires="wps">
            <w:drawing>
              <wp:anchor distT="0" distB="0" distL="0" distR="0" simplePos="0" relativeHeight="20" behindDoc="0" locked="0" layoutInCell="1" allowOverlap="1" wp14:anchorId="2385B941">
                <wp:simplePos x="0" y="0"/>
                <wp:positionH relativeFrom="margin">
                  <wp:posOffset>1400810</wp:posOffset>
                </wp:positionH>
                <wp:positionV relativeFrom="paragraph">
                  <wp:posOffset>1444625</wp:posOffset>
                </wp:positionV>
                <wp:extent cx="605790" cy="184785"/>
                <wp:effectExtent l="0" t="0" r="23495" b="25400"/>
                <wp:wrapNone/>
                <wp:docPr id="179" name="Text Box 280"/>
                <wp:cNvGraphicFramePr/>
                <a:graphic xmlns:a="http://schemas.openxmlformats.org/drawingml/2006/main">
                  <a:graphicData uri="http://schemas.microsoft.com/office/word/2010/wordprocessingShape">
                    <wps:wsp>
                      <wps:cNvSpPr/>
                      <wps:spPr>
                        <a:xfrm>
                          <a:off x="0" y="0"/>
                          <a:ext cx="605160" cy="184320"/>
                        </a:xfrm>
                        <a:prstGeom prst="rect">
                          <a:avLst/>
                        </a:prstGeom>
                        <a:solidFill>
                          <a:schemeClr val="lt1"/>
                        </a:solidFill>
                        <a:ln w="6480">
                          <a:solidFill>
                            <a:srgbClr val="000000"/>
                          </a:solidFill>
                          <a:round/>
                        </a:ln>
                      </wps:spPr>
                      <wps:style>
                        <a:lnRef idx="0">
                          <a:schemeClr val="accent1"/>
                        </a:lnRef>
                        <a:fillRef idx="0">
                          <a:schemeClr val="accent1"/>
                        </a:fillRef>
                        <a:effectRef idx="0">
                          <a:schemeClr val="accent1"/>
                        </a:effectRef>
                        <a:fontRef idx="minor"/>
                      </wps:style>
                      <wps:txbx>
                        <w:txbxContent>
                          <w:p w:rsidR="00A07D92" w:rsidRDefault="00495E63">
                            <w:pPr>
                              <w:pStyle w:val="Sadrajokvira"/>
                              <w:spacing w:before="0" w:after="0" w:line="240" w:lineRule="auto"/>
                              <w:jc w:val="center"/>
                              <w:rPr>
                                <w:color w:val="000000"/>
                              </w:rPr>
                            </w:pPr>
                            <w:r>
                              <w:rPr>
                                <w:color w:val="000000"/>
                                <w:sz w:val="14"/>
                              </w:rPr>
                              <w:t>POTRES</w:t>
                            </w:r>
                          </w:p>
                        </w:txbxContent>
                      </wps:txbx>
                      <wps:bodyPr>
                        <a:prstTxWarp prst="textNoShape">
                          <a:avLst/>
                        </a:prstTxWarp>
                        <a:noAutofit/>
                      </wps:bodyPr>
                    </wps:wsp>
                  </a:graphicData>
                </a:graphic>
              </wp:anchor>
            </w:drawing>
          </mc:Choice>
          <mc:Fallback>
            <w:pict>
              <v:rect id="shape_0" ID="Text Box 280" fillcolor="white" stroked="t" style="position:absolute;margin-left:110.3pt;margin-top:113.75pt;width:47.6pt;height:14.45pt;mso-position-horizontal-relative:margin" wp14:anchorId="2385B941">
                <w10:wrap type="square"/>
                <v:fill o:detectmouseclick="t" type="solid" color2="black"/>
                <v:stroke color="black" weight="6480" joinstyle="round" endcap="flat"/>
                <v:textbox>
                  <w:txbxContent>
                    <w:p>
                      <w:pPr>
                        <w:pStyle w:val="Sadrajokvira"/>
                        <w:spacing w:lineRule="auto" w:line="240" w:before="0" w:after="0"/>
                        <w:jc w:val="center"/>
                        <w:rPr>
                          <w:color w:val="000000"/>
                        </w:rPr>
                      </w:pPr>
                      <w:r>
                        <w:rPr>
                          <w:color w:val="000000"/>
                          <w:sz w:val="14"/>
                        </w:rPr>
                        <w:t>POTRES</w:t>
                      </w:r>
                    </w:p>
                  </w:txbxContent>
                </v:textbox>
              </v:rect>
            </w:pict>
          </mc:Fallback>
        </mc:AlternateContent>
      </w:r>
      <w:r>
        <w:rPr>
          <w:noProof/>
          <w:lang w:eastAsia="hr-HR"/>
        </w:rPr>
        <mc:AlternateContent>
          <mc:Choice Requires="wps">
            <w:drawing>
              <wp:anchor distT="0" distB="0" distL="0" distR="0" simplePos="0" relativeHeight="21" behindDoc="0" locked="0" layoutInCell="1" allowOverlap="1" wp14:anchorId="0D09D8BD">
                <wp:simplePos x="0" y="0"/>
                <wp:positionH relativeFrom="margin">
                  <wp:posOffset>2077085</wp:posOffset>
                </wp:positionH>
                <wp:positionV relativeFrom="paragraph">
                  <wp:posOffset>2103755</wp:posOffset>
                </wp:positionV>
                <wp:extent cx="708025" cy="397510"/>
                <wp:effectExtent l="0" t="0" r="16510" b="22225"/>
                <wp:wrapNone/>
                <wp:docPr id="181" name="Text Box 277"/>
                <wp:cNvGraphicFramePr/>
                <a:graphic xmlns:a="http://schemas.openxmlformats.org/drawingml/2006/main">
                  <a:graphicData uri="http://schemas.microsoft.com/office/word/2010/wordprocessingShape">
                    <wps:wsp>
                      <wps:cNvSpPr/>
                      <wps:spPr>
                        <a:xfrm>
                          <a:off x="0" y="0"/>
                          <a:ext cx="707400" cy="396720"/>
                        </a:xfrm>
                        <a:prstGeom prst="rect">
                          <a:avLst/>
                        </a:prstGeom>
                        <a:solidFill>
                          <a:srgbClr val="FFFFFF"/>
                        </a:solidFill>
                        <a:ln w="6480">
                          <a:solidFill>
                            <a:srgbClr val="000000"/>
                          </a:solidFill>
                          <a:round/>
                        </a:ln>
                      </wps:spPr>
                      <wps:style>
                        <a:lnRef idx="0">
                          <a:scrgbClr r="0" g="0" b="0"/>
                        </a:lnRef>
                        <a:fillRef idx="0">
                          <a:scrgbClr r="0" g="0" b="0"/>
                        </a:fillRef>
                        <a:effectRef idx="0">
                          <a:scrgbClr r="0" g="0" b="0"/>
                        </a:effectRef>
                        <a:fontRef idx="minor"/>
                      </wps:style>
                      <wps:txbx>
                        <w:txbxContent>
                          <w:p w:rsidR="00A07D92" w:rsidRDefault="00495E63">
                            <w:pPr>
                              <w:pStyle w:val="Sadrajokvira"/>
                              <w:spacing w:before="0" w:after="0" w:line="240" w:lineRule="auto"/>
                              <w:jc w:val="center"/>
                            </w:pPr>
                            <w:r>
                              <w:rPr>
                                <w:sz w:val="14"/>
                              </w:rPr>
                              <w:t>EPIDEMIJE I PANDEMIJE</w:t>
                            </w:r>
                          </w:p>
                        </w:txbxContent>
                      </wps:txbx>
                      <wps:bodyPr>
                        <a:prstTxWarp prst="textNoShape">
                          <a:avLst/>
                        </a:prstTxWarp>
                        <a:noAutofit/>
                      </wps:bodyPr>
                    </wps:wsp>
                  </a:graphicData>
                </a:graphic>
              </wp:anchor>
            </w:drawing>
          </mc:Choice>
          <mc:Fallback>
            <w:pict>
              <v:rect id="shape_0" ID="Text Box 277" fillcolor="white" stroked="t" style="position:absolute;margin-left:163.55pt;margin-top:165.65pt;width:55.65pt;height:31.2pt;mso-position-horizontal-relative:margin" wp14:anchorId="0D09D8BD">
                <w10:wrap type="square"/>
                <v:fill o:detectmouseclick="t" type="solid" color2="black"/>
                <v:stroke color="black" weight="6480" joinstyle="round" endcap="flat"/>
                <v:textbox>
                  <w:txbxContent>
                    <w:p>
                      <w:pPr>
                        <w:pStyle w:val="Sadrajokvira"/>
                        <w:spacing w:lineRule="auto" w:line="240" w:before="0" w:after="0"/>
                        <w:jc w:val="center"/>
                        <w:rPr/>
                      </w:pPr>
                      <w:r>
                        <w:rPr>
                          <w:sz w:val="14"/>
                        </w:rPr>
                        <w:t>EPIDEMIJE I PANDEMIJE</w:t>
                      </w:r>
                    </w:p>
                  </w:txbxContent>
                </v:textbox>
              </v:rect>
            </w:pict>
          </mc:Fallback>
        </mc:AlternateContent>
      </w:r>
      <w:r>
        <w:rPr>
          <w:noProof/>
          <w:lang w:eastAsia="hr-HR"/>
        </w:rPr>
        <mc:AlternateContent>
          <mc:Choice Requires="wps">
            <w:drawing>
              <wp:anchor distT="0" distB="0" distL="0" distR="0" simplePos="0" relativeHeight="42" behindDoc="0" locked="0" layoutInCell="1" allowOverlap="1" wp14:anchorId="5C3968EB">
                <wp:simplePos x="0" y="0"/>
                <wp:positionH relativeFrom="margin">
                  <wp:posOffset>2811780</wp:posOffset>
                </wp:positionH>
                <wp:positionV relativeFrom="paragraph">
                  <wp:posOffset>2084070</wp:posOffset>
                </wp:positionV>
                <wp:extent cx="659130" cy="405765"/>
                <wp:effectExtent l="0" t="0" r="27305" b="13970"/>
                <wp:wrapNone/>
                <wp:docPr id="183" name="Text Box 277"/>
                <wp:cNvGraphicFramePr/>
                <a:graphic xmlns:a="http://schemas.openxmlformats.org/drawingml/2006/main">
                  <a:graphicData uri="http://schemas.microsoft.com/office/word/2010/wordprocessingShape">
                    <wps:wsp>
                      <wps:cNvSpPr/>
                      <wps:spPr>
                        <a:xfrm>
                          <a:off x="0" y="0"/>
                          <a:ext cx="658440" cy="405000"/>
                        </a:xfrm>
                        <a:prstGeom prst="rect">
                          <a:avLst/>
                        </a:prstGeom>
                        <a:solidFill>
                          <a:srgbClr val="FFFFFF"/>
                        </a:solidFill>
                        <a:ln w="6480">
                          <a:solidFill>
                            <a:srgbClr val="000000"/>
                          </a:solidFill>
                          <a:round/>
                        </a:ln>
                      </wps:spPr>
                      <wps:style>
                        <a:lnRef idx="0">
                          <a:scrgbClr r="0" g="0" b="0"/>
                        </a:lnRef>
                        <a:fillRef idx="0">
                          <a:scrgbClr r="0" g="0" b="0"/>
                        </a:fillRef>
                        <a:effectRef idx="0">
                          <a:scrgbClr r="0" g="0" b="0"/>
                        </a:effectRef>
                        <a:fontRef idx="minor"/>
                      </wps:style>
                      <wps:txbx>
                        <w:txbxContent>
                          <w:p w:rsidR="00A07D92" w:rsidRDefault="00495E63">
                            <w:pPr>
                              <w:pStyle w:val="Sadrajokvira"/>
                              <w:spacing w:before="0" w:after="0" w:line="240" w:lineRule="auto"/>
                              <w:ind w:left="-142" w:right="-117"/>
                              <w:jc w:val="center"/>
                            </w:pPr>
                            <w:r>
                              <w:rPr>
                                <w:sz w:val="14"/>
                              </w:rPr>
                              <w:t>POŽARI OTVORENOG TIPA</w:t>
                            </w:r>
                          </w:p>
                        </w:txbxContent>
                      </wps:txbx>
                      <wps:bodyPr>
                        <a:prstTxWarp prst="textNoShape">
                          <a:avLst/>
                        </a:prstTxWarp>
                        <a:noAutofit/>
                      </wps:bodyPr>
                    </wps:wsp>
                  </a:graphicData>
                </a:graphic>
              </wp:anchor>
            </w:drawing>
          </mc:Choice>
          <mc:Fallback>
            <w:pict>
              <v:rect id="shape_0" ID="Text Box 277" fillcolor="white" stroked="t" style="position:absolute;margin-left:221.4pt;margin-top:164.1pt;width:51.8pt;height:31.85pt;mso-position-horizontal-relative:margin" wp14:anchorId="5C3968EB">
                <w10:wrap type="square"/>
                <v:fill o:detectmouseclick="t" type="solid" color2="black"/>
                <v:stroke color="black" weight="6480" joinstyle="round" endcap="flat"/>
                <v:textbox>
                  <w:txbxContent>
                    <w:p>
                      <w:pPr>
                        <w:pStyle w:val="Sadrajokvira"/>
                        <w:spacing w:lineRule="auto" w:line="240" w:before="0" w:after="0"/>
                        <w:ind w:left="-142" w:right="-117" w:hanging="0"/>
                        <w:jc w:val="center"/>
                        <w:rPr/>
                      </w:pPr>
                      <w:r>
                        <w:rPr>
                          <w:sz w:val="14"/>
                        </w:rPr>
                        <w:t>POŽARI OTVORENOG TIPA</w:t>
                      </w:r>
                    </w:p>
                  </w:txbxContent>
                </v:textbox>
              </v:rect>
            </w:pict>
          </mc:Fallback>
        </mc:AlternateContent>
      </w:r>
      <w:r>
        <w:rPr>
          <w:noProof/>
          <w:lang w:eastAsia="hr-HR"/>
        </w:rPr>
        <mc:AlternateContent>
          <mc:Choice Requires="wps">
            <w:drawing>
              <wp:anchor distT="0" distB="0" distL="0" distR="0" simplePos="0" relativeHeight="51" behindDoc="0" locked="0" layoutInCell="1" allowOverlap="1" wp14:anchorId="52944DE9">
                <wp:simplePos x="0" y="0"/>
                <wp:positionH relativeFrom="margin">
                  <wp:posOffset>1400810</wp:posOffset>
                </wp:positionH>
                <wp:positionV relativeFrom="paragraph">
                  <wp:posOffset>1953895</wp:posOffset>
                </wp:positionV>
                <wp:extent cx="659130" cy="739775"/>
                <wp:effectExtent l="0" t="0" r="27305" b="22860"/>
                <wp:wrapNone/>
                <wp:docPr id="185" name="Text Box 277"/>
                <wp:cNvGraphicFramePr/>
                <a:graphic xmlns:a="http://schemas.openxmlformats.org/drawingml/2006/main">
                  <a:graphicData uri="http://schemas.microsoft.com/office/word/2010/wordprocessingShape">
                    <wps:wsp>
                      <wps:cNvSpPr/>
                      <wps:spPr>
                        <a:xfrm>
                          <a:off x="0" y="0"/>
                          <a:ext cx="658440" cy="739080"/>
                        </a:xfrm>
                        <a:prstGeom prst="rect">
                          <a:avLst/>
                        </a:prstGeom>
                        <a:solidFill>
                          <a:srgbClr val="FFFFFF"/>
                        </a:solidFill>
                        <a:ln w="6480">
                          <a:solidFill>
                            <a:srgbClr val="000000"/>
                          </a:solidFill>
                          <a:round/>
                        </a:ln>
                      </wps:spPr>
                      <wps:style>
                        <a:lnRef idx="0">
                          <a:scrgbClr r="0" g="0" b="0"/>
                        </a:lnRef>
                        <a:fillRef idx="0">
                          <a:scrgbClr r="0" g="0" b="0"/>
                        </a:fillRef>
                        <a:effectRef idx="0">
                          <a:scrgbClr r="0" g="0" b="0"/>
                        </a:effectRef>
                        <a:fontRef idx="minor"/>
                      </wps:style>
                      <wps:txbx>
                        <w:txbxContent>
                          <w:p w:rsidR="00A07D92" w:rsidRDefault="00495E63">
                            <w:pPr>
                              <w:pStyle w:val="Sadrajokvira"/>
                              <w:spacing w:before="0" w:after="0" w:line="240" w:lineRule="auto"/>
                              <w:ind w:left="-142" w:right="-117"/>
                              <w:jc w:val="center"/>
                            </w:pPr>
                            <w:r>
                              <w:rPr>
                                <w:sz w:val="14"/>
                              </w:rPr>
                              <w:t>TEH.-</w:t>
                            </w:r>
                            <w:proofErr w:type="spellStart"/>
                            <w:r>
                              <w:rPr>
                                <w:sz w:val="14"/>
                              </w:rPr>
                              <w:t>TEH</w:t>
                            </w:r>
                            <w:proofErr w:type="spellEnd"/>
                            <w:r>
                              <w:rPr>
                                <w:sz w:val="14"/>
                              </w:rPr>
                              <w:t>. NESREĆE U CESTOVNOM PROMETU I INDUSTRIJSKE NESREĆE</w:t>
                            </w:r>
                          </w:p>
                        </w:txbxContent>
                      </wps:txbx>
                      <wps:bodyPr>
                        <a:prstTxWarp prst="textNoShape">
                          <a:avLst/>
                        </a:prstTxWarp>
                        <a:noAutofit/>
                      </wps:bodyPr>
                    </wps:wsp>
                  </a:graphicData>
                </a:graphic>
              </wp:anchor>
            </w:drawing>
          </mc:Choice>
          <mc:Fallback>
            <w:pict>
              <v:rect id="shape_0" ID="Text Box 277" fillcolor="white" stroked="t" style="position:absolute;margin-left:110.3pt;margin-top:153.85pt;width:51.8pt;height:58.15pt;mso-position-horizontal-relative:margin" wp14:anchorId="52944DE9">
                <w10:wrap type="square"/>
                <v:fill o:detectmouseclick="t" type="solid" color2="black"/>
                <v:stroke color="black" weight="6480" joinstyle="round" endcap="flat"/>
                <v:textbox>
                  <w:txbxContent>
                    <w:p>
                      <w:pPr>
                        <w:pStyle w:val="Sadrajokvira"/>
                        <w:spacing w:lineRule="auto" w:line="240" w:before="0" w:after="0"/>
                        <w:ind w:left="-142" w:right="-117" w:hanging="0"/>
                        <w:jc w:val="center"/>
                        <w:rPr/>
                      </w:pPr>
                      <w:r>
                        <w:rPr>
                          <w:sz w:val="14"/>
                        </w:rPr>
                        <w:t>TEH.-TEH. NESREĆE U CESTOVNOM PROMETU I INDUSTRIJSKE NESREĆE</w:t>
                      </w:r>
                    </w:p>
                  </w:txbxContent>
                </v:textbox>
              </v:rect>
            </w:pict>
          </mc:Fallback>
        </mc:AlternateContent>
      </w:r>
      <w:r>
        <w:rPr>
          <w:noProof/>
          <w:lang w:eastAsia="hr-HR"/>
        </w:rPr>
        <mc:AlternateContent>
          <mc:Choice Requires="wps">
            <w:drawing>
              <wp:anchor distT="0" distB="0" distL="0" distR="0" simplePos="0" relativeHeight="56" behindDoc="0" locked="0" layoutInCell="1" allowOverlap="1" wp14:anchorId="6DB05FE0">
                <wp:simplePos x="0" y="0"/>
                <wp:positionH relativeFrom="column">
                  <wp:posOffset>2117090</wp:posOffset>
                </wp:positionH>
                <wp:positionV relativeFrom="paragraph">
                  <wp:posOffset>2693035</wp:posOffset>
                </wp:positionV>
                <wp:extent cx="640715" cy="290195"/>
                <wp:effectExtent l="0" t="0" r="26670" b="15240"/>
                <wp:wrapNone/>
                <wp:docPr id="187" name="Text Box 458"/>
                <wp:cNvGraphicFramePr/>
                <a:graphic xmlns:a="http://schemas.openxmlformats.org/drawingml/2006/main">
                  <a:graphicData uri="http://schemas.microsoft.com/office/word/2010/wordprocessingShape">
                    <wps:wsp>
                      <wps:cNvSpPr/>
                      <wps:spPr>
                        <a:xfrm>
                          <a:off x="0" y="0"/>
                          <a:ext cx="640080" cy="289440"/>
                        </a:xfrm>
                        <a:prstGeom prst="rect">
                          <a:avLst/>
                        </a:prstGeom>
                        <a:solidFill>
                          <a:schemeClr val="lt1"/>
                        </a:solidFill>
                        <a:ln w="6480">
                          <a:solidFill>
                            <a:srgbClr val="000000"/>
                          </a:solidFill>
                          <a:round/>
                        </a:ln>
                      </wps:spPr>
                      <wps:style>
                        <a:lnRef idx="0">
                          <a:scrgbClr r="0" g="0" b="0"/>
                        </a:lnRef>
                        <a:fillRef idx="0">
                          <a:scrgbClr r="0" g="0" b="0"/>
                        </a:fillRef>
                        <a:effectRef idx="0">
                          <a:scrgbClr r="0" g="0" b="0"/>
                        </a:effectRef>
                        <a:fontRef idx="minor"/>
                      </wps:style>
                      <wps:txbx>
                        <w:txbxContent>
                          <w:p w:rsidR="00A07D92" w:rsidRDefault="00495E63">
                            <w:pPr>
                              <w:pStyle w:val="Sadrajokvira"/>
                            </w:pPr>
                            <w:r>
                              <w:rPr>
                                <w:sz w:val="18"/>
                                <w:szCs w:val="18"/>
                              </w:rPr>
                              <w:t>VJETAR</w:t>
                            </w:r>
                          </w:p>
                        </w:txbxContent>
                      </wps:txbx>
                      <wps:bodyPr>
                        <a:prstTxWarp prst="textNoShape">
                          <a:avLst/>
                        </a:prstTxWarp>
                        <a:noAutofit/>
                      </wps:bodyPr>
                    </wps:wsp>
                  </a:graphicData>
                </a:graphic>
              </wp:anchor>
            </w:drawing>
          </mc:Choice>
          <mc:Fallback>
            <w:pict>
              <v:rect id="shape_0" ID="Text Box 458" fillcolor="white" stroked="t" style="position:absolute;margin-left:166.7pt;margin-top:212.05pt;width:50.35pt;height:22.75pt" wp14:anchorId="6DB05FE0">
                <w10:wrap type="square"/>
                <v:fill o:detectmouseclick="t" type="solid" color2="black"/>
                <v:stroke color="black" weight="6480" joinstyle="round" endcap="flat"/>
                <v:textbox>
                  <w:txbxContent>
                    <w:p>
                      <w:pPr>
                        <w:pStyle w:val="Sadrajokvira"/>
                        <w:spacing w:before="80" w:after="160"/>
                        <w:rPr/>
                      </w:pPr>
                      <w:r>
                        <w:rPr>
                          <w:sz w:val="18"/>
                          <w:szCs w:val="18"/>
                        </w:rPr>
                        <w:t>VJETAR</w:t>
                      </w:r>
                    </w:p>
                  </w:txbxContent>
                </v:textbox>
              </v:rect>
            </w:pict>
          </mc:Fallback>
        </mc:AlternateContent>
      </w:r>
      <w:r>
        <w:rPr>
          <w:noProof/>
          <w:lang w:eastAsia="hr-HR"/>
        </w:rPr>
        <mc:AlternateContent>
          <mc:Choice Requires="wps">
            <w:drawing>
              <wp:anchor distT="0" distB="0" distL="0" distR="0" simplePos="0" relativeHeight="66" behindDoc="0" locked="0" layoutInCell="1" allowOverlap="1" wp14:anchorId="6998AA8C">
                <wp:simplePos x="0" y="0"/>
                <wp:positionH relativeFrom="column">
                  <wp:posOffset>4197350</wp:posOffset>
                </wp:positionH>
                <wp:positionV relativeFrom="paragraph">
                  <wp:posOffset>2647315</wp:posOffset>
                </wp:positionV>
                <wp:extent cx="625475" cy="648335"/>
                <wp:effectExtent l="0" t="0" r="22860" b="19050"/>
                <wp:wrapNone/>
                <wp:docPr id="189" name="Text Box 14"/>
                <wp:cNvGraphicFramePr/>
                <a:graphic xmlns:a="http://schemas.openxmlformats.org/drawingml/2006/main">
                  <a:graphicData uri="http://schemas.microsoft.com/office/word/2010/wordprocessingShape">
                    <wps:wsp>
                      <wps:cNvSpPr/>
                      <wps:spPr>
                        <a:xfrm>
                          <a:off x="0" y="0"/>
                          <a:ext cx="624960" cy="647640"/>
                        </a:xfrm>
                        <a:prstGeom prst="rect">
                          <a:avLst/>
                        </a:prstGeom>
                        <a:solidFill>
                          <a:schemeClr val="lt1"/>
                        </a:solidFill>
                        <a:ln w="6480">
                          <a:solidFill>
                            <a:srgbClr val="000000"/>
                          </a:solidFill>
                          <a:round/>
                        </a:ln>
                      </wps:spPr>
                      <wps:style>
                        <a:lnRef idx="0">
                          <a:scrgbClr r="0" g="0" b="0"/>
                        </a:lnRef>
                        <a:fillRef idx="0">
                          <a:scrgbClr r="0" g="0" b="0"/>
                        </a:fillRef>
                        <a:effectRef idx="0">
                          <a:scrgbClr r="0" g="0" b="0"/>
                        </a:effectRef>
                        <a:fontRef idx="minor"/>
                      </wps:style>
                      <wps:txbx>
                        <w:txbxContent>
                          <w:p w:rsidR="00A07D92" w:rsidRDefault="00495E63">
                            <w:pPr>
                              <w:pStyle w:val="Sadrajokvira"/>
                            </w:pPr>
                            <w:r>
                              <w:rPr>
                                <w:sz w:val="16"/>
                                <w:szCs w:val="16"/>
                              </w:rPr>
                              <w:t>EKSTREMNE TEMPERATURE</w:t>
                            </w:r>
                          </w:p>
                        </w:txbxContent>
                      </wps:txbx>
                      <wps:bodyPr>
                        <a:prstTxWarp prst="textNoShape">
                          <a:avLst/>
                        </a:prstTxWarp>
                        <a:noAutofit/>
                      </wps:bodyPr>
                    </wps:wsp>
                  </a:graphicData>
                </a:graphic>
              </wp:anchor>
            </w:drawing>
          </mc:Choice>
          <mc:Fallback>
            <w:pict>
              <v:rect id="shape_0" ID="Text Box 14" fillcolor="white" stroked="t" style="position:absolute;margin-left:330.5pt;margin-top:208.45pt;width:49.15pt;height:50.95pt" wp14:anchorId="6998AA8C">
                <w10:wrap type="square"/>
                <v:fill o:detectmouseclick="t" type="solid" color2="black"/>
                <v:stroke color="black" weight="6480" joinstyle="round" endcap="flat"/>
                <v:textbox>
                  <w:txbxContent>
                    <w:p>
                      <w:pPr>
                        <w:pStyle w:val="Sadrajokvira"/>
                        <w:spacing w:before="80" w:after="160"/>
                        <w:rPr/>
                      </w:pPr>
                      <w:r>
                        <w:rPr>
                          <w:sz w:val="16"/>
                          <w:szCs w:val="16"/>
                        </w:rPr>
                        <w:t>EKSTREMNE TEMPERATURE</w:t>
                      </w:r>
                    </w:p>
                  </w:txbxContent>
                </v:textbox>
              </v:rect>
            </w:pict>
          </mc:Fallback>
        </mc:AlternateContent>
      </w:r>
      <w:r>
        <w:rPr>
          <w:noProof/>
          <w:lang w:eastAsia="hr-HR"/>
        </w:rPr>
        <mc:AlternateContent>
          <mc:Choice Requires="wps">
            <w:drawing>
              <wp:anchor distT="0" distB="0" distL="0" distR="0" simplePos="0" relativeHeight="67" behindDoc="0" locked="0" layoutInCell="1" allowOverlap="1" wp14:anchorId="0A04B15E">
                <wp:simplePos x="0" y="0"/>
                <wp:positionH relativeFrom="column">
                  <wp:posOffset>2856230</wp:posOffset>
                </wp:positionH>
                <wp:positionV relativeFrom="paragraph">
                  <wp:posOffset>2769235</wp:posOffset>
                </wp:positionV>
                <wp:extent cx="640715" cy="320675"/>
                <wp:effectExtent l="0" t="0" r="26670" b="22860"/>
                <wp:wrapNone/>
                <wp:docPr id="191" name="Text Box 15"/>
                <wp:cNvGraphicFramePr/>
                <a:graphic xmlns:a="http://schemas.openxmlformats.org/drawingml/2006/main">
                  <a:graphicData uri="http://schemas.microsoft.com/office/word/2010/wordprocessingShape">
                    <wps:wsp>
                      <wps:cNvSpPr/>
                      <wps:spPr>
                        <a:xfrm>
                          <a:off x="0" y="0"/>
                          <a:ext cx="640080" cy="320040"/>
                        </a:xfrm>
                        <a:prstGeom prst="rect">
                          <a:avLst/>
                        </a:prstGeom>
                        <a:solidFill>
                          <a:schemeClr val="lt1"/>
                        </a:solidFill>
                        <a:ln w="6480">
                          <a:solidFill>
                            <a:srgbClr val="000000"/>
                          </a:solidFill>
                          <a:round/>
                        </a:ln>
                      </wps:spPr>
                      <wps:style>
                        <a:lnRef idx="0">
                          <a:scrgbClr r="0" g="0" b="0"/>
                        </a:lnRef>
                        <a:fillRef idx="0">
                          <a:scrgbClr r="0" g="0" b="0"/>
                        </a:fillRef>
                        <a:effectRef idx="0">
                          <a:scrgbClr r="0" g="0" b="0"/>
                        </a:effectRef>
                        <a:fontRef idx="minor"/>
                      </wps:style>
                      <wps:txbx>
                        <w:txbxContent>
                          <w:p w:rsidR="00A07D92" w:rsidRDefault="00495E63">
                            <w:pPr>
                              <w:pStyle w:val="Sadrajokvira"/>
                            </w:pPr>
                            <w:r>
                              <w:rPr>
                                <w:sz w:val="16"/>
                                <w:szCs w:val="16"/>
                              </w:rPr>
                              <w:t>KLIZIŠTA</w:t>
                            </w:r>
                          </w:p>
                        </w:txbxContent>
                      </wps:txbx>
                      <wps:bodyPr>
                        <a:prstTxWarp prst="textNoShape">
                          <a:avLst/>
                        </a:prstTxWarp>
                        <a:noAutofit/>
                      </wps:bodyPr>
                    </wps:wsp>
                  </a:graphicData>
                </a:graphic>
              </wp:anchor>
            </w:drawing>
          </mc:Choice>
          <mc:Fallback>
            <w:pict>
              <v:rect id="shape_0" ID="Text Box 15" fillcolor="white" stroked="t" style="position:absolute;margin-left:224.9pt;margin-top:218.05pt;width:50.35pt;height:25.15pt" wp14:anchorId="0A04B15E">
                <w10:wrap type="square"/>
                <v:fill o:detectmouseclick="t" type="solid" color2="black"/>
                <v:stroke color="black" weight="6480" joinstyle="round" endcap="flat"/>
                <v:textbox>
                  <w:txbxContent>
                    <w:p>
                      <w:pPr>
                        <w:pStyle w:val="Sadrajokvira"/>
                        <w:spacing w:before="80" w:after="160"/>
                        <w:rPr/>
                      </w:pPr>
                      <w:r>
                        <w:rPr>
                          <w:sz w:val="16"/>
                          <w:szCs w:val="16"/>
                        </w:rPr>
                        <w:t>KLIZIŠTA</w:t>
                      </w:r>
                    </w:p>
                  </w:txbxContent>
                </v:textbox>
              </v:rect>
            </w:pict>
          </mc:Fallback>
        </mc:AlternateContent>
      </w:r>
      <w:r>
        <w:rPr>
          <w:b/>
          <w:i/>
        </w:rPr>
        <w:t xml:space="preserve">Događaj sa </w:t>
      </w:r>
      <w:r>
        <w:rPr>
          <w:b/>
          <w:i/>
        </w:rPr>
        <w:t>najgorim mogućim posljedicama</w:t>
      </w:r>
      <w:r>
        <w:rPr>
          <w:noProof/>
          <w:lang w:eastAsia="hr-HR"/>
        </w:rPr>
        <w:drawing>
          <wp:inline distT="0" distB="0" distL="0" distR="0">
            <wp:extent cx="6276340" cy="4961890"/>
            <wp:effectExtent l="0" t="0" r="0" b="0"/>
            <wp:docPr id="19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11"/>
                    <pic:cNvPicPr>
                      <a:picLocks noChangeAspect="1" noChangeArrowheads="1"/>
                    </pic:cNvPicPr>
                  </pic:nvPicPr>
                  <pic:blipFill>
                    <a:blip r:embed="rId98"/>
                    <a:stretch>
                      <a:fillRect/>
                    </a:stretch>
                  </pic:blipFill>
                  <pic:spPr bwMode="auto">
                    <a:xfrm>
                      <a:off x="0" y="0"/>
                      <a:ext cx="6276340" cy="4961890"/>
                    </a:xfrm>
                    <a:prstGeom prst="rect">
                      <a:avLst/>
                    </a:prstGeom>
                  </pic:spPr>
                </pic:pic>
              </a:graphicData>
            </a:graphic>
          </wp:inline>
        </w:drawing>
      </w:r>
    </w:p>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495E63">
      <w:pPr>
        <w:pStyle w:val="Naslov1"/>
        <w:numPr>
          <w:ilvl w:val="0"/>
          <w:numId w:val="2"/>
        </w:numPr>
      </w:pPr>
      <w:bookmarkStart w:id="431" w:name="_Toc136522902"/>
      <w:bookmarkStart w:id="432" w:name="_Toc9596664"/>
      <w:bookmarkStart w:id="433" w:name="_Toc496856134"/>
      <w:bookmarkStart w:id="434" w:name="_Toc492284987"/>
      <w:r>
        <w:lastRenderedPageBreak/>
        <w:t>ANALIZA SUSTAVA CIVILNE ZAŠTITE</w:t>
      </w:r>
      <w:bookmarkEnd w:id="431"/>
      <w:bookmarkEnd w:id="432"/>
      <w:bookmarkEnd w:id="433"/>
      <w:bookmarkEnd w:id="434"/>
    </w:p>
    <w:p w:rsidR="00A07D92" w:rsidRDefault="00495E63">
      <w:pPr>
        <w:spacing w:after="0"/>
        <w:rPr>
          <w:lang w:eastAsia="hr-HR"/>
        </w:rPr>
      </w:pPr>
      <w:r>
        <w:rPr>
          <w:lang w:eastAsia="hr-HR"/>
        </w:rPr>
        <w:t xml:space="preserve">Za potrebu analize sustava civilne zaštite, potrebno je izraditi analizu u području preventive i reagiranja. Analiza stanja sustava civilne zaštite na području grada Malog Lošinja </w:t>
      </w:r>
      <w:r>
        <w:rPr>
          <w:lang w:eastAsia="hr-HR"/>
        </w:rPr>
        <w:t>ocjenjivat će se temeljem tvrdnji iz tabličnih prikaza te izvedenih zaključaka. Ocjene će se dodijeliti temeljem omjera pozitivnih i negativnih tvrdnji u tablicama. Ocjene će se prikazati na sljedeći način:</w:t>
      </w:r>
    </w:p>
    <w:p w:rsidR="00A07D92" w:rsidRDefault="00495E63">
      <w:pPr>
        <w:numPr>
          <w:ilvl w:val="0"/>
          <w:numId w:val="8"/>
        </w:numPr>
        <w:tabs>
          <w:tab w:val="left" w:pos="2445"/>
        </w:tabs>
        <w:spacing w:before="72" w:after="72"/>
        <w:contextualSpacing/>
        <w:rPr>
          <w:lang w:eastAsia="hr-HR"/>
        </w:rPr>
      </w:pPr>
      <w:r>
        <w:rPr>
          <w:lang w:eastAsia="hr-HR"/>
        </w:rPr>
        <w:t>0-25% - vrlo niska spremnost</w:t>
      </w:r>
    </w:p>
    <w:p w:rsidR="00A07D92" w:rsidRDefault="00495E63">
      <w:pPr>
        <w:numPr>
          <w:ilvl w:val="0"/>
          <w:numId w:val="8"/>
        </w:numPr>
        <w:tabs>
          <w:tab w:val="left" w:pos="2445"/>
        </w:tabs>
        <w:spacing w:before="72" w:after="72"/>
        <w:contextualSpacing/>
        <w:rPr>
          <w:lang w:eastAsia="hr-HR"/>
        </w:rPr>
      </w:pPr>
      <w:r>
        <w:rPr>
          <w:lang w:eastAsia="hr-HR"/>
        </w:rPr>
        <w:t>26-50% - niska sprem</w:t>
      </w:r>
      <w:r>
        <w:rPr>
          <w:lang w:eastAsia="hr-HR"/>
        </w:rPr>
        <w:t>nost</w:t>
      </w:r>
    </w:p>
    <w:p w:rsidR="00A07D92" w:rsidRDefault="00495E63">
      <w:pPr>
        <w:numPr>
          <w:ilvl w:val="0"/>
          <w:numId w:val="8"/>
        </w:numPr>
        <w:tabs>
          <w:tab w:val="left" w:pos="2445"/>
        </w:tabs>
        <w:spacing w:before="72" w:after="72"/>
        <w:contextualSpacing/>
        <w:rPr>
          <w:lang w:eastAsia="hr-HR"/>
        </w:rPr>
      </w:pPr>
      <w:r>
        <w:rPr>
          <w:lang w:eastAsia="hr-HR"/>
        </w:rPr>
        <w:t>51-75% - visoka spremnosti</w:t>
      </w:r>
    </w:p>
    <w:p w:rsidR="00A07D92" w:rsidRDefault="00495E63">
      <w:pPr>
        <w:numPr>
          <w:ilvl w:val="0"/>
          <w:numId w:val="8"/>
        </w:numPr>
        <w:tabs>
          <w:tab w:val="left" w:pos="2445"/>
        </w:tabs>
        <w:spacing w:before="72" w:after="72"/>
        <w:contextualSpacing/>
        <w:rPr>
          <w:lang w:eastAsia="hr-HR"/>
        </w:rPr>
      </w:pPr>
      <w:r>
        <w:rPr>
          <w:lang w:eastAsia="hr-HR"/>
        </w:rPr>
        <w:t>76-100% - vrlo visoka spremnost</w:t>
      </w:r>
    </w:p>
    <w:p w:rsidR="00A07D92" w:rsidRDefault="00A07D92">
      <w:pPr>
        <w:spacing w:after="0"/>
        <w:rPr>
          <w:lang w:eastAsia="hr-HR"/>
        </w:rPr>
      </w:pPr>
    </w:p>
    <w:p w:rsidR="00A07D92" w:rsidRDefault="00495E63">
      <w:pPr>
        <w:keepNext/>
        <w:jc w:val="left"/>
        <w:outlineLvl w:val="1"/>
        <w:rPr>
          <w:bCs/>
          <w:color w:val="54883D"/>
          <w:sz w:val="32"/>
        </w:rPr>
      </w:pPr>
      <w:bookmarkStart w:id="435" w:name="_Toc136522903"/>
      <w:bookmarkStart w:id="436" w:name="_Toc9596665"/>
      <w:bookmarkStart w:id="437" w:name="_Toc5969842"/>
      <w:bookmarkStart w:id="438" w:name="_Toc496856135"/>
      <w:bookmarkStart w:id="439" w:name="_Toc492284988"/>
      <w:r>
        <w:rPr>
          <w:bCs/>
          <w:color w:val="54883D"/>
          <w:sz w:val="32"/>
        </w:rPr>
        <w:t>8.1 Područje preventive</w:t>
      </w:r>
      <w:bookmarkEnd w:id="435"/>
      <w:bookmarkEnd w:id="436"/>
      <w:bookmarkEnd w:id="437"/>
      <w:bookmarkEnd w:id="438"/>
      <w:bookmarkEnd w:id="439"/>
    </w:p>
    <w:p w:rsidR="00A07D92" w:rsidRDefault="00495E63">
      <w:pPr>
        <w:rPr>
          <w:lang w:eastAsia="hr-HR"/>
        </w:rPr>
      </w:pPr>
      <w:r>
        <w:rPr>
          <w:lang w:eastAsia="hr-HR"/>
        </w:rPr>
        <w:t>Analiza na području preventive sastoji se od sljedećih elemenata:</w:t>
      </w:r>
    </w:p>
    <w:p w:rsidR="00A07D92" w:rsidRDefault="00495E63">
      <w:pPr>
        <w:keepNext/>
        <w:keepLines/>
        <w:spacing w:before="40"/>
        <w:ind w:left="709" w:hanging="709"/>
        <w:outlineLvl w:val="2"/>
        <w:rPr>
          <w:rFonts w:cstheme="majorBidi"/>
          <w:bCs/>
          <w:color w:val="54883D"/>
          <w:sz w:val="28"/>
          <w:lang w:bidi="en-US"/>
        </w:rPr>
      </w:pPr>
      <w:bookmarkStart w:id="440" w:name="_Toc136522904"/>
      <w:bookmarkStart w:id="441" w:name="_Toc9596666"/>
      <w:bookmarkStart w:id="442" w:name="_Toc5969843"/>
      <w:bookmarkStart w:id="443" w:name="_Toc5701525"/>
      <w:r>
        <w:rPr>
          <w:rFonts w:cstheme="majorBidi"/>
          <w:color w:val="54883D"/>
          <w:sz w:val="28"/>
          <w:lang w:eastAsia="hr-HR" w:bidi="en-US"/>
        </w:rPr>
        <w:t xml:space="preserve">8.1.1 </w:t>
      </w:r>
      <w:r>
        <w:rPr>
          <w:rFonts w:cstheme="majorBidi"/>
          <w:color w:val="54883D"/>
          <w:sz w:val="28"/>
          <w:lang w:bidi="en-US"/>
        </w:rPr>
        <w:t>Usvojenost strategija, normativne uređenosti te izrađenost procjena i planova od značaja za sus</w:t>
      </w:r>
      <w:r>
        <w:rPr>
          <w:rFonts w:cstheme="majorBidi"/>
          <w:color w:val="54883D"/>
          <w:sz w:val="28"/>
          <w:lang w:bidi="en-US"/>
        </w:rPr>
        <w:t>tav civilne zaštite</w:t>
      </w:r>
      <w:bookmarkEnd w:id="440"/>
      <w:bookmarkEnd w:id="441"/>
      <w:bookmarkEnd w:id="442"/>
      <w:bookmarkEnd w:id="443"/>
    </w:p>
    <w:tbl>
      <w:tblPr>
        <w:tblStyle w:val="Reetkatablice14"/>
        <w:tblW w:w="8926" w:type="dxa"/>
        <w:jc w:val="center"/>
        <w:tblLook w:val="04A0" w:firstRow="1" w:lastRow="0" w:firstColumn="1" w:lastColumn="0" w:noHBand="0" w:noVBand="1"/>
      </w:tblPr>
      <w:tblGrid>
        <w:gridCol w:w="845"/>
        <w:gridCol w:w="6379"/>
        <w:gridCol w:w="851"/>
        <w:gridCol w:w="851"/>
      </w:tblGrid>
      <w:tr w:rsidR="00A07D92">
        <w:trPr>
          <w:jc w:val="center"/>
        </w:trPr>
        <w:tc>
          <w:tcPr>
            <w:tcW w:w="845"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R. br.</w:t>
            </w:r>
          </w:p>
        </w:tc>
        <w:tc>
          <w:tcPr>
            <w:tcW w:w="637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OPIS</w:t>
            </w:r>
          </w:p>
        </w:tc>
        <w:tc>
          <w:tcPr>
            <w:tcW w:w="1702"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TVRDNJA</w:t>
            </w:r>
          </w:p>
        </w:tc>
      </w:tr>
      <w:tr w:rsidR="00A07D92">
        <w:trPr>
          <w:jc w:val="center"/>
        </w:trPr>
        <w:tc>
          <w:tcPr>
            <w:tcW w:w="845"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637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DA</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NE</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 xml:space="preserve">Postoji li zaposlenik/zaposlenici grada Malog Lošinja zaduženi za praćenje propisa iz sustava civilne zaštite i njihovu implementaciju, vođenje baze podataka, praćenje troškova nastalih prirodnim </w:t>
            </w:r>
            <w:r>
              <w:rPr>
                <w:rFonts w:ascii="Times New Roman" w:hAnsi="Times New Roman" w:cs="Times New Roman"/>
                <w:sz w:val="20"/>
                <w:szCs w:val="20"/>
                <w:lang w:eastAsia="hr-HR"/>
              </w:rPr>
              <w:t>nepogodama?</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2.</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Osnovan Stožer civilne zaštite</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3.</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Osnovane gotove snage civilne zaštite (Vatrogasne postrojbe, Postrojba CZ, Društvo Crvenog križa, HGSS)</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highlight w:val="yellow"/>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4.</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highlight w:val="yellow"/>
              </w:rPr>
            </w:pPr>
            <w:r>
              <w:rPr>
                <w:rFonts w:ascii="Times New Roman" w:hAnsi="Times New Roman" w:cs="Times New Roman"/>
                <w:sz w:val="20"/>
                <w:szCs w:val="20"/>
                <w:lang w:eastAsia="hr-HR"/>
              </w:rPr>
              <w:t>Određene pravne osobe od interesa za sustav civilne zaštite</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highlight w:val="yellow"/>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5.</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 xml:space="preserve">Imenovani povjerenici i zamjenici povjerenika civilne zaštite </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highlight w:val="yellow"/>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6.</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Izrađena Procjena rizika od velikih nesreća</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highlight w:val="yellow"/>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7.</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Izrađen Plan djelovanja civilne zaštite</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8.</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 xml:space="preserve">Izrađeni Operativni planovi civilne zaštite pravnih osoba o načinu organiziranja </w:t>
            </w:r>
            <w:r>
              <w:rPr>
                <w:rFonts w:ascii="Times New Roman" w:hAnsi="Times New Roman" w:cs="Times New Roman"/>
                <w:sz w:val="20"/>
                <w:szCs w:val="20"/>
                <w:lang w:eastAsia="hr-HR"/>
              </w:rPr>
              <w:t>provedbe mjera i aktivnosti u sustavu civilne zaštite (vatrogasne postrojbe, HGSS, Društvo Crvenog križa, pravne osobe od interesa za sustav civilne zaštite)</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9.</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Izrađene smjernice za organizaciju i razvoj sustava civilne zaštite</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10.</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 xml:space="preserve">Izrađena </w:t>
            </w:r>
            <w:r>
              <w:rPr>
                <w:rFonts w:ascii="Times New Roman" w:hAnsi="Times New Roman" w:cs="Times New Roman"/>
                <w:sz w:val="20"/>
                <w:szCs w:val="20"/>
                <w:lang w:eastAsia="hr-HR"/>
              </w:rPr>
              <w:t>godišnja analiza stanja sustava civilne zaštite</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11.</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Izrađen godišnji plan razvoja sustava civilne zaštite s financijskim učincima za trogodišnje razdoblje</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12.</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Izrađen Plan pozivanja Stožera civilne zaštite</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13.</w:t>
            </w:r>
          </w:p>
        </w:tc>
        <w:tc>
          <w:tcPr>
            <w:tcW w:w="637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 xml:space="preserve">Izrađen Poslovnik o radu Stožera </w:t>
            </w:r>
            <w:r>
              <w:rPr>
                <w:rFonts w:ascii="Times New Roman" w:hAnsi="Times New Roman" w:cs="Times New Roman"/>
                <w:sz w:val="20"/>
                <w:szCs w:val="20"/>
                <w:lang w:eastAsia="hr-HR"/>
              </w:rPr>
              <w:t>civilne zaštite</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bl>
    <w:p w:rsidR="00A07D92" w:rsidRDefault="00A07D92">
      <w:pPr>
        <w:spacing w:before="120" w:after="120"/>
        <w:rPr>
          <w:lang w:eastAsia="hr-HR"/>
        </w:rPr>
      </w:pPr>
    </w:p>
    <w:p w:rsidR="00A07D92" w:rsidRDefault="00495E63">
      <w:pPr>
        <w:spacing w:before="120" w:after="120"/>
      </w:pPr>
      <w:r>
        <w:rPr>
          <w:lang w:eastAsia="hr-HR"/>
        </w:rPr>
        <w:t xml:space="preserve">Uzimajući u obzir sve izrađene dokumente od značaja za sustav civilne zaštite, njihovu međusobnu povezanost i usklađenost </w:t>
      </w:r>
      <w:r>
        <w:t xml:space="preserve">razina spremnosti, po ovom operativno važnom elementu, procijenjena je </w:t>
      </w:r>
      <w:r>
        <w:rPr>
          <w:u w:val="single"/>
        </w:rPr>
        <w:t>vrlo visokom</w:t>
      </w:r>
      <w:r>
        <w:t xml:space="preserve">. </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lastRenderedPageBreak/>
        <w:t xml:space="preserve">Tablica </w:t>
      </w:r>
      <w:r>
        <w:rPr>
          <w:rFonts w:eastAsia="Calibri"/>
          <w:bCs/>
          <w:color w:val="54883D"/>
          <w:sz w:val="20"/>
          <w:szCs w:val="18"/>
          <w:lang w:bidi="en-US"/>
        </w:rPr>
        <w:fldChar w:fldCharType="begin"/>
      </w:r>
      <w:r>
        <w:rPr>
          <w:rFonts w:eastAsia="Calibri"/>
          <w:bCs/>
          <w:sz w:val="20"/>
          <w:szCs w:val="18"/>
        </w:rPr>
        <w:instrText xml:space="preserve">SEQ Tabela \* </w:instrText>
      </w:r>
      <w:r>
        <w:rPr>
          <w:rFonts w:eastAsia="Calibri"/>
          <w:bCs/>
          <w:sz w:val="20"/>
          <w:szCs w:val="18"/>
        </w:rPr>
        <w:instrText>ARABIC</w:instrText>
      </w:r>
      <w:r>
        <w:rPr>
          <w:rFonts w:eastAsia="Calibri"/>
          <w:bCs/>
          <w:sz w:val="20"/>
          <w:szCs w:val="18"/>
        </w:rPr>
        <w:fldChar w:fldCharType="separate"/>
      </w:r>
      <w:r>
        <w:rPr>
          <w:rFonts w:eastAsia="Calibri"/>
          <w:bCs/>
          <w:sz w:val="20"/>
          <w:szCs w:val="18"/>
        </w:rPr>
        <w:t>85</w:t>
      </w:r>
      <w:r>
        <w:rPr>
          <w:rFonts w:eastAsia="Calibri"/>
          <w:bCs/>
          <w:sz w:val="20"/>
          <w:szCs w:val="18"/>
        </w:rPr>
        <w:fldChar w:fldCharType="end"/>
      </w:r>
      <w:r>
        <w:rPr>
          <w:rFonts w:eastAsia="Calibri"/>
          <w:bCs/>
          <w:color w:val="54883D"/>
          <w:sz w:val="20"/>
          <w:szCs w:val="18"/>
          <w:lang w:bidi="en-US"/>
        </w:rPr>
        <w:t>. Prikaz ocjene usvojenosti strategija, normativne uređenosti te izrađenosti procjena i planova od značaja za sustav civilne zaštite</w:t>
      </w:r>
    </w:p>
    <w:tbl>
      <w:tblPr>
        <w:tblStyle w:val="Reetkatablice14"/>
        <w:tblW w:w="6041" w:type="dxa"/>
        <w:jc w:val="center"/>
        <w:tblLook w:val="04A0" w:firstRow="1" w:lastRow="0" w:firstColumn="1" w:lastColumn="0" w:noHBand="0" w:noVBand="1"/>
      </w:tblPr>
      <w:tblGrid>
        <w:gridCol w:w="3020"/>
        <w:gridCol w:w="3021"/>
      </w:tblGrid>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Ocjena</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120" w:after="0" w:line="240" w:lineRule="auto"/>
              <w:rPr>
                <w:sz w:val="20"/>
              </w:rPr>
            </w:pPr>
            <w:r>
              <w:rPr>
                <w:rFonts w:ascii="Times New Roman" w:hAnsi="Times New Roman" w:cs="Times New Roman"/>
                <w:sz w:val="20"/>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A07D92">
            <w:pPr>
              <w:spacing w:before="120" w:after="0" w:line="240" w:lineRule="auto"/>
              <w:rPr>
                <w:rFonts w:ascii="Times New Roman" w:hAnsi="Times New Roman" w:cs="Times New Roman"/>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120" w:after="0" w:line="240" w:lineRule="auto"/>
              <w:rPr>
                <w:sz w:val="20"/>
              </w:rPr>
            </w:pPr>
            <w:r>
              <w:rPr>
                <w:rFonts w:ascii="Times New Roman" w:hAnsi="Times New Roman" w:cs="Times New Roman"/>
                <w:sz w:val="20"/>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A07D92">
            <w:pPr>
              <w:spacing w:before="120" w:after="0" w:line="240" w:lineRule="auto"/>
              <w:rPr>
                <w:rFonts w:ascii="Times New Roman" w:hAnsi="Times New Roman" w:cs="Times New Roman"/>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rPr>
                <w:sz w:val="20"/>
              </w:rPr>
            </w:pPr>
            <w:r>
              <w:rPr>
                <w:rFonts w:ascii="Times New Roman" w:hAnsi="Times New Roman" w:cs="Times New Roman"/>
                <w:sz w:val="20"/>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A07D92">
            <w:pPr>
              <w:spacing w:before="120" w:after="0" w:line="240" w:lineRule="auto"/>
              <w:rPr>
                <w:rFonts w:ascii="Times New Roman" w:hAnsi="Times New Roman" w:cs="Times New Roman"/>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120" w:after="0" w:line="240" w:lineRule="auto"/>
              <w:rPr>
                <w:sz w:val="20"/>
              </w:rPr>
            </w:pPr>
            <w:r>
              <w:rPr>
                <w:rFonts w:ascii="Times New Roman" w:hAnsi="Times New Roman" w:cs="Times New Roman"/>
                <w:sz w:val="20"/>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X</w:t>
            </w:r>
          </w:p>
        </w:tc>
      </w:tr>
    </w:tbl>
    <w:p w:rsidR="00A07D92" w:rsidRDefault="00A07D92">
      <w:pPr>
        <w:spacing w:before="120" w:after="120"/>
      </w:pPr>
    </w:p>
    <w:p w:rsidR="00A07D92" w:rsidRDefault="00495E63">
      <w:pPr>
        <w:keepNext/>
        <w:keepLines/>
        <w:spacing w:before="40"/>
        <w:ind w:left="709" w:hanging="709"/>
        <w:outlineLvl w:val="2"/>
        <w:rPr>
          <w:rFonts w:cstheme="majorBidi"/>
          <w:color w:val="54883D"/>
          <w:sz w:val="28"/>
          <w:lang w:eastAsia="hr-HR" w:bidi="en-US"/>
        </w:rPr>
      </w:pPr>
      <w:bookmarkStart w:id="444" w:name="_Toc136522905"/>
      <w:bookmarkStart w:id="445" w:name="_Toc9596667"/>
      <w:bookmarkStart w:id="446" w:name="_Toc5969844"/>
      <w:bookmarkStart w:id="447" w:name="_Toc5701526"/>
      <w:r>
        <w:rPr>
          <w:rFonts w:cstheme="majorBidi"/>
          <w:color w:val="54883D"/>
          <w:sz w:val="28"/>
          <w:lang w:eastAsia="hr-HR" w:bidi="en-US"/>
        </w:rPr>
        <w:t>8.1.2 Sustavi ranog upozoravanja i suradnja sa susjednim jedinicama lokalne i područne (regionalne) samouprave</w:t>
      </w:r>
      <w:bookmarkEnd w:id="444"/>
      <w:bookmarkEnd w:id="445"/>
      <w:bookmarkEnd w:id="446"/>
      <w:bookmarkEnd w:id="447"/>
    </w:p>
    <w:tbl>
      <w:tblPr>
        <w:tblStyle w:val="Reetkatablice14"/>
        <w:tblW w:w="9351" w:type="dxa"/>
        <w:jc w:val="center"/>
        <w:tblLook w:val="04A0" w:firstRow="1" w:lastRow="0" w:firstColumn="1" w:lastColumn="0" w:noHBand="0" w:noVBand="1"/>
      </w:tblPr>
      <w:tblGrid>
        <w:gridCol w:w="845"/>
        <w:gridCol w:w="6805"/>
        <w:gridCol w:w="849"/>
        <w:gridCol w:w="852"/>
      </w:tblGrid>
      <w:tr w:rsidR="00A07D92">
        <w:trPr>
          <w:jc w:val="center"/>
        </w:trPr>
        <w:tc>
          <w:tcPr>
            <w:tcW w:w="845"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R. br.</w:t>
            </w:r>
          </w:p>
        </w:tc>
        <w:tc>
          <w:tcPr>
            <w:tcW w:w="680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OPIS</w:t>
            </w:r>
          </w:p>
        </w:tc>
        <w:tc>
          <w:tcPr>
            <w:tcW w:w="1701"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TVRDNJA</w:t>
            </w:r>
          </w:p>
        </w:tc>
      </w:tr>
      <w:tr w:rsidR="00A07D92">
        <w:trPr>
          <w:jc w:val="center"/>
        </w:trPr>
        <w:tc>
          <w:tcPr>
            <w:tcW w:w="845"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6804"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8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DA</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NE</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w:t>
            </w:r>
          </w:p>
        </w:tc>
        <w:tc>
          <w:tcPr>
            <w:tcW w:w="680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 xml:space="preserve">Jesu li sva naselja grada Malog Lošinja pokrivena sirenama za uzbunjivanje kojima se može objaviti nastupanje </w:t>
            </w:r>
            <w:r>
              <w:rPr>
                <w:rFonts w:ascii="Times New Roman" w:hAnsi="Times New Roman" w:cs="Times New Roman"/>
                <w:sz w:val="20"/>
                <w:szCs w:val="20"/>
                <w:lang w:eastAsia="hr-HR"/>
              </w:rPr>
              <w:t>opće opasnosti?</w:t>
            </w:r>
          </w:p>
        </w:tc>
        <w:tc>
          <w:tcPr>
            <w:tcW w:w="8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2.</w:t>
            </w:r>
          </w:p>
        </w:tc>
        <w:tc>
          <w:tcPr>
            <w:tcW w:w="680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Je li uspostavljena razmjena podataka između izvršnog tijela Grada i Područnog ureda civilne zaštite Rijeka o mogućim brzo narastajućim prijetnjama velikom nesrećom?</w:t>
            </w:r>
          </w:p>
        </w:tc>
        <w:tc>
          <w:tcPr>
            <w:tcW w:w="8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3.</w:t>
            </w:r>
          </w:p>
        </w:tc>
        <w:tc>
          <w:tcPr>
            <w:tcW w:w="680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 xml:space="preserve">Postoji li obveza vatrogasnih postrojbi s područja grada </w:t>
            </w:r>
            <w:r>
              <w:rPr>
                <w:rFonts w:ascii="Times New Roman" w:hAnsi="Times New Roman" w:cs="Times New Roman"/>
                <w:sz w:val="20"/>
                <w:szCs w:val="20"/>
                <w:lang w:eastAsia="hr-HR"/>
              </w:rPr>
              <w:t>Malog Lošinja da obavijeste izvršno tijelo o intervencijama s opasnim tvarima ili kod prijetnje buktajućim požarom većeg opsega?</w:t>
            </w:r>
          </w:p>
        </w:tc>
        <w:tc>
          <w:tcPr>
            <w:tcW w:w="8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4.</w:t>
            </w:r>
          </w:p>
        </w:tc>
        <w:tc>
          <w:tcPr>
            <w:tcW w:w="680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Jesu li poznata područja koja mogu biti zahvaćena brzo narastajućim ugrozama odnosno velikom nesrećom?</w:t>
            </w:r>
          </w:p>
        </w:tc>
        <w:tc>
          <w:tcPr>
            <w:tcW w:w="8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5.</w:t>
            </w:r>
          </w:p>
        </w:tc>
        <w:tc>
          <w:tcPr>
            <w:tcW w:w="680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 xml:space="preserve">Je li </w:t>
            </w:r>
            <w:r>
              <w:rPr>
                <w:rFonts w:ascii="Times New Roman" w:hAnsi="Times New Roman" w:cs="Times New Roman"/>
                <w:sz w:val="20"/>
                <w:szCs w:val="20"/>
                <w:lang w:eastAsia="hr-HR"/>
              </w:rPr>
              <w:t>stanovništvo upoznato s mogućim posljedicama velikih nesreća i načinom provedbe samozaštite i organizirane zaštite?</w:t>
            </w:r>
          </w:p>
        </w:tc>
        <w:tc>
          <w:tcPr>
            <w:tcW w:w="8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6.</w:t>
            </w:r>
          </w:p>
        </w:tc>
        <w:tc>
          <w:tcPr>
            <w:tcW w:w="68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szCs w:val="20"/>
              </w:rPr>
            </w:pPr>
            <w:r>
              <w:rPr>
                <w:rFonts w:ascii="Times New Roman" w:hAnsi="Times New Roman" w:cs="Times New Roman"/>
                <w:sz w:val="20"/>
                <w:szCs w:val="20"/>
                <w:lang w:eastAsia="hr-HR"/>
              </w:rPr>
              <w:t>Postoje li sirene kod posjednika opasnih tvari kod kojih su moguće ozbiljne izvan lokacijske posljedice?</w:t>
            </w:r>
          </w:p>
        </w:tc>
        <w:tc>
          <w:tcPr>
            <w:tcW w:w="8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r>
    </w:tbl>
    <w:p w:rsidR="00A07D92" w:rsidRDefault="00A07D92">
      <w:pPr>
        <w:spacing w:before="0" w:after="0"/>
      </w:pPr>
    </w:p>
    <w:p w:rsidR="00A07D92" w:rsidRDefault="00495E63">
      <w:pPr>
        <w:rPr>
          <w:color w:val="000000"/>
        </w:rPr>
      </w:pPr>
      <w:r>
        <w:rPr>
          <w:color w:val="000000"/>
        </w:rPr>
        <w:t>Institucije kao što su Državni hidrometeorološki zavod (DHMZ), Hrvatske vode, druge znanstvene institucije, inspekcije, središnja tijela državne uprave za unutarnje poslove, obranu i radiološku i nuklearnu sigurnost i druge organizacije kojima su prikuplja</w:t>
      </w:r>
      <w:r>
        <w:rPr>
          <w:color w:val="000000"/>
        </w:rPr>
        <w:t>nje i obrada informacija te izrada predviđanja i prognoza dio redovne djelatnosti razvijaju nacionalne mreže za prikupljanja podataka (npr. mjerna hidrološka mreža DHMZ-a i Hrvatskih voda, meteorološka motrenja - mjerenja i opažanja, prognoze vremena na ob</w:t>
      </w:r>
      <w:r>
        <w:rPr>
          <w:color w:val="000000"/>
        </w:rPr>
        <w:t xml:space="preserve">jektivnim izračunima razvoja stanja atmosfere te prijenos podataka i njihova daljnja obrada, sustav ranog upozoravanja na opasne meteorološke pojave – METEOALARM, SPUNN - Nacionalni sustav upozoravanja za radiološka mjerenja). Iz tih se izvora osiguravaju </w:t>
      </w:r>
      <w:r>
        <w:rPr>
          <w:color w:val="000000"/>
        </w:rPr>
        <w:t xml:space="preserve">potrebne informacije ranog upozoravanja i dostavljaju MUP-Ravnateljstvu civilne zaštite, a za što su razvijeni posebni komunikacijski protokoli. </w:t>
      </w:r>
    </w:p>
    <w:p w:rsidR="00A07D92" w:rsidRDefault="00495E63">
      <w:pPr>
        <w:rPr>
          <w:color w:val="000000"/>
        </w:rPr>
      </w:pPr>
      <w:r>
        <w:rPr>
          <w:color w:val="000000"/>
        </w:rPr>
        <w:t xml:space="preserve">Iste podatke Služba civilne zaštite Rijeka dostavlja gradonačelnici koja nalaže pripravnost operativnih snaga </w:t>
      </w:r>
      <w:r>
        <w:rPr>
          <w:color w:val="000000"/>
        </w:rPr>
        <w:t xml:space="preserve">i poduzima druge odgovarajuće mjere iz Plana djelovanja civilne zaštite Grada Malog Lošinja. </w:t>
      </w:r>
    </w:p>
    <w:p w:rsidR="00A07D92" w:rsidRDefault="00495E63">
      <w:pPr>
        <w:rPr>
          <w:color w:val="000000"/>
        </w:rPr>
      </w:pPr>
      <w:r>
        <w:rPr>
          <w:color w:val="000000"/>
        </w:rPr>
        <w:t>U slučaju bilo koje vrste ugroza Državni hidrometeorološki zavod, Hrvatske vode, Vatrogasna zajednica, Zavod za javno zdravstvo, Veterinarska stanica te operateri</w:t>
      </w:r>
      <w:r>
        <w:rPr>
          <w:color w:val="000000"/>
        </w:rPr>
        <w:t xml:space="preserve"> koji prevoze opasne tvari dužni su o tome dostaviti podatke Županijskom centru 112.</w:t>
      </w:r>
    </w:p>
    <w:p w:rsidR="00A07D92" w:rsidRDefault="00495E63">
      <w:pPr>
        <w:rPr>
          <w:szCs w:val="22"/>
        </w:rPr>
      </w:pPr>
      <w:r>
        <w:rPr>
          <w:szCs w:val="22"/>
        </w:rPr>
        <w:lastRenderedPageBreak/>
        <w:t>Gradonačelnica Grada Malog Lošinja informacije o mogućim ugrozama dobiva od:</w:t>
      </w:r>
    </w:p>
    <w:p w:rsidR="00A07D92" w:rsidRDefault="00495E63">
      <w:pPr>
        <w:numPr>
          <w:ilvl w:val="0"/>
          <w:numId w:val="6"/>
        </w:numPr>
        <w:tabs>
          <w:tab w:val="left" w:pos="2445"/>
        </w:tabs>
        <w:spacing w:before="72" w:after="72"/>
        <w:contextualSpacing/>
        <w:rPr>
          <w:szCs w:val="22"/>
          <w:highlight w:val="white"/>
          <w:lang w:eastAsia="hr-HR"/>
        </w:rPr>
      </w:pPr>
      <w:r>
        <w:rPr>
          <w:szCs w:val="22"/>
          <w:shd w:val="clear" w:color="auto" w:fill="FFFFFF"/>
          <w:lang w:eastAsia="hr-HR"/>
        </w:rPr>
        <w:t xml:space="preserve">Županijskog centra 112 - Rijeka, </w:t>
      </w:r>
    </w:p>
    <w:p w:rsidR="00A07D92" w:rsidRDefault="00495E63">
      <w:pPr>
        <w:numPr>
          <w:ilvl w:val="0"/>
          <w:numId w:val="6"/>
        </w:numPr>
        <w:tabs>
          <w:tab w:val="left" w:pos="2445"/>
        </w:tabs>
        <w:spacing w:before="72" w:after="72"/>
        <w:contextualSpacing/>
        <w:rPr>
          <w:szCs w:val="22"/>
          <w:highlight w:val="white"/>
          <w:lang w:eastAsia="hr-HR"/>
        </w:rPr>
      </w:pPr>
      <w:r>
        <w:rPr>
          <w:szCs w:val="22"/>
          <w:shd w:val="clear" w:color="auto" w:fill="FFFFFF"/>
          <w:lang w:eastAsia="hr-HR"/>
        </w:rPr>
        <w:t>Područnog ureda civilne zaštite Rijeka,</w:t>
      </w:r>
    </w:p>
    <w:p w:rsidR="00A07D92" w:rsidRDefault="00495E63">
      <w:pPr>
        <w:numPr>
          <w:ilvl w:val="0"/>
          <w:numId w:val="6"/>
        </w:numPr>
        <w:tabs>
          <w:tab w:val="left" w:pos="2445"/>
        </w:tabs>
        <w:spacing w:before="72" w:after="72"/>
        <w:contextualSpacing/>
        <w:rPr>
          <w:szCs w:val="22"/>
          <w:highlight w:val="white"/>
          <w:lang w:eastAsia="hr-HR"/>
        </w:rPr>
      </w:pPr>
      <w:r>
        <w:rPr>
          <w:szCs w:val="22"/>
          <w:shd w:val="clear" w:color="auto" w:fill="FFFFFF"/>
          <w:lang w:eastAsia="hr-HR"/>
        </w:rPr>
        <w:t xml:space="preserve">pravnih subjekta, </w:t>
      </w:r>
      <w:r>
        <w:rPr>
          <w:szCs w:val="22"/>
          <w:shd w:val="clear" w:color="auto" w:fill="FFFFFF"/>
          <w:lang w:eastAsia="hr-HR"/>
        </w:rPr>
        <w:t>središnjih tijela državne uprave, zavoda, institucija, inspekcija,</w:t>
      </w:r>
    </w:p>
    <w:p w:rsidR="00A07D92" w:rsidRDefault="00495E63">
      <w:pPr>
        <w:numPr>
          <w:ilvl w:val="0"/>
          <w:numId w:val="6"/>
        </w:numPr>
        <w:tabs>
          <w:tab w:val="left" w:pos="2445"/>
        </w:tabs>
        <w:spacing w:before="72" w:after="72"/>
        <w:contextualSpacing/>
        <w:rPr>
          <w:szCs w:val="22"/>
          <w:highlight w:val="white"/>
          <w:lang w:eastAsia="hr-HR"/>
        </w:rPr>
      </w:pPr>
      <w:r>
        <w:rPr>
          <w:szCs w:val="22"/>
          <w:shd w:val="clear" w:color="auto" w:fill="FFFFFF"/>
          <w:lang w:eastAsia="hr-HR"/>
        </w:rPr>
        <w:t>građana,</w:t>
      </w:r>
    </w:p>
    <w:p w:rsidR="00A07D92" w:rsidRDefault="00495E63">
      <w:pPr>
        <w:numPr>
          <w:ilvl w:val="0"/>
          <w:numId w:val="6"/>
        </w:numPr>
        <w:tabs>
          <w:tab w:val="left" w:pos="2445"/>
        </w:tabs>
        <w:spacing w:before="72" w:after="72"/>
        <w:contextualSpacing/>
        <w:rPr>
          <w:szCs w:val="22"/>
          <w:highlight w:val="white"/>
          <w:lang w:eastAsia="hr-HR"/>
        </w:rPr>
      </w:pPr>
      <w:r>
        <w:rPr>
          <w:szCs w:val="22"/>
          <w:shd w:val="clear" w:color="auto" w:fill="FFFFFF"/>
          <w:lang w:eastAsia="hr-HR"/>
        </w:rPr>
        <w:t>neposrednim stjecanjem uvida u stanje i događaje na svom području koji bi mogli pogoditi područje Grada.</w:t>
      </w:r>
    </w:p>
    <w:p w:rsidR="00A07D92" w:rsidRDefault="00A07D92">
      <w:pPr>
        <w:spacing w:before="0" w:after="0"/>
      </w:pPr>
    </w:p>
    <w:p w:rsidR="00A07D92" w:rsidRDefault="00495E63">
      <w:pPr>
        <w:spacing w:before="120" w:after="0"/>
        <w:rPr>
          <w:lang w:eastAsia="hr-HR"/>
        </w:rPr>
      </w:pPr>
      <w:r>
        <w:t>U slučaju neposredne prijetnje od nastanka velike nesreće na području grad</w:t>
      </w:r>
      <w:r>
        <w:t>a Malog Lošinja, Gradonačelnica</w:t>
      </w:r>
      <w:r>
        <w:rPr>
          <w:lang w:eastAsia="hr-HR"/>
        </w:rPr>
        <w:t xml:space="preserve"> obavještava Župana i sve čelnike susjednih jedinica lokalne samouprave o nadolazećoj ugrozi.</w:t>
      </w:r>
    </w:p>
    <w:p w:rsidR="00A07D92" w:rsidRDefault="00A07D92">
      <w:pPr>
        <w:spacing w:before="0" w:after="0"/>
        <w:rPr>
          <w:lang w:eastAsia="hr-HR"/>
        </w:rPr>
      </w:pPr>
    </w:p>
    <w:p w:rsidR="00A07D92" w:rsidRDefault="00495E63">
      <w:pPr>
        <w:spacing w:before="0" w:after="120"/>
        <w:rPr>
          <w:lang w:eastAsia="hr-HR"/>
        </w:rPr>
      </w:pPr>
      <w:r>
        <w:t>Kako bi se stanje sustava u ovome segmentu podiglo na višu razinu potrebno je organizirati tribine i ukazati lokalnom stanovništvu</w:t>
      </w:r>
      <w:r>
        <w:t xml:space="preserve"> na posljedice velikih nesreća i upoznati ih s načinom provedbe samozaštite i organizirane zaštite te postaviti sirene za javno uzbunjivanje stanovništva. </w:t>
      </w:r>
      <w:r>
        <w:rPr>
          <w:lang w:eastAsia="hr-HR"/>
        </w:rPr>
        <w:t>Sustavi ranog upozoravanja i suradnja sa susjednim jedinicama lokalne i područne (regionalne) samoupr</w:t>
      </w:r>
      <w:r>
        <w:rPr>
          <w:lang w:eastAsia="hr-HR"/>
        </w:rPr>
        <w:t xml:space="preserve">ave procjenjuju se </w:t>
      </w:r>
      <w:r>
        <w:rPr>
          <w:u w:val="single"/>
          <w:lang w:eastAsia="hr-HR"/>
        </w:rPr>
        <w:t>visokom</w:t>
      </w:r>
      <w:r>
        <w:rPr>
          <w:lang w:eastAsia="hr-HR"/>
        </w:rPr>
        <w:t xml:space="preserve"> razinom spremnosti.</w:t>
      </w:r>
    </w:p>
    <w:p w:rsidR="00A07D92" w:rsidRDefault="00A07D92">
      <w:pPr>
        <w:spacing w:before="0" w:after="0"/>
        <w:rPr>
          <w:lang w:eastAsia="hr-HR"/>
        </w:rPr>
      </w:pPr>
    </w:p>
    <w:p w:rsidR="00A07D92" w:rsidRDefault="00495E63">
      <w:pPr>
        <w:spacing w:before="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86</w:t>
      </w:r>
      <w:r>
        <w:rPr>
          <w:bCs/>
          <w:sz w:val="20"/>
          <w:szCs w:val="18"/>
        </w:rPr>
        <w:fldChar w:fldCharType="end"/>
      </w:r>
      <w:r>
        <w:rPr>
          <w:bCs/>
          <w:color w:val="54883D"/>
          <w:sz w:val="20"/>
          <w:szCs w:val="18"/>
        </w:rPr>
        <w:t>. Prikaz ocjene stanja sustava ranog upozoravanja i suradnje sa susjednim jedinicama lokalne i područne (regionalne) samouprave</w:t>
      </w:r>
    </w:p>
    <w:tbl>
      <w:tblPr>
        <w:tblStyle w:val="Reetkatablice14"/>
        <w:tblW w:w="6041" w:type="dxa"/>
        <w:jc w:val="center"/>
        <w:tblLook w:val="04A0" w:firstRow="1" w:lastRow="0" w:firstColumn="1" w:lastColumn="0" w:noHBand="0" w:noVBand="1"/>
      </w:tblPr>
      <w:tblGrid>
        <w:gridCol w:w="3020"/>
        <w:gridCol w:w="3021"/>
      </w:tblGrid>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Ocjena</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120" w:after="0" w:line="240" w:lineRule="auto"/>
              <w:rPr>
                <w:sz w:val="20"/>
              </w:rPr>
            </w:pPr>
            <w:r>
              <w:rPr>
                <w:rFonts w:ascii="Times New Roman" w:hAnsi="Times New Roman" w:cs="Times New Roman"/>
                <w:sz w:val="20"/>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A07D92">
            <w:pPr>
              <w:spacing w:before="120" w:after="0" w:line="240" w:lineRule="auto"/>
              <w:rPr>
                <w:rFonts w:ascii="Times New Roman" w:hAnsi="Times New Roman" w:cs="Times New Roman"/>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120" w:after="0" w:line="240" w:lineRule="auto"/>
              <w:rPr>
                <w:sz w:val="20"/>
              </w:rPr>
            </w:pPr>
            <w:r>
              <w:rPr>
                <w:rFonts w:ascii="Times New Roman" w:hAnsi="Times New Roman" w:cs="Times New Roman"/>
                <w:sz w:val="20"/>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A07D92">
            <w:pPr>
              <w:spacing w:before="120" w:after="0" w:line="240" w:lineRule="auto"/>
              <w:jc w:val="center"/>
              <w:rPr>
                <w:rFonts w:ascii="Times New Roman" w:hAnsi="Times New Roman" w:cs="Times New Roman"/>
                <w:b/>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rPr>
                <w:sz w:val="20"/>
              </w:rPr>
            </w:pPr>
            <w:r>
              <w:rPr>
                <w:rFonts w:ascii="Times New Roman" w:hAnsi="Times New Roman" w:cs="Times New Roman"/>
                <w:sz w:val="20"/>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X</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120" w:after="0" w:line="240" w:lineRule="auto"/>
              <w:rPr>
                <w:sz w:val="20"/>
              </w:rPr>
            </w:pPr>
            <w:r>
              <w:rPr>
                <w:rFonts w:ascii="Times New Roman" w:hAnsi="Times New Roman" w:cs="Times New Roman"/>
                <w:sz w:val="20"/>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A07D92">
            <w:pPr>
              <w:spacing w:before="120" w:after="0" w:line="240" w:lineRule="auto"/>
              <w:jc w:val="center"/>
              <w:rPr>
                <w:rFonts w:ascii="Times New Roman" w:hAnsi="Times New Roman" w:cs="Times New Roman"/>
                <w:b/>
                <w:sz w:val="20"/>
                <w:lang w:eastAsia="hr-HR"/>
              </w:rPr>
            </w:pPr>
          </w:p>
        </w:tc>
      </w:tr>
    </w:tbl>
    <w:p w:rsidR="00A07D92" w:rsidRDefault="00A07D92">
      <w:pPr>
        <w:spacing w:before="120" w:after="120"/>
        <w:rPr>
          <w:highlight w:val="yellow"/>
          <w:lang w:eastAsia="hr-HR"/>
        </w:rPr>
      </w:pPr>
    </w:p>
    <w:p w:rsidR="00A07D92" w:rsidRDefault="00495E63">
      <w:pPr>
        <w:keepNext/>
        <w:keepLines/>
        <w:spacing w:before="40"/>
        <w:ind w:left="720" w:hanging="720"/>
        <w:outlineLvl w:val="2"/>
        <w:rPr>
          <w:rFonts w:cstheme="majorBidi"/>
          <w:color w:val="54883D"/>
          <w:sz w:val="28"/>
          <w:lang w:eastAsia="hr-HR" w:bidi="en-US"/>
        </w:rPr>
      </w:pPr>
      <w:bookmarkStart w:id="448" w:name="_Toc136522906"/>
      <w:bookmarkStart w:id="449" w:name="_Toc9596668"/>
      <w:bookmarkStart w:id="450" w:name="_Toc5969845"/>
      <w:bookmarkStart w:id="451" w:name="_Toc5701527"/>
      <w:r>
        <w:rPr>
          <w:rFonts w:cstheme="majorBidi"/>
          <w:color w:val="54883D"/>
          <w:sz w:val="28"/>
          <w:lang w:eastAsia="hr-HR" w:bidi="en-US"/>
        </w:rPr>
        <w:t>8.1.3 Stanje svijesti pojedinaca, pripadnika ranjivih skupina, upravljačkih i odgovornih tijela</w:t>
      </w:r>
      <w:bookmarkEnd w:id="448"/>
      <w:bookmarkEnd w:id="449"/>
      <w:bookmarkEnd w:id="450"/>
      <w:bookmarkEnd w:id="451"/>
    </w:p>
    <w:tbl>
      <w:tblPr>
        <w:tblStyle w:val="Reetkatablice14"/>
        <w:tblW w:w="9209" w:type="dxa"/>
        <w:jc w:val="center"/>
        <w:tblLook w:val="04A0" w:firstRow="1" w:lastRow="0" w:firstColumn="1" w:lastColumn="0" w:noHBand="0" w:noVBand="1"/>
      </w:tblPr>
      <w:tblGrid>
        <w:gridCol w:w="845"/>
        <w:gridCol w:w="7088"/>
        <w:gridCol w:w="569"/>
        <w:gridCol w:w="707"/>
      </w:tblGrid>
      <w:tr w:rsidR="00A07D92">
        <w:trPr>
          <w:tblHeader/>
          <w:jc w:val="center"/>
        </w:trPr>
        <w:tc>
          <w:tcPr>
            <w:tcW w:w="845"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R. br.</w:t>
            </w:r>
          </w:p>
        </w:tc>
        <w:tc>
          <w:tcPr>
            <w:tcW w:w="7087"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OPIS</w:t>
            </w:r>
          </w:p>
        </w:tc>
        <w:tc>
          <w:tcPr>
            <w:tcW w:w="1276"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TVRDNJA</w:t>
            </w:r>
          </w:p>
        </w:tc>
      </w:tr>
      <w:tr w:rsidR="00A07D92">
        <w:trPr>
          <w:tblHeader/>
          <w:jc w:val="center"/>
        </w:trPr>
        <w:tc>
          <w:tcPr>
            <w:tcW w:w="845"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087"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56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DA</w:t>
            </w: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NE</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w:t>
            </w:r>
          </w:p>
        </w:tc>
        <w:tc>
          <w:tcPr>
            <w:tcW w:w="708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 xml:space="preserve">Je li predstavničko tijelo raspravljalo o prioritetnim </w:t>
            </w:r>
            <w:r>
              <w:rPr>
                <w:rFonts w:ascii="Times New Roman" w:hAnsi="Times New Roman" w:cs="Times New Roman"/>
                <w:sz w:val="20"/>
                <w:szCs w:val="20"/>
                <w:lang w:eastAsia="hr-HR"/>
              </w:rPr>
              <w:t>prijetnjama, području ugrožavanja, posljedicama, načinu preventivne zaštite, potrebnim troškovima za podizanje svijesti ugroženog stanovništva, provedbi obrane od prijetnji, te operativnih mjera ublažavanja posljedica i sanacije stanja ugroženog područja?</w:t>
            </w:r>
          </w:p>
        </w:tc>
        <w:tc>
          <w:tcPr>
            <w:tcW w:w="56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2.</w:t>
            </w:r>
          </w:p>
        </w:tc>
        <w:tc>
          <w:tcPr>
            <w:tcW w:w="708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Je li Stožer raspravljao o prijetnja i mjerama odgovora na iste, naročito o štetama izazvanim u posljednje tri godine te mjerama kako su se mogle spriječiti ili ublažiti?</w:t>
            </w:r>
          </w:p>
        </w:tc>
        <w:tc>
          <w:tcPr>
            <w:tcW w:w="56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3.</w:t>
            </w:r>
          </w:p>
        </w:tc>
        <w:tc>
          <w:tcPr>
            <w:tcW w:w="708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Jesu li u ugroženim naseljima organizirane javne tribine o prijetnjama,</w:t>
            </w:r>
            <w:r>
              <w:rPr>
                <w:rFonts w:ascii="Times New Roman" w:hAnsi="Times New Roman" w:cs="Times New Roman"/>
                <w:sz w:val="20"/>
                <w:szCs w:val="20"/>
                <w:lang w:eastAsia="hr-HR"/>
              </w:rPr>
              <w:t xml:space="preserve"> mogućim posljedicama neželjenog događaja, te načinu samozaštite ugroženog stanovništva?</w:t>
            </w:r>
          </w:p>
        </w:tc>
        <w:tc>
          <w:tcPr>
            <w:tcW w:w="56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4.</w:t>
            </w:r>
          </w:p>
        </w:tc>
        <w:tc>
          <w:tcPr>
            <w:tcW w:w="708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Jesu li u objektima, u kojima može biti ugrožen veći broj ljudi, organizirana predavanja o prijetnjama velikim nesrećama, načinu kolektivne zaštite i samozaštit</w:t>
            </w:r>
            <w:r>
              <w:rPr>
                <w:rFonts w:ascii="Times New Roman" w:hAnsi="Times New Roman" w:cs="Times New Roman"/>
                <w:sz w:val="20"/>
                <w:szCs w:val="20"/>
                <w:lang w:eastAsia="hr-HR"/>
              </w:rPr>
              <w:t>e prisutnih osoba te da li se organiziraju vježbe sklanjanja, evakuacije i spašavanja?</w:t>
            </w:r>
          </w:p>
        </w:tc>
        <w:tc>
          <w:tcPr>
            <w:tcW w:w="56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5.</w:t>
            </w:r>
          </w:p>
        </w:tc>
        <w:tc>
          <w:tcPr>
            <w:tcW w:w="708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 xml:space="preserve">Jesu li ostali sudionici civilne zaštite (povjerenici civilne zaštite, postrojba CZ, pravne osobe od interesa za sustav civilne zaštite) upoznati s načinom </w:t>
            </w:r>
            <w:r>
              <w:rPr>
                <w:rFonts w:ascii="Times New Roman" w:hAnsi="Times New Roman" w:cs="Times New Roman"/>
                <w:sz w:val="20"/>
                <w:szCs w:val="20"/>
                <w:lang w:eastAsia="hr-HR"/>
              </w:rPr>
              <w:t xml:space="preserve">djelovanja prijetnje, njihovom ulogom u reagiranju na prijetnje te posebno načinu samozaštite </w:t>
            </w:r>
            <w:r>
              <w:rPr>
                <w:rFonts w:ascii="Times New Roman" w:hAnsi="Times New Roman" w:cs="Times New Roman"/>
                <w:sz w:val="20"/>
                <w:szCs w:val="20"/>
                <w:lang w:eastAsia="hr-HR"/>
              </w:rPr>
              <w:lastRenderedPageBreak/>
              <w:t>od iste?</w:t>
            </w:r>
          </w:p>
        </w:tc>
        <w:tc>
          <w:tcPr>
            <w:tcW w:w="56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r>
    </w:tbl>
    <w:p w:rsidR="00A07D92" w:rsidRDefault="00A07D92">
      <w:pPr>
        <w:spacing w:before="120" w:after="120"/>
        <w:rPr>
          <w:lang w:eastAsia="hr-HR"/>
        </w:rPr>
      </w:pPr>
    </w:p>
    <w:p w:rsidR="00A07D92" w:rsidRDefault="00495E63">
      <w:pPr>
        <w:spacing w:before="120" w:after="120"/>
        <w:rPr>
          <w:lang w:eastAsia="hr-HR"/>
        </w:rPr>
      </w:pPr>
      <w:r>
        <w:rPr>
          <w:lang w:eastAsia="hr-HR"/>
        </w:rPr>
        <w:t>Obzirom na nedovoljno razvijeno stanje svijesti o rizicima: pojedinaca, pripadnika ranjivih skupina, upravljačkih i odgovornih tijela, posebnu pozor</w:t>
      </w:r>
      <w:r>
        <w:rPr>
          <w:lang w:eastAsia="hr-HR"/>
        </w:rPr>
        <w:t>nost treba posvetiti razvoju komunikacijskih i operativnih rješenja usklađenih s potrebama građana iz svih ranjivih skupina, posebno skupinama s problemima sluha i vida, kako bi se i oni pripremili za provođenje mjera po informacijama ranog upozoravanja te</w:t>
      </w:r>
      <w:r>
        <w:rPr>
          <w:lang w:eastAsia="hr-HR"/>
        </w:rPr>
        <w:t xml:space="preserve"> pripremili za postupanje u realnom vremenu uz primjerenu asistenciju organiziranih dijelova operativnih kapaciteta sustava civilne zaštite. Osim toga</w:t>
      </w:r>
      <w:r>
        <w:t xml:space="preserve"> potrebno je po naseljima organizirati tribine te upoznati lokalno stanovništvo s mogućim posljedicama než</w:t>
      </w:r>
      <w:r>
        <w:t xml:space="preserve">eljenih događaja kao i načinu samozaštite. Potrebno je i planirati mjere odgovora na moguće velike nesreće koje prijete gradu. </w:t>
      </w:r>
      <w:r>
        <w:rPr>
          <w:lang w:eastAsia="hr-HR"/>
        </w:rPr>
        <w:t xml:space="preserve">Stanje svijesti pojedinaca, pripadnika ranjivih skupina, upravljačkih i odgovornih tijela procjenjuje se kao </w:t>
      </w:r>
      <w:r>
        <w:rPr>
          <w:u w:val="single"/>
          <w:lang w:eastAsia="hr-HR"/>
        </w:rPr>
        <w:t>niska</w:t>
      </w:r>
      <w:r>
        <w:rPr>
          <w:lang w:eastAsia="hr-HR"/>
        </w:rPr>
        <w:t xml:space="preserve"> razina spremno</w:t>
      </w:r>
      <w:r>
        <w:rPr>
          <w:lang w:eastAsia="hr-HR"/>
        </w:rPr>
        <w:t>sti.</w:t>
      </w:r>
    </w:p>
    <w:p w:rsidR="00A07D92" w:rsidRDefault="00495E63">
      <w:pPr>
        <w:spacing w:before="0"/>
        <w:jc w:val="center"/>
        <w:rPr>
          <w:bCs/>
          <w:color w:val="54883D"/>
          <w:sz w:val="20"/>
          <w:szCs w:val="20"/>
        </w:rPr>
      </w:pPr>
      <w:r>
        <w:rPr>
          <w:bCs/>
          <w:color w:val="54883D"/>
          <w:sz w:val="20"/>
          <w:szCs w:val="20"/>
        </w:rPr>
        <w:t xml:space="preserve">Tablica </w:t>
      </w:r>
      <w:r>
        <w:rPr>
          <w:bCs/>
          <w:color w:val="54883D"/>
          <w:sz w:val="20"/>
          <w:szCs w:val="20"/>
        </w:rPr>
        <w:fldChar w:fldCharType="begin"/>
      </w:r>
      <w:r>
        <w:rPr>
          <w:bCs/>
          <w:sz w:val="20"/>
          <w:szCs w:val="20"/>
        </w:rPr>
        <w:instrText>SEQ Tabela \* ARABIC</w:instrText>
      </w:r>
      <w:r>
        <w:rPr>
          <w:bCs/>
          <w:sz w:val="20"/>
          <w:szCs w:val="20"/>
        </w:rPr>
        <w:fldChar w:fldCharType="separate"/>
      </w:r>
      <w:r>
        <w:rPr>
          <w:bCs/>
          <w:sz w:val="20"/>
          <w:szCs w:val="20"/>
        </w:rPr>
        <w:t>87</w:t>
      </w:r>
      <w:r>
        <w:rPr>
          <w:bCs/>
          <w:sz w:val="20"/>
          <w:szCs w:val="20"/>
        </w:rPr>
        <w:fldChar w:fldCharType="end"/>
      </w:r>
      <w:r>
        <w:rPr>
          <w:bCs/>
          <w:color w:val="54883D"/>
          <w:sz w:val="20"/>
          <w:szCs w:val="20"/>
        </w:rPr>
        <w:t>. Prikaz ocjene stanja svijesti pojedinaca, pripadnika ranjivih skupina, upravljačkih i odgovornih tijela</w:t>
      </w:r>
    </w:p>
    <w:tbl>
      <w:tblPr>
        <w:tblStyle w:val="Reetkatablice14"/>
        <w:tblW w:w="6041" w:type="dxa"/>
        <w:jc w:val="center"/>
        <w:tblLook w:val="04A0" w:firstRow="1" w:lastRow="0" w:firstColumn="1" w:lastColumn="0" w:noHBand="0" w:noVBand="1"/>
      </w:tblPr>
      <w:tblGrid>
        <w:gridCol w:w="3020"/>
        <w:gridCol w:w="3021"/>
      </w:tblGrid>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Ocjena</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120" w:after="0" w:line="240" w:lineRule="auto"/>
              <w:rPr>
                <w:sz w:val="20"/>
              </w:rPr>
            </w:pPr>
            <w:r>
              <w:rPr>
                <w:rFonts w:ascii="Times New Roman" w:hAnsi="Times New Roman" w:cs="Times New Roman"/>
                <w:sz w:val="20"/>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A07D92">
            <w:pPr>
              <w:spacing w:before="120" w:after="0" w:line="240" w:lineRule="auto"/>
              <w:jc w:val="center"/>
              <w:rPr>
                <w:rFonts w:ascii="Times New Roman" w:hAnsi="Times New Roman" w:cs="Times New Roman"/>
                <w:b/>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120" w:after="0" w:line="240" w:lineRule="auto"/>
              <w:rPr>
                <w:sz w:val="20"/>
              </w:rPr>
            </w:pPr>
            <w:r>
              <w:rPr>
                <w:rFonts w:ascii="Times New Roman" w:hAnsi="Times New Roman" w:cs="Times New Roman"/>
                <w:sz w:val="20"/>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X</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rPr>
                <w:sz w:val="20"/>
              </w:rPr>
            </w:pPr>
            <w:r>
              <w:rPr>
                <w:rFonts w:ascii="Times New Roman" w:hAnsi="Times New Roman" w:cs="Times New Roman"/>
                <w:sz w:val="20"/>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A07D92">
            <w:pPr>
              <w:spacing w:before="120" w:after="0" w:line="240" w:lineRule="auto"/>
              <w:jc w:val="center"/>
              <w:rPr>
                <w:rFonts w:ascii="Times New Roman" w:hAnsi="Times New Roman" w:cs="Times New Roman"/>
                <w:b/>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120" w:after="0" w:line="240" w:lineRule="auto"/>
              <w:rPr>
                <w:sz w:val="20"/>
              </w:rPr>
            </w:pPr>
            <w:r>
              <w:rPr>
                <w:rFonts w:ascii="Times New Roman" w:hAnsi="Times New Roman" w:cs="Times New Roman"/>
                <w:sz w:val="20"/>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A07D92">
            <w:pPr>
              <w:spacing w:before="120" w:after="0" w:line="240" w:lineRule="auto"/>
              <w:jc w:val="center"/>
              <w:rPr>
                <w:rFonts w:ascii="Times New Roman" w:hAnsi="Times New Roman" w:cs="Times New Roman"/>
                <w:b/>
                <w:sz w:val="20"/>
                <w:lang w:eastAsia="hr-HR"/>
              </w:rPr>
            </w:pPr>
          </w:p>
        </w:tc>
      </w:tr>
    </w:tbl>
    <w:p w:rsidR="00A07D92" w:rsidRDefault="00A07D92">
      <w:pPr>
        <w:spacing w:before="120" w:after="120"/>
        <w:rPr>
          <w:lang w:eastAsia="hr-HR"/>
        </w:rPr>
      </w:pPr>
    </w:p>
    <w:p w:rsidR="00A07D92" w:rsidRDefault="00495E63">
      <w:pPr>
        <w:keepNext/>
        <w:keepLines/>
        <w:spacing w:before="40"/>
        <w:ind w:left="720" w:hanging="720"/>
        <w:outlineLvl w:val="2"/>
        <w:rPr>
          <w:rFonts w:cstheme="majorBidi"/>
          <w:color w:val="54883D"/>
          <w:sz w:val="28"/>
          <w:lang w:eastAsia="hr-HR" w:bidi="en-US"/>
        </w:rPr>
      </w:pPr>
      <w:bookmarkStart w:id="452" w:name="_Toc136522907"/>
      <w:bookmarkStart w:id="453" w:name="_Toc9596669"/>
      <w:bookmarkStart w:id="454" w:name="_Toc5969846"/>
      <w:bookmarkStart w:id="455" w:name="_Toc5701528"/>
      <w:r>
        <w:rPr>
          <w:rFonts w:cstheme="majorBidi"/>
          <w:color w:val="54883D"/>
          <w:sz w:val="28"/>
          <w:lang w:eastAsia="hr-HR" w:bidi="en-US"/>
        </w:rPr>
        <w:t>8.1.4 Ocjena stanja prostornog planiranja, izrade prostornih i urbanističkih planova razvoja, planskog korištenja zemljišta</w:t>
      </w:r>
      <w:bookmarkEnd w:id="452"/>
      <w:bookmarkEnd w:id="453"/>
      <w:bookmarkEnd w:id="454"/>
      <w:bookmarkEnd w:id="455"/>
    </w:p>
    <w:tbl>
      <w:tblPr>
        <w:tblStyle w:val="Reetkatablice14"/>
        <w:tblW w:w="9598" w:type="dxa"/>
        <w:jc w:val="center"/>
        <w:tblLook w:val="04A0" w:firstRow="1" w:lastRow="0" w:firstColumn="1" w:lastColumn="0" w:noHBand="0" w:noVBand="1"/>
      </w:tblPr>
      <w:tblGrid>
        <w:gridCol w:w="845"/>
        <w:gridCol w:w="7371"/>
        <w:gridCol w:w="775"/>
        <w:gridCol w:w="607"/>
      </w:tblGrid>
      <w:tr w:rsidR="00A07D92">
        <w:trPr>
          <w:jc w:val="center"/>
        </w:trPr>
        <w:tc>
          <w:tcPr>
            <w:tcW w:w="845"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R. br.</w:t>
            </w:r>
          </w:p>
        </w:tc>
        <w:tc>
          <w:tcPr>
            <w:tcW w:w="7370"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OPIS</w:t>
            </w:r>
          </w:p>
        </w:tc>
        <w:tc>
          <w:tcPr>
            <w:tcW w:w="1382"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TVRDNJA</w:t>
            </w:r>
          </w:p>
        </w:tc>
      </w:tr>
      <w:tr w:rsidR="00A07D92">
        <w:trPr>
          <w:jc w:val="center"/>
        </w:trPr>
        <w:tc>
          <w:tcPr>
            <w:tcW w:w="845"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37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DA</w:t>
            </w:r>
          </w:p>
        </w:tc>
        <w:tc>
          <w:tcPr>
            <w:tcW w:w="6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NE</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w:t>
            </w:r>
          </w:p>
        </w:tc>
        <w:tc>
          <w:tcPr>
            <w:tcW w:w="73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 xml:space="preserve">Jesu li prostornim planom definirane posebne vrijedne poljoprivredne površine, šumska područja, </w:t>
            </w:r>
            <w:r>
              <w:rPr>
                <w:rFonts w:ascii="Times New Roman" w:hAnsi="Times New Roman" w:cs="Times New Roman"/>
                <w:sz w:val="20"/>
                <w:szCs w:val="20"/>
                <w:lang w:eastAsia="hr-HR"/>
              </w:rPr>
              <w:t>zaštićena područja (nacionalni parkovi, parkovi prirode i dr.), područja pogodna za odlaganje neopasnog otpada i komunalnog otpada, način odvodnje zaobalnih voda, način zaštite od otvorenih vodnih tijela, bujičnih voda i dr.</w:t>
            </w:r>
          </w:p>
        </w:tc>
        <w:tc>
          <w:tcPr>
            <w:tcW w:w="7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6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2.</w:t>
            </w:r>
          </w:p>
        </w:tc>
        <w:tc>
          <w:tcPr>
            <w:tcW w:w="73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 xml:space="preserve">Jesu li doneseni </w:t>
            </w:r>
            <w:r>
              <w:rPr>
                <w:rFonts w:ascii="Times New Roman" w:hAnsi="Times New Roman" w:cs="Times New Roman"/>
                <w:sz w:val="20"/>
                <w:szCs w:val="20"/>
                <w:lang w:eastAsia="hr-HR"/>
              </w:rPr>
              <w:t>urbanistički planovi naselja i gospodarstva i jesu li u njima za građenje izostavljena područja u kojima zaštita nije djelotvorna (</w:t>
            </w:r>
            <w:proofErr w:type="spellStart"/>
            <w:r>
              <w:rPr>
                <w:rFonts w:ascii="Times New Roman" w:hAnsi="Times New Roman" w:cs="Times New Roman"/>
                <w:sz w:val="20"/>
                <w:szCs w:val="20"/>
                <w:lang w:eastAsia="hr-HR"/>
              </w:rPr>
              <w:t>inundacijska</w:t>
            </w:r>
            <w:proofErr w:type="spellEnd"/>
            <w:r>
              <w:rPr>
                <w:rFonts w:ascii="Times New Roman" w:hAnsi="Times New Roman" w:cs="Times New Roman"/>
                <w:sz w:val="20"/>
                <w:szCs w:val="20"/>
                <w:lang w:eastAsia="hr-HR"/>
              </w:rPr>
              <w:t xml:space="preserve"> područja, aktivna klizišta i dr.)</w:t>
            </w:r>
          </w:p>
        </w:tc>
        <w:tc>
          <w:tcPr>
            <w:tcW w:w="7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6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3.</w:t>
            </w:r>
          </w:p>
        </w:tc>
        <w:tc>
          <w:tcPr>
            <w:tcW w:w="73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 xml:space="preserve">Jesu li u područjima velike opasnosti utvrđen broj nelegalnih objekata </w:t>
            </w:r>
            <w:r>
              <w:rPr>
                <w:rFonts w:ascii="Times New Roman" w:hAnsi="Times New Roman" w:cs="Times New Roman"/>
                <w:sz w:val="20"/>
                <w:szCs w:val="20"/>
                <w:lang w:eastAsia="hr-HR"/>
              </w:rPr>
              <w:t>koji imaju dvojbenu otpornost na posljedice tih prijetnji?</w:t>
            </w:r>
          </w:p>
        </w:tc>
        <w:tc>
          <w:tcPr>
            <w:tcW w:w="7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6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4.</w:t>
            </w:r>
          </w:p>
        </w:tc>
        <w:tc>
          <w:tcPr>
            <w:tcW w:w="73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Jesu li u prostorni plan uvrštene lokacije za ukop poginulih osoba i životinja?</w:t>
            </w:r>
          </w:p>
        </w:tc>
        <w:tc>
          <w:tcPr>
            <w:tcW w:w="7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6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5.</w:t>
            </w:r>
          </w:p>
        </w:tc>
        <w:tc>
          <w:tcPr>
            <w:tcW w:w="737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 xml:space="preserve">Jesu li u prostorni plan uvrštene lokacije za privremeno odlaganje otpada nastalog kao posljedice </w:t>
            </w:r>
            <w:r>
              <w:rPr>
                <w:rFonts w:ascii="Times New Roman" w:hAnsi="Times New Roman" w:cs="Times New Roman"/>
                <w:sz w:val="20"/>
                <w:szCs w:val="20"/>
                <w:lang w:eastAsia="hr-HR"/>
              </w:rPr>
              <w:t>velikih nesreća?</w:t>
            </w:r>
          </w:p>
        </w:tc>
        <w:tc>
          <w:tcPr>
            <w:tcW w:w="7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6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r>
    </w:tbl>
    <w:p w:rsidR="00A07D92" w:rsidRDefault="00495E63">
      <w:pPr>
        <w:rPr>
          <w:color w:val="000000"/>
          <w:szCs w:val="22"/>
          <w:lang w:eastAsia="hr-HR"/>
        </w:rPr>
      </w:pPr>
      <w:r>
        <w:rPr>
          <w:color w:val="000000"/>
        </w:rPr>
        <w:t>Procjena spremnosti sustava civilne zaštite procijenjena  na temelju ocjene stanja prostornog planiranja, izrade prostornih i urbanističkih planova razvoja, provođenja legalizacije te planskog korištenja zemljišta. Grad Mali Lošinj ras</w:t>
      </w:r>
      <w:r>
        <w:rPr>
          <w:color w:val="000000"/>
        </w:rPr>
        <w:t xml:space="preserve">polaže sa sljedećim dokumentima prostornog </w:t>
      </w:r>
      <w:r>
        <w:rPr>
          <w:color w:val="000000"/>
          <w:szCs w:val="22"/>
        </w:rPr>
        <w:t>planiranja:</w:t>
      </w:r>
    </w:p>
    <w:p w:rsidR="00A07D92" w:rsidRDefault="00495E63">
      <w:pPr>
        <w:numPr>
          <w:ilvl w:val="0"/>
          <w:numId w:val="4"/>
        </w:numPr>
        <w:spacing w:before="0" w:after="0"/>
        <w:contextualSpacing/>
        <w:rPr>
          <w:rFonts w:eastAsia="Calibri"/>
          <w:color w:val="000000"/>
          <w:szCs w:val="20"/>
          <w:lang w:eastAsia="hr-HR"/>
        </w:rPr>
      </w:pPr>
      <w:r>
        <w:rPr>
          <w:rFonts w:eastAsia="Calibri"/>
          <w:color w:val="000000"/>
          <w:szCs w:val="20"/>
          <w:lang w:eastAsia="hr-HR"/>
        </w:rPr>
        <w:lastRenderedPageBreak/>
        <w:t>Prostorni plan uređenja Grada Malog Lošinja (Službene novine Primorsko goranske županije br. 42/14, 25/15, 32/15, 32/16)</w:t>
      </w:r>
      <w:bookmarkStart w:id="456" w:name="_Hlk135821631"/>
      <w:bookmarkEnd w:id="456"/>
    </w:p>
    <w:p w:rsidR="00A07D92" w:rsidRDefault="00495E63">
      <w:pPr>
        <w:numPr>
          <w:ilvl w:val="0"/>
          <w:numId w:val="4"/>
        </w:numPr>
        <w:spacing w:before="0" w:after="0"/>
        <w:contextualSpacing/>
        <w:rPr>
          <w:rFonts w:eastAsia="Calibri"/>
          <w:color w:val="000000"/>
          <w:szCs w:val="20"/>
          <w:lang w:eastAsia="hr-HR"/>
        </w:rPr>
      </w:pPr>
      <w:r>
        <w:rPr>
          <w:rFonts w:eastAsia="Calibri"/>
          <w:color w:val="000000"/>
          <w:szCs w:val="20"/>
          <w:lang w:eastAsia="hr-HR"/>
        </w:rPr>
        <w:t xml:space="preserve">Plan ukupnog razvoja Grada Malog Lošinja 2013.- 2020., </w:t>
      </w:r>
    </w:p>
    <w:p w:rsidR="00A07D92" w:rsidRDefault="00A07D92">
      <w:pPr>
        <w:spacing w:before="0" w:after="0"/>
        <w:ind w:left="426"/>
        <w:contextualSpacing/>
        <w:rPr>
          <w:rFonts w:eastAsia="Calibri"/>
          <w:color w:val="000000"/>
          <w:szCs w:val="20"/>
          <w:lang w:eastAsia="hr-HR"/>
        </w:rPr>
      </w:pPr>
    </w:p>
    <w:p w:rsidR="00A07D92" w:rsidRDefault="00495E63">
      <w:pPr>
        <w:spacing w:before="0" w:after="0"/>
        <w:ind w:left="142"/>
        <w:contextualSpacing/>
        <w:rPr>
          <w:color w:val="000000"/>
          <w:szCs w:val="22"/>
          <w:highlight w:val="white"/>
        </w:rPr>
      </w:pPr>
      <w:r>
        <w:rPr>
          <w:color w:val="000000"/>
          <w:szCs w:val="22"/>
          <w:shd w:val="clear" w:color="auto" w:fill="FFFFFF"/>
        </w:rPr>
        <w:t xml:space="preserve">U postupcima izdavanja </w:t>
      </w:r>
      <w:r>
        <w:rPr>
          <w:color w:val="000000"/>
          <w:szCs w:val="22"/>
          <w:shd w:val="clear" w:color="auto" w:fill="FFFFFF"/>
        </w:rPr>
        <w:t>lokacijskih i građevinskih dozvola prvenstveno se primjenjuju:</w:t>
      </w:r>
    </w:p>
    <w:p w:rsidR="00A07D92" w:rsidRDefault="00495E63">
      <w:pPr>
        <w:numPr>
          <w:ilvl w:val="0"/>
          <w:numId w:val="4"/>
        </w:numPr>
        <w:spacing w:before="0" w:after="0"/>
        <w:contextualSpacing/>
        <w:rPr>
          <w:rFonts w:eastAsia="Calibri"/>
          <w:color w:val="000000"/>
          <w:szCs w:val="20"/>
          <w:lang w:eastAsia="hr-HR"/>
        </w:rPr>
      </w:pPr>
      <w:r>
        <w:rPr>
          <w:rFonts w:eastAsia="Calibri"/>
          <w:color w:val="000000"/>
          <w:szCs w:val="20"/>
          <w:lang w:eastAsia="hr-HR"/>
        </w:rPr>
        <w:t>Zakon o prostornom uređenju („Narodne novine“ br.153/13, 65/17,114/18, 39/19 i 98/19),</w:t>
      </w:r>
    </w:p>
    <w:p w:rsidR="00A07D92" w:rsidRDefault="00495E63">
      <w:pPr>
        <w:numPr>
          <w:ilvl w:val="0"/>
          <w:numId w:val="4"/>
        </w:numPr>
        <w:spacing w:before="0" w:after="0"/>
        <w:contextualSpacing/>
        <w:rPr>
          <w:rFonts w:eastAsia="Calibri"/>
          <w:color w:val="000000"/>
          <w:szCs w:val="20"/>
          <w:lang w:eastAsia="hr-HR"/>
        </w:rPr>
      </w:pPr>
      <w:r>
        <w:rPr>
          <w:rFonts w:eastAsia="Calibri"/>
          <w:color w:val="000000"/>
          <w:szCs w:val="20"/>
          <w:lang w:eastAsia="hr-HR"/>
        </w:rPr>
        <w:t xml:space="preserve">Zakon o gradnji („Narodne novine“ br. 153/13, 20/17, 39/19 i 125/19) te drugi zakoni, posebni propisi i </w:t>
      </w:r>
      <w:r>
        <w:rPr>
          <w:rFonts w:eastAsia="Calibri"/>
          <w:color w:val="000000"/>
          <w:szCs w:val="20"/>
          <w:lang w:eastAsia="hr-HR"/>
        </w:rPr>
        <w:t>tehnički normativi, ovisno o vrsti zahvata u prostoru,</w:t>
      </w:r>
    </w:p>
    <w:p w:rsidR="00A07D92" w:rsidRDefault="00495E63">
      <w:pPr>
        <w:numPr>
          <w:ilvl w:val="0"/>
          <w:numId w:val="4"/>
        </w:numPr>
        <w:spacing w:before="0" w:after="0"/>
        <w:contextualSpacing/>
        <w:rPr>
          <w:rFonts w:eastAsia="Calibri"/>
          <w:color w:val="000000"/>
          <w:szCs w:val="20"/>
          <w:lang w:eastAsia="hr-HR"/>
        </w:rPr>
      </w:pPr>
      <w:r>
        <w:rPr>
          <w:rFonts w:eastAsia="Calibri"/>
          <w:color w:val="000000"/>
          <w:szCs w:val="20"/>
          <w:lang w:eastAsia="hr-HR"/>
        </w:rPr>
        <w:t>Zahtjevi civilne zaštite u dokumentima prostornog uređenja.</w:t>
      </w:r>
    </w:p>
    <w:p w:rsidR="00A07D92" w:rsidRDefault="00495E63">
      <w:pPr>
        <w:rPr>
          <w:color w:val="000000"/>
          <w:szCs w:val="22"/>
          <w:lang w:eastAsia="hr-HR"/>
        </w:rPr>
      </w:pPr>
      <w:r>
        <w:rPr>
          <w:color w:val="000000"/>
          <w:szCs w:val="22"/>
          <w:lang w:eastAsia="hr-HR"/>
        </w:rPr>
        <w:t xml:space="preserve">Stanje prostornog planiranja, izrade prostornih i urbanističkih planova razvoja, planskog korištenja zemljišta procjenjuje se kao </w:t>
      </w:r>
      <w:r>
        <w:rPr>
          <w:color w:val="000000"/>
          <w:szCs w:val="22"/>
          <w:u w:val="single"/>
          <w:lang w:eastAsia="hr-HR"/>
        </w:rPr>
        <w:t>vrlo visoka</w:t>
      </w:r>
      <w:r>
        <w:rPr>
          <w:color w:val="000000"/>
          <w:szCs w:val="22"/>
          <w:lang w:eastAsia="hr-HR"/>
        </w:rPr>
        <w:t xml:space="preserve"> razina spremnosti.</w:t>
      </w:r>
    </w:p>
    <w:p w:rsidR="00A07D92" w:rsidRDefault="00495E63">
      <w:pPr>
        <w:spacing w:before="0" w:after="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88</w:t>
      </w:r>
      <w:r>
        <w:rPr>
          <w:bCs/>
          <w:sz w:val="20"/>
          <w:szCs w:val="18"/>
        </w:rPr>
        <w:fldChar w:fldCharType="end"/>
      </w:r>
      <w:r>
        <w:rPr>
          <w:bCs/>
          <w:color w:val="54883D"/>
          <w:sz w:val="20"/>
          <w:szCs w:val="18"/>
        </w:rPr>
        <w:t>. Prikaz ocjena stanja prostornog planiranja, izrade prostornih i urbanističkih planova razvoja, planskog korištenja zemljišta</w:t>
      </w:r>
    </w:p>
    <w:tbl>
      <w:tblPr>
        <w:tblStyle w:val="Reetkatablice14"/>
        <w:tblW w:w="6041" w:type="dxa"/>
        <w:jc w:val="center"/>
        <w:tblLook w:val="04A0" w:firstRow="1" w:lastRow="0" w:firstColumn="1" w:lastColumn="0" w:noHBand="0" w:noVBand="1"/>
      </w:tblPr>
      <w:tblGrid>
        <w:gridCol w:w="3020"/>
        <w:gridCol w:w="3021"/>
      </w:tblGrid>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Ocjena</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120" w:after="0" w:line="240" w:lineRule="auto"/>
              <w:rPr>
                <w:sz w:val="20"/>
              </w:rPr>
            </w:pPr>
            <w:r>
              <w:rPr>
                <w:rFonts w:ascii="Times New Roman" w:hAnsi="Times New Roman" w:cs="Times New Roman"/>
                <w:sz w:val="20"/>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A07D92">
            <w:pPr>
              <w:spacing w:before="120" w:after="0" w:line="240" w:lineRule="auto"/>
              <w:jc w:val="center"/>
              <w:rPr>
                <w:rFonts w:ascii="Times New Roman" w:hAnsi="Times New Roman" w:cs="Times New Roman"/>
                <w:b/>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120" w:after="0" w:line="240" w:lineRule="auto"/>
              <w:rPr>
                <w:sz w:val="20"/>
              </w:rPr>
            </w:pPr>
            <w:r>
              <w:rPr>
                <w:rFonts w:ascii="Times New Roman" w:hAnsi="Times New Roman" w:cs="Times New Roman"/>
                <w:sz w:val="20"/>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A07D92">
            <w:pPr>
              <w:spacing w:before="120" w:after="0" w:line="240" w:lineRule="auto"/>
              <w:jc w:val="center"/>
              <w:rPr>
                <w:rFonts w:ascii="Times New Roman" w:hAnsi="Times New Roman" w:cs="Times New Roman"/>
                <w:b/>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rPr>
                <w:sz w:val="20"/>
              </w:rPr>
            </w:pPr>
            <w:r>
              <w:rPr>
                <w:rFonts w:ascii="Times New Roman" w:hAnsi="Times New Roman" w:cs="Times New Roman"/>
                <w:sz w:val="20"/>
                <w:lang w:eastAsia="hr-HR"/>
              </w:rPr>
              <w:t xml:space="preserve">Visoka </w:t>
            </w:r>
            <w:r>
              <w:rPr>
                <w:rFonts w:ascii="Times New Roman" w:hAnsi="Times New Roman" w:cs="Times New Roman"/>
                <w:sz w:val="20"/>
                <w:lang w:eastAsia="hr-HR"/>
              </w:rPr>
              <w:t>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x</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120" w:after="0" w:line="240" w:lineRule="auto"/>
              <w:rPr>
                <w:sz w:val="20"/>
              </w:rPr>
            </w:pPr>
            <w:r>
              <w:rPr>
                <w:rFonts w:ascii="Times New Roman" w:hAnsi="Times New Roman" w:cs="Times New Roman"/>
                <w:sz w:val="20"/>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A07D92">
            <w:pPr>
              <w:spacing w:before="120" w:after="0" w:line="240" w:lineRule="auto"/>
              <w:jc w:val="center"/>
              <w:rPr>
                <w:rFonts w:ascii="Times New Roman" w:hAnsi="Times New Roman" w:cs="Times New Roman"/>
                <w:b/>
                <w:sz w:val="20"/>
                <w:lang w:eastAsia="hr-HR"/>
              </w:rPr>
            </w:pPr>
          </w:p>
        </w:tc>
      </w:tr>
    </w:tbl>
    <w:p w:rsidR="00A07D92" w:rsidRDefault="00A07D92"/>
    <w:p w:rsidR="00A07D92" w:rsidRDefault="00495E63">
      <w:pPr>
        <w:keepNext/>
        <w:keepLines/>
        <w:spacing w:before="40"/>
        <w:ind w:left="720" w:hanging="720"/>
        <w:outlineLvl w:val="2"/>
        <w:rPr>
          <w:rFonts w:cstheme="majorBidi"/>
          <w:color w:val="54883D"/>
          <w:sz w:val="28"/>
          <w:lang w:eastAsia="hr-HR" w:bidi="en-US"/>
        </w:rPr>
      </w:pPr>
      <w:bookmarkStart w:id="457" w:name="_Toc136522908"/>
      <w:r>
        <w:rPr>
          <w:rFonts w:cstheme="majorBidi"/>
          <w:color w:val="54883D"/>
          <w:sz w:val="28"/>
          <w:lang w:eastAsia="hr-HR" w:bidi="en-US"/>
        </w:rPr>
        <w:t>8.1.5 Ocjena fiskalne situacije i njezine perspektive</w:t>
      </w:r>
      <w:bookmarkEnd w:id="457"/>
    </w:p>
    <w:tbl>
      <w:tblPr>
        <w:tblStyle w:val="Reetkatablice14"/>
        <w:tblW w:w="8926" w:type="dxa"/>
        <w:jc w:val="center"/>
        <w:tblLook w:val="04A0" w:firstRow="1" w:lastRow="0" w:firstColumn="1" w:lastColumn="0" w:noHBand="0" w:noVBand="1"/>
      </w:tblPr>
      <w:tblGrid>
        <w:gridCol w:w="845"/>
        <w:gridCol w:w="6662"/>
        <w:gridCol w:w="708"/>
        <w:gridCol w:w="711"/>
      </w:tblGrid>
      <w:tr w:rsidR="00A07D92">
        <w:trPr>
          <w:jc w:val="center"/>
        </w:trPr>
        <w:tc>
          <w:tcPr>
            <w:tcW w:w="845"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R. br.</w:t>
            </w:r>
          </w:p>
        </w:tc>
        <w:tc>
          <w:tcPr>
            <w:tcW w:w="6661"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OPIS</w:t>
            </w:r>
          </w:p>
        </w:tc>
        <w:tc>
          <w:tcPr>
            <w:tcW w:w="1419"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TVRDNJA</w:t>
            </w:r>
          </w:p>
        </w:tc>
      </w:tr>
      <w:tr w:rsidR="00A07D92">
        <w:trPr>
          <w:jc w:val="center"/>
        </w:trPr>
        <w:tc>
          <w:tcPr>
            <w:tcW w:w="845"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6661"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DA</w:t>
            </w:r>
          </w:p>
        </w:tc>
        <w:tc>
          <w:tcPr>
            <w:tcW w:w="71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NE</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w:t>
            </w:r>
          </w:p>
        </w:tc>
        <w:tc>
          <w:tcPr>
            <w:tcW w:w="6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Jesu li predviđena financijska sredstva, za realizaciju preventivnih mjera, koja uključuju sustav civilne zaštite?</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ind w:hanging="111"/>
              <w:jc w:val="center"/>
              <w:rPr>
                <w:b/>
                <w:sz w:val="20"/>
                <w:szCs w:val="20"/>
              </w:rPr>
            </w:pPr>
            <w:r>
              <w:rPr>
                <w:rFonts w:ascii="Times New Roman" w:hAnsi="Times New Roman" w:cs="Times New Roman"/>
                <w:b/>
                <w:sz w:val="20"/>
                <w:szCs w:val="20"/>
                <w:lang w:eastAsia="hr-HR"/>
              </w:rPr>
              <w:t>x</w:t>
            </w:r>
          </w:p>
        </w:tc>
        <w:tc>
          <w:tcPr>
            <w:tcW w:w="71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2.</w:t>
            </w:r>
          </w:p>
        </w:tc>
        <w:tc>
          <w:tcPr>
            <w:tcW w:w="6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 xml:space="preserve">Jesu li </w:t>
            </w:r>
            <w:r>
              <w:rPr>
                <w:rFonts w:ascii="Times New Roman" w:hAnsi="Times New Roman" w:cs="Times New Roman"/>
                <w:sz w:val="20"/>
                <w:szCs w:val="20"/>
                <w:lang w:eastAsia="hr-HR"/>
              </w:rPr>
              <w:t>predviđena financijska sredstva za provedbu mjera reagiranja u slučaju prijetnje koja može uzrokovati veliku nesreću?</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1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3.</w:t>
            </w:r>
          </w:p>
        </w:tc>
        <w:tc>
          <w:tcPr>
            <w:tcW w:w="6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Jesu li predviđena financijska sredstva za povrat u funkciju ugroženog područja (proračunska zaliha)?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71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4.</w:t>
            </w:r>
          </w:p>
        </w:tc>
        <w:tc>
          <w:tcPr>
            <w:tcW w:w="6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line="240" w:lineRule="auto"/>
              <w:rPr>
                <w:sz w:val="20"/>
                <w:szCs w:val="20"/>
              </w:rPr>
            </w:pPr>
            <w:r>
              <w:rPr>
                <w:rFonts w:ascii="Times New Roman" w:hAnsi="Times New Roman" w:cs="Times New Roman"/>
                <w:sz w:val="20"/>
                <w:szCs w:val="20"/>
                <w:lang w:eastAsia="hr-HR"/>
              </w:rPr>
              <w:t xml:space="preserve">Jesu li predviđena </w:t>
            </w:r>
            <w:r>
              <w:rPr>
                <w:rFonts w:ascii="Times New Roman" w:hAnsi="Times New Roman" w:cs="Times New Roman"/>
                <w:sz w:val="20"/>
                <w:szCs w:val="20"/>
                <w:lang w:eastAsia="hr-HR"/>
              </w:rPr>
              <w:t>sredstva za opremanje operativnih snaga sustava civilne zaštite (povjerenici civilne zaštite i dr.)</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71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bl>
    <w:p w:rsidR="00A07D92" w:rsidRDefault="00A07D92">
      <w:pPr>
        <w:rPr>
          <w:color w:val="000000"/>
          <w:lang w:bidi="en-US"/>
        </w:rPr>
      </w:pPr>
    </w:p>
    <w:p w:rsidR="00A07D92" w:rsidRDefault="00495E63">
      <w:pPr>
        <w:rPr>
          <w:lang w:bidi="en-US"/>
        </w:rPr>
      </w:pPr>
      <w:r>
        <w:rPr>
          <w:lang w:bidi="en-US"/>
        </w:rPr>
        <w:t>Grad Mali Lošinj u Proračunu za 2023. godinu osigurao je financijska sredstva namijenjena za financiranje ukupnih aktivnosti sustava civilne zaštite. U</w:t>
      </w:r>
      <w:r>
        <w:rPr>
          <w:lang w:bidi="en-US"/>
        </w:rPr>
        <w:t xml:space="preserve"> nastavku je prikazana raspodjela financijskih sredstva.</w:t>
      </w:r>
    </w:p>
    <w:p w:rsidR="00A07D92" w:rsidRDefault="00A07D92">
      <w:pPr>
        <w:rPr>
          <w:lang w:bidi="en-US"/>
        </w:rPr>
      </w:pPr>
    </w:p>
    <w:p w:rsidR="00A07D92" w:rsidRDefault="00A07D92">
      <w:pPr>
        <w:rPr>
          <w:lang w:bidi="en-US"/>
        </w:rPr>
      </w:pPr>
    </w:p>
    <w:tbl>
      <w:tblPr>
        <w:tblStyle w:val="Reetkatablice10"/>
        <w:tblW w:w="7495" w:type="dxa"/>
        <w:jc w:val="center"/>
        <w:tblLook w:val="04A0" w:firstRow="1" w:lastRow="0" w:firstColumn="1" w:lastColumn="0" w:noHBand="0" w:noVBand="1"/>
      </w:tblPr>
      <w:tblGrid>
        <w:gridCol w:w="549"/>
        <w:gridCol w:w="4832"/>
        <w:gridCol w:w="2114"/>
      </w:tblGrid>
      <w:tr w:rsidR="00A07D92">
        <w:trPr>
          <w:trHeight w:val="403"/>
          <w:jc w:val="center"/>
        </w:trPr>
        <w:tc>
          <w:tcPr>
            <w:tcW w:w="7495" w:type="dxa"/>
            <w:gridSpan w:val="3"/>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lang w:bidi="en-US"/>
              </w:rPr>
            </w:pPr>
            <w:r>
              <w:rPr>
                <w:rFonts w:ascii="Times New Roman" w:hAnsi="Times New Roman" w:cs="Times New Roman"/>
                <w:b/>
                <w:sz w:val="20"/>
                <w:lang w:eastAsia="hr-HR" w:bidi="en-US"/>
              </w:rPr>
              <w:t xml:space="preserve">OPERATIVNE SNAGE </w:t>
            </w:r>
          </w:p>
        </w:tc>
      </w:tr>
      <w:tr w:rsidR="00A07D92">
        <w:trPr>
          <w:trHeight w:val="403"/>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w:t>
            </w:r>
          </w:p>
        </w:tc>
        <w:tc>
          <w:tcPr>
            <w:tcW w:w="6946"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STOŽER CIVILNE ZAŠTITE I POSTROJBE CIVILNE ZAŠTITE</w:t>
            </w:r>
          </w:p>
        </w:tc>
      </w:tr>
      <w:tr w:rsidR="00A07D92">
        <w:trPr>
          <w:trHeight w:val="403"/>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1.1.</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Vježbe operativnih snaga civilne zaštite</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663,61</w:t>
            </w:r>
          </w:p>
        </w:tc>
      </w:tr>
      <w:tr w:rsidR="00A07D92">
        <w:trPr>
          <w:trHeight w:val="64"/>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lastRenderedPageBreak/>
              <w:t>1.2.</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 xml:space="preserve">Materijalna i tehnička oprema </w:t>
            </w:r>
            <w:proofErr w:type="spellStart"/>
            <w:r>
              <w:rPr>
                <w:rFonts w:ascii="Times New Roman" w:hAnsi="Times New Roman" w:cs="Times New Roman"/>
                <w:sz w:val="20"/>
                <w:lang w:eastAsia="hr-HR" w:bidi="en-US"/>
              </w:rPr>
              <w:t>operativnij</w:t>
            </w:r>
            <w:proofErr w:type="spellEnd"/>
            <w:r>
              <w:rPr>
                <w:rFonts w:ascii="Times New Roman" w:hAnsi="Times New Roman" w:cs="Times New Roman"/>
                <w:sz w:val="20"/>
                <w:lang w:eastAsia="hr-HR" w:bidi="en-US"/>
              </w:rPr>
              <w:t xml:space="preserve"> snaga</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1.327,23</w:t>
            </w:r>
          </w:p>
        </w:tc>
      </w:tr>
      <w:tr w:rsidR="00A07D92">
        <w:trPr>
          <w:trHeight w:val="64"/>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1.3.</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Redovno tekuće ažuriranje priloga i podataka iz sadržaja dokumenata</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663,61</w:t>
            </w:r>
          </w:p>
        </w:tc>
      </w:tr>
      <w:tr w:rsidR="00A07D92">
        <w:trPr>
          <w:trHeight w:val="64"/>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1.4.</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Vatrogasna zajednica, DVD-i, JVP</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1.540.290,30</w:t>
            </w:r>
          </w:p>
        </w:tc>
      </w:tr>
      <w:tr w:rsidR="00A07D92">
        <w:trPr>
          <w:trHeight w:val="64"/>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1.5.</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Redovno tekuće ažuriranje priloga i podataka iz sadržaja dokumenata</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663,61</w:t>
            </w:r>
          </w:p>
        </w:tc>
      </w:tr>
      <w:tr w:rsidR="00A07D92">
        <w:trPr>
          <w:trHeight w:val="403"/>
          <w:jc w:val="center"/>
        </w:trPr>
        <w:tc>
          <w:tcPr>
            <w:tcW w:w="54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sz w:val="20"/>
                <w:lang w:bidi="en-US"/>
              </w:rPr>
            </w:pPr>
            <w:r>
              <w:rPr>
                <w:rFonts w:ascii="Times New Roman" w:hAnsi="Times New Roman" w:cs="Times New Roman"/>
                <w:sz w:val="20"/>
                <w:lang w:eastAsia="hr-HR" w:bidi="en-US"/>
              </w:rPr>
              <w:t>1.6</w:t>
            </w:r>
          </w:p>
        </w:tc>
        <w:tc>
          <w:tcPr>
            <w:tcW w:w="48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left"/>
              <w:rPr>
                <w:sz w:val="20"/>
                <w:lang w:bidi="en-US"/>
              </w:rPr>
            </w:pPr>
            <w:r>
              <w:rPr>
                <w:rFonts w:ascii="Times New Roman" w:hAnsi="Times New Roman" w:cs="Times New Roman"/>
                <w:sz w:val="20"/>
                <w:lang w:eastAsia="hr-HR" w:bidi="en-US"/>
              </w:rPr>
              <w:t xml:space="preserve">Dom zdravlja PGŽ-a Rijeka-ispostava dr. </w:t>
            </w:r>
            <w:r>
              <w:rPr>
                <w:rFonts w:ascii="Times New Roman" w:hAnsi="Times New Roman" w:cs="Times New Roman"/>
                <w:sz w:val="20"/>
                <w:lang w:eastAsia="hr-HR" w:bidi="en-US"/>
              </w:rPr>
              <w:t>Dinko Kozulić, Mali Lošinj</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sz w:val="20"/>
                <w:lang w:bidi="en-US"/>
              </w:rPr>
            </w:pPr>
            <w:r>
              <w:rPr>
                <w:rFonts w:ascii="Times New Roman" w:hAnsi="Times New Roman" w:cs="Times New Roman"/>
                <w:sz w:val="20"/>
                <w:lang w:eastAsia="hr-HR" w:bidi="en-US"/>
              </w:rPr>
              <w:t>34.900,00</w:t>
            </w:r>
          </w:p>
        </w:tc>
      </w:tr>
      <w:tr w:rsidR="00A07D92">
        <w:trPr>
          <w:trHeight w:val="403"/>
          <w:jc w:val="center"/>
        </w:trPr>
        <w:tc>
          <w:tcPr>
            <w:tcW w:w="5381"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b/>
                <w:sz w:val="20"/>
                <w:lang w:bidi="en-US"/>
              </w:rPr>
            </w:pPr>
            <w:r>
              <w:rPr>
                <w:rFonts w:ascii="Times New Roman" w:hAnsi="Times New Roman" w:cs="Times New Roman"/>
                <w:b/>
                <w:sz w:val="20"/>
                <w:lang w:eastAsia="hr-HR" w:bidi="en-US"/>
              </w:rPr>
              <w:t>UKUPNO</w:t>
            </w:r>
          </w:p>
        </w:tc>
        <w:tc>
          <w:tcPr>
            <w:tcW w:w="211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right"/>
              <w:rPr>
                <w:b/>
                <w:sz w:val="20"/>
                <w:lang w:bidi="en-US"/>
              </w:rPr>
            </w:pPr>
            <w:r>
              <w:rPr>
                <w:rFonts w:ascii="Times New Roman" w:hAnsi="Times New Roman" w:cs="Times New Roman"/>
                <w:b/>
                <w:sz w:val="20"/>
                <w:lang w:eastAsia="hr-HR" w:bidi="en-US"/>
              </w:rPr>
              <w:t>1.578.508,36</w:t>
            </w:r>
          </w:p>
        </w:tc>
      </w:tr>
    </w:tbl>
    <w:p w:rsidR="00A07D92" w:rsidRDefault="00A07D92">
      <w:pPr>
        <w:rPr>
          <w:lang w:bidi="en-US"/>
        </w:rPr>
      </w:pPr>
    </w:p>
    <w:p w:rsidR="00A07D92" w:rsidRDefault="00495E63">
      <w:pPr>
        <w:spacing w:before="120" w:after="120"/>
      </w:pPr>
      <w:r>
        <w:t xml:space="preserve">Uvidom u stavke Proračuna Grada Malog Lošinja za 2023. godinu i obzirom na podatke o opremanju operativnih snaga civilne zaštite, ocjene fiskalne situacije i njezine perspektive procijenjena je </w:t>
      </w:r>
      <w:r>
        <w:rPr>
          <w:u w:val="single"/>
        </w:rPr>
        <w:t>vi</w:t>
      </w:r>
      <w:r>
        <w:rPr>
          <w:u w:val="single"/>
        </w:rPr>
        <w:t>sokom</w:t>
      </w:r>
      <w:r>
        <w:t xml:space="preserve"> razinom spremnosti. U sljedećem proračunskom razdoblju trebalo bi predvidjeti financijska sredstva za realizaciju preventivnih mjera i povrat u funkciju ugroženog područja.</w:t>
      </w:r>
    </w:p>
    <w:p w:rsidR="00A07D92" w:rsidRDefault="00495E63">
      <w:pPr>
        <w:spacing w:before="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89</w:t>
      </w:r>
      <w:r>
        <w:rPr>
          <w:bCs/>
          <w:sz w:val="20"/>
          <w:szCs w:val="18"/>
        </w:rPr>
        <w:fldChar w:fldCharType="end"/>
      </w:r>
      <w:r>
        <w:rPr>
          <w:bCs/>
          <w:color w:val="54883D"/>
          <w:sz w:val="20"/>
          <w:szCs w:val="18"/>
        </w:rPr>
        <w:t>. Prikaz ocjena fiskalne situacije i njezine</w:t>
      </w:r>
      <w:r>
        <w:rPr>
          <w:bCs/>
          <w:color w:val="54883D"/>
          <w:sz w:val="20"/>
          <w:szCs w:val="18"/>
        </w:rPr>
        <w:t xml:space="preserve"> perspektive</w:t>
      </w:r>
    </w:p>
    <w:tbl>
      <w:tblPr>
        <w:tblStyle w:val="Reetkatablice14"/>
        <w:tblW w:w="6041" w:type="dxa"/>
        <w:jc w:val="center"/>
        <w:tblLook w:val="04A0" w:firstRow="1" w:lastRow="0" w:firstColumn="1" w:lastColumn="0" w:noHBand="0" w:noVBand="1"/>
      </w:tblPr>
      <w:tblGrid>
        <w:gridCol w:w="3020"/>
        <w:gridCol w:w="3021"/>
      </w:tblGrid>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Ocjena</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120" w:after="0" w:line="240" w:lineRule="auto"/>
              <w:rPr>
                <w:sz w:val="20"/>
              </w:rPr>
            </w:pPr>
            <w:r>
              <w:rPr>
                <w:rFonts w:ascii="Times New Roman" w:hAnsi="Times New Roman" w:cs="Times New Roman"/>
                <w:sz w:val="20"/>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A07D92">
            <w:pPr>
              <w:spacing w:before="120" w:after="0" w:line="240" w:lineRule="auto"/>
              <w:jc w:val="center"/>
              <w:rPr>
                <w:rFonts w:ascii="Times New Roman" w:hAnsi="Times New Roman" w:cs="Times New Roman"/>
                <w:b/>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120" w:after="0" w:line="240" w:lineRule="auto"/>
              <w:rPr>
                <w:sz w:val="20"/>
              </w:rPr>
            </w:pPr>
            <w:r>
              <w:rPr>
                <w:rFonts w:ascii="Times New Roman" w:hAnsi="Times New Roman" w:cs="Times New Roman"/>
                <w:sz w:val="20"/>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A07D92">
            <w:pPr>
              <w:spacing w:before="120" w:after="0" w:line="240" w:lineRule="auto"/>
              <w:jc w:val="center"/>
              <w:rPr>
                <w:rFonts w:ascii="Times New Roman" w:hAnsi="Times New Roman" w:cs="Times New Roman"/>
                <w:b/>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rPr>
                <w:sz w:val="20"/>
              </w:rPr>
            </w:pPr>
            <w:r>
              <w:rPr>
                <w:rFonts w:ascii="Times New Roman" w:hAnsi="Times New Roman" w:cs="Times New Roman"/>
                <w:sz w:val="20"/>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X</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120" w:after="0" w:line="240" w:lineRule="auto"/>
              <w:rPr>
                <w:sz w:val="20"/>
              </w:rPr>
            </w:pPr>
            <w:r>
              <w:rPr>
                <w:rFonts w:ascii="Times New Roman" w:hAnsi="Times New Roman" w:cs="Times New Roman"/>
                <w:sz w:val="20"/>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A07D92">
            <w:pPr>
              <w:spacing w:before="120" w:after="0" w:line="240" w:lineRule="auto"/>
              <w:jc w:val="center"/>
              <w:rPr>
                <w:rFonts w:ascii="Times New Roman" w:hAnsi="Times New Roman" w:cs="Times New Roman"/>
                <w:b/>
                <w:sz w:val="20"/>
                <w:lang w:eastAsia="hr-HR"/>
              </w:rPr>
            </w:pPr>
          </w:p>
        </w:tc>
      </w:tr>
    </w:tbl>
    <w:p w:rsidR="00A07D92" w:rsidRDefault="00A07D92">
      <w:pPr>
        <w:spacing w:after="0"/>
      </w:pPr>
    </w:p>
    <w:p w:rsidR="00A07D92" w:rsidRDefault="00495E63">
      <w:pPr>
        <w:keepNext/>
        <w:keepLines/>
        <w:spacing w:before="40"/>
        <w:ind w:left="720" w:hanging="720"/>
        <w:outlineLvl w:val="2"/>
        <w:rPr>
          <w:rFonts w:cstheme="majorBidi"/>
          <w:color w:val="54883D"/>
          <w:sz w:val="28"/>
          <w:lang w:eastAsia="hr-HR" w:bidi="en-US"/>
        </w:rPr>
      </w:pPr>
      <w:bookmarkStart w:id="458" w:name="_Toc136522909"/>
      <w:bookmarkStart w:id="459" w:name="_Toc9596671"/>
      <w:bookmarkStart w:id="460" w:name="_Toc5969848"/>
      <w:bookmarkStart w:id="461" w:name="_Toc5701530"/>
      <w:r>
        <w:rPr>
          <w:rFonts w:cstheme="majorBidi"/>
          <w:color w:val="54883D"/>
          <w:sz w:val="28"/>
          <w:lang w:eastAsia="hr-HR" w:bidi="en-US"/>
        </w:rPr>
        <w:t>8.1.6 Baza podataka</w:t>
      </w:r>
      <w:bookmarkEnd w:id="458"/>
      <w:bookmarkEnd w:id="459"/>
      <w:bookmarkEnd w:id="460"/>
      <w:bookmarkEnd w:id="461"/>
    </w:p>
    <w:tbl>
      <w:tblPr>
        <w:tblStyle w:val="Reetkatablice14"/>
        <w:tblW w:w="8926" w:type="dxa"/>
        <w:jc w:val="center"/>
        <w:tblLook w:val="04A0" w:firstRow="1" w:lastRow="0" w:firstColumn="1" w:lastColumn="0" w:noHBand="0" w:noVBand="1"/>
      </w:tblPr>
      <w:tblGrid>
        <w:gridCol w:w="845"/>
        <w:gridCol w:w="6662"/>
        <w:gridCol w:w="712"/>
        <w:gridCol w:w="707"/>
      </w:tblGrid>
      <w:tr w:rsidR="00A07D92">
        <w:trPr>
          <w:jc w:val="center"/>
        </w:trPr>
        <w:tc>
          <w:tcPr>
            <w:tcW w:w="845"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R. br.</w:t>
            </w:r>
          </w:p>
        </w:tc>
        <w:tc>
          <w:tcPr>
            <w:tcW w:w="6661"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OPIS</w:t>
            </w:r>
          </w:p>
        </w:tc>
        <w:tc>
          <w:tcPr>
            <w:tcW w:w="1419"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TVRDNJA</w:t>
            </w:r>
          </w:p>
        </w:tc>
      </w:tr>
      <w:tr w:rsidR="00A07D92">
        <w:trPr>
          <w:jc w:val="center"/>
        </w:trPr>
        <w:tc>
          <w:tcPr>
            <w:tcW w:w="845"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6661"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1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DA</w:t>
            </w: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NE</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w:t>
            </w:r>
          </w:p>
        </w:tc>
        <w:tc>
          <w:tcPr>
            <w:tcW w:w="6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Postoji li baza podataka o pripadnicima operativnih snaga civilne zaštite?</w:t>
            </w:r>
          </w:p>
        </w:tc>
        <w:tc>
          <w:tcPr>
            <w:tcW w:w="71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2.</w:t>
            </w:r>
          </w:p>
        </w:tc>
        <w:tc>
          <w:tcPr>
            <w:tcW w:w="6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Postoji li baza podataka o članovima Stožera civilne zaštite, povjerenicima i zamjenicima povjerenika civilne zaštite, postrojbe civilne zaštite?</w:t>
            </w:r>
          </w:p>
        </w:tc>
        <w:tc>
          <w:tcPr>
            <w:tcW w:w="71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3.</w:t>
            </w:r>
          </w:p>
        </w:tc>
        <w:tc>
          <w:tcPr>
            <w:tcW w:w="6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Postoji li baza podataka o pravnim osobama od interesa za sustav civilne zaštite?</w:t>
            </w:r>
          </w:p>
        </w:tc>
        <w:tc>
          <w:tcPr>
            <w:tcW w:w="71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4.</w:t>
            </w:r>
          </w:p>
        </w:tc>
        <w:tc>
          <w:tcPr>
            <w:tcW w:w="6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Postoji li </w:t>
            </w:r>
            <w:r>
              <w:rPr>
                <w:rFonts w:ascii="Times New Roman" w:hAnsi="Times New Roman" w:cs="Times New Roman"/>
                <w:sz w:val="20"/>
                <w:szCs w:val="20"/>
                <w:lang w:eastAsia="hr-HR"/>
              </w:rPr>
              <w:t>baza podataka o prirodnim nepogodama i štetama koje su iste prouzročile?</w:t>
            </w:r>
          </w:p>
        </w:tc>
        <w:tc>
          <w:tcPr>
            <w:tcW w:w="71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5.</w:t>
            </w:r>
          </w:p>
        </w:tc>
        <w:tc>
          <w:tcPr>
            <w:tcW w:w="6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Postoji li baza podataka o otkazivanju kritične infrastrukture?</w:t>
            </w:r>
          </w:p>
        </w:tc>
        <w:tc>
          <w:tcPr>
            <w:tcW w:w="71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6.</w:t>
            </w:r>
          </w:p>
        </w:tc>
        <w:tc>
          <w:tcPr>
            <w:tcW w:w="6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Postoji li baza podataka s osobama s invaliditetom, osobama s posebnim potrebama, starijima i nemoćnima?</w:t>
            </w:r>
          </w:p>
        </w:tc>
        <w:tc>
          <w:tcPr>
            <w:tcW w:w="71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7.</w:t>
            </w:r>
          </w:p>
        </w:tc>
        <w:tc>
          <w:tcPr>
            <w:tcW w:w="666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Ažuriraju li se navedene baze podataka redovito?</w:t>
            </w:r>
          </w:p>
        </w:tc>
        <w:tc>
          <w:tcPr>
            <w:tcW w:w="71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7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bl>
    <w:p w:rsidR="00A07D92" w:rsidRDefault="00A07D92">
      <w:pPr>
        <w:spacing w:before="120" w:after="120"/>
        <w:rPr>
          <w:highlight w:val="yellow"/>
        </w:rPr>
      </w:pPr>
    </w:p>
    <w:p w:rsidR="00A07D92" w:rsidRDefault="00495E63">
      <w:pPr>
        <w:spacing w:after="0"/>
        <w:rPr>
          <w:color w:val="000000"/>
          <w:u w:val="single"/>
        </w:rPr>
      </w:pPr>
      <w:r>
        <w:rPr>
          <w:color w:val="000000"/>
        </w:rPr>
        <w:t>Bazu podataka označava skup međusobno povezanih podataka koji omogućavaju pregled sposobnosti operativnih snaga sustava civilne zaštite, a koji se na odgovarajući način i pod određenim uvjetima koristi za potrebe sustava civilne zaštite, odnosno koji se ko</w:t>
      </w:r>
      <w:r>
        <w:rPr>
          <w:color w:val="000000"/>
        </w:rPr>
        <w:t xml:space="preserve">risti za provođenje mjera i aktivnosti sustava civilne zaštite u velikim nesrećama i katastrofama kao i </w:t>
      </w:r>
      <w:r>
        <w:rPr>
          <w:color w:val="000000"/>
        </w:rPr>
        <w:lastRenderedPageBreak/>
        <w:t xml:space="preserve">za potrebe provođenja osposobljavanja. Razina spremnosti ove kategorije procijenjena je </w:t>
      </w:r>
      <w:r>
        <w:rPr>
          <w:color w:val="000000"/>
          <w:u w:val="single"/>
        </w:rPr>
        <w:t>visokom.</w:t>
      </w:r>
    </w:p>
    <w:p w:rsidR="00A07D92" w:rsidRDefault="00495E63">
      <w:pPr>
        <w:spacing w:before="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90</w:t>
      </w:r>
      <w:r>
        <w:rPr>
          <w:bCs/>
          <w:sz w:val="20"/>
          <w:szCs w:val="18"/>
        </w:rPr>
        <w:fldChar w:fldCharType="end"/>
      </w:r>
      <w:r>
        <w:rPr>
          <w:bCs/>
          <w:color w:val="54883D"/>
          <w:sz w:val="20"/>
          <w:szCs w:val="18"/>
        </w:rPr>
        <w:t xml:space="preserve">. Prikaz ocjene baza </w:t>
      </w:r>
      <w:r>
        <w:rPr>
          <w:bCs/>
          <w:color w:val="54883D"/>
          <w:sz w:val="20"/>
          <w:szCs w:val="18"/>
        </w:rPr>
        <w:t>podataka</w:t>
      </w:r>
    </w:p>
    <w:tbl>
      <w:tblPr>
        <w:tblStyle w:val="Reetkatablice14"/>
        <w:tblW w:w="6041" w:type="dxa"/>
        <w:jc w:val="center"/>
        <w:tblLook w:val="04A0" w:firstRow="1" w:lastRow="0" w:firstColumn="1" w:lastColumn="0" w:noHBand="0" w:noVBand="1"/>
      </w:tblPr>
      <w:tblGrid>
        <w:gridCol w:w="3020"/>
        <w:gridCol w:w="3021"/>
      </w:tblGrid>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Ocjena</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120" w:after="0" w:line="240" w:lineRule="auto"/>
              <w:rPr>
                <w:sz w:val="20"/>
              </w:rPr>
            </w:pPr>
            <w:r>
              <w:rPr>
                <w:rFonts w:ascii="Times New Roman" w:hAnsi="Times New Roman" w:cs="Times New Roman"/>
                <w:sz w:val="20"/>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A07D92">
            <w:pPr>
              <w:spacing w:before="120" w:after="0" w:line="240" w:lineRule="auto"/>
              <w:rPr>
                <w:rFonts w:ascii="Times New Roman" w:hAnsi="Times New Roman" w:cs="Times New Roman"/>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120" w:after="0" w:line="240" w:lineRule="auto"/>
              <w:rPr>
                <w:sz w:val="20"/>
              </w:rPr>
            </w:pPr>
            <w:r>
              <w:rPr>
                <w:rFonts w:ascii="Times New Roman" w:hAnsi="Times New Roman" w:cs="Times New Roman"/>
                <w:sz w:val="20"/>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A07D92">
            <w:pPr>
              <w:spacing w:before="120" w:after="0" w:line="240" w:lineRule="auto"/>
              <w:rPr>
                <w:rFonts w:ascii="Times New Roman" w:hAnsi="Times New Roman" w:cs="Times New Roman"/>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rPr>
                <w:sz w:val="20"/>
              </w:rPr>
            </w:pPr>
            <w:r>
              <w:rPr>
                <w:rFonts w:ascii="Times New Roman" w:hAnsi="Times New Roman" w:cs="Times New Roman"/>
                <w:sz w:val="20"/>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X</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120" w:after="0" w:line="240" w:lineRule="auto"/>
              <w:rPr>
                <w:sz w:val="20"/>
              </w:rPr>
            </w:pPr>
            <w:r>
              <w:rPr>
                <w:rFonts w:ascii="Times New Roman" w:hAnsi="Times New Roman" w:cs="Times New Roman"/>
                <w:sz w:val="20"/>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A07D92">
            <w:pPr>
              <w:spacing w:before="120" w:after="0" w:line="240" w:lineRule="auto"/>
              <w:jc w:val="center"/>
              <w:rPr>
                <w:rFonts w:ascii="Times New Roman" w:hAnsi="Times New Roman" w:cs="Times New Roman"/>
                <w:b/>
                <w:sz w:val="20"/>
                <w:lang w:eastAsia="hr-HR"/>
              </w:rPr>
            </w:pPr>
          </w:p>
        </w:tc>
      </w:tr>
    </w:tbl>
    <w:p w:rsidR="00A07D92" w:rsidRDefault="00A07D92"/>
    <w:p w:rsidR="00A07D92" w:rsidRDefault="00495E63">
      <w:r>
        <w:t>Zaključna ocjena sustava civilne zaštite u području preventive prikazana je u sljedećoj tablici.</w:t>
      </w:r>
    </w:p>
    <w:p w:rsidR="00A07D92" w:rsidRDefault="00495E63">
      <w:pPr>
        <w:spacing w:before="0" w:after="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91</w:t>
      </w:r>
      <w:r>
        <w:rPr>
          <w:bCs/>
          <w:sz w:val="20"/>
          <w:szCs w:val="18"/>
        </w:rPr>
        <w:fldChar w:fldCharType="end"/>
      </w:r>
      <w:r>
        <w:rPr>
          <w:bCs/>
          <w:color w:val="54883D"/>
          <w:sz w:val="20"/>
          <w:szCs w:val="18"/>
        </w:rPr>
        <w:t>. Analiza</w:t>
      </w:r>
      <w:r>
        <w:rPr>
          <w:bCs/>
          <w:color w:val="54883D"/>
          <w:sz w:val="20"/>
          <w:szCs w:val="18"/>
        </w:rPr>
        <w:t xml:space="preserve"> sustava civilne zaštite – područje preventive</w:t>
      </w:r>
    </w:p>
    <w:p w:rsidR="00A07D92" w:rsidRDefault="00A07D92">
      <w:pPr>
        <w:spacing w:before="0" w:after="0"/>
        <w:jc w:val="center"/>
        <w:rPr>
          <w:rFonts w:ascii="Calibri" w:hAnsi="Calibri"/>
          <w:bCs/>
          <w:color w:val="54883D"/>
          <w:sz w:val="20"/>
          <w:szCs w:val="18"/>
        </w:rPr>
      </w:pPr>
    </w:p>
    <w:tbl>
      <w:tblPr>
        <w:tblW w:w="9497" w:type="dxa"/>
        <w:jc w:val="center"/>
        <w:tblLook w:val="04A0" w:firstRow="1" w:lastRow="0" w:firstColumn="1" w:lastColumn="0" w:noHBand="0" w:noVBand="1"/>
      </w:tblPr>
      <w:tblGrid>
        <w:gridCol w:w="4240"/>
        <w:gridCol w:w="1239"/>
        <w:gridCol w:w="1275"/>
        <w:gridCol w:w="1324"/>
        <w:gridCol w:w="1419"/>
      </w:tblGrid>
      <w:tr w:rsidR="00A07D92">
        <w:trPr>
          <w:trHeight w:val="352"/>
          <w:tblHeader/>
          <w:jc w:val="center"/>
        </w:trPr>
        <w:tc>
          <w:tcPr>
            <w:tcW w:w="4241"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b/>
                <w:color w:val="000000"/>
                <w:sz w:val="20"/>
                <w:szCs w:val="20"/>
              </w:rPr>
            </w:pPr>
            <w:r>
              <w:rPr>
                <w:b/>
                <w:color w:val="000000"/>
                <w:sz w:val="20"/>
                <w:szCs w:val="20"/>
              </w:rPr>
              <w:t>PODRUČJE PREVENTIVE</w:t>
            </w:r>
          </w:p>
        </w:tc>
        <w:tc>
          <w:tcPr>
            <w:tcW w:w="1238"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after="0" w:line="240" w:lineRule="auto"/>
              <w:jc w:val="center"/>
              <w:rPr>
                <w:b/>
                <w:color w:val="000000"/>
                <w:sz w:val="20"/>
                <w:szCs w:val="20"/>
              </w:rPr>
            </w:pPr>
            <w:r>
              <w:rPr>
                <w:b/>
                <w:color w:val="000000"/>
                <w:sz w:val="20"/>
                <w:szCs w:val="20"/>
              </w:rPr>
              <w:t>Vrlo niska spremnost</w:t>
            </w:r>
          </w:p>
        </w:tc>
        <w:tc>
          <w:tcPr>
            <w:tcW w:w="1275"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after="0" w:line="240" w:lineRule="auto"/>
              <w:jc w:val="center"/>
              <w:rPr>
                <w:b/>
                <w:color w:val="000000"/>
                <w:sz w:val="20"/>
                <w:szCs w:val="20"/>
              </w:rPr>
            </w:pPr>
            <w:r>
              <w:rPr>
                <w:b/>
                <w:color w:val="000000"/>
                <w:sz w:val="20"/>
                <w:szCs w:val="20"/>
              </w:rPr>
              <w:t>Niska spremnost</w:t>
            </w:r>
          </w:p>
        </w:tc>
        <w:tc>
          <w:tcPr>
            <w:tcW w:w="1324"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after="0" w:line="240" w:lineRule="auto"/>
              <w:jc w:val="center"/>
              <w:rPr>
                <w:b/>
                <w:color w:val="000000"/>
                <w:sz w:val="20"/>
                <w:szCs w:val="20"/>
              </w:rPr>
            </w:pPr>
            <w:r>
              <w:rPr>
                <w:b/>
                <w:color w:val="000000"/>
                <w:sz w:val="20"/>
                <w:szCs w:val="20"/>
              </w:rPr>
              <w:t>Visoka spremnost</w:t>
            </w:r>
          </w:p>
        </w:tc>
        <w:tc>
          <w:tcPr>
            <w:tcW w:w="1419"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after="0" w:line="240" w:lineRule="auto"/>
              <w:jc w:val="center"/>
              <w:rPr>
                <w:b/>
                <w:color w:val="000000"/>
                <w:sz w:val="20"/>
                <w:szCs w:val="20"/>
              </w:rPr>
            </w:pPr>
            <w:r>
              <w:rPr>
                <w:b/>
                <w:color w:val="000000"/>
                <w:sz w:val="20"/>
                <w:szCs w:val="20"/>
              </w:rPr>
              <w:t>Vrlo visoka spremnost</w:t>
            </w:r>
          </w:p>
        </w:tc>
      </w:tr>
      <w:tr w:rsidR="00A07D92">
        <w:trPr>
          <w:trHeight w:val="278"/>
          <w:tblHeader/>
          <w:jc w:val="center"/>
        </w:trPr>
        <w:tc>
          <w:tcPr>
            <w:tcW w:w="4241"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rPr>
                <w:b/>
                <w:color w:val="000000"/>
                <w:sz w:val="20"/>
                <w:szCs w:val="20"/>
              </w:rPr>
            </w:pPr>
          </w:p>
        </w:tc>
        <w:tc>
          <w:tcPr>
            <w:tcW w:w="12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color w:val="000000"/>
                <w:sz w:val="20"/>
                <w:szCs w:val="20"/>
              </w:rPr>
            </w:pPr>
            <w:r>
              <w:rPr>
                <w:b/>
                <w:color w:val="000000"/>
                <w:sz w:val="20"/>
                <w:szCs w:val="20"/>
              </w:rPr>
              <w:t>4</w:t>
            </w: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color w:val="000000"/>
                <w:sz w:val="20"/>
                <w:szCs w:val="20"/>
              </w:rPr>
            </w:pPr>
            <w:r>
              <w:rPr>
                <w:b/>
                <w:color w:val="000000"/>
                <w:sz w:val="20"/>
                <w:szCs w:val="20"/>
              </w:rPr>
              <w:t>3</w:t>
            </w:r>
          </w:p>
        </w:tc>
        <w:tc>
          <w:tcPr>
            <w:tcW w:w="13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color w:val="000000"/>
                <w:sz w:val="20"/>
                <w:szCs w:val="20"/>
              </w:rPr>
            </w:pPr>
            <w:r>
              <w:rPr>
                <w:b/>
                <w:color w:val="000000"/>
                <w:sz w:val="20"/>
                <w:szCs w:val="20"/>
              </w:rPr>
              <w:t>2</w:t>
            </w:r>
          </w:p>
        </w:tc>
        <w:tc>
          <w:tcPr>
            <w:tcW w:w="14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color w:val="000000"/>
                <w:sz w:val="20"/>
                <w:szCs w:val="20"/>
              </w:rPr>
            </w:pPr>
            <w:r>
              <w:rPr>
                <w:b/>
                <w:color w:val="000000"/>
                <w:sz w:val="20"/>
                <w:szCs w:val="20"/>
              </w:rPr>
              <w:t>1</w:t>
            </w:r>
          </w:p>
        </w:tc>
      </w:tr>
      <w:tr w:rsidR="00A07D92">
        <w:trPr>
          <w:trHeight w:val="352"/>
          <w:jc w:val="center"/>
        </w:trPr>
        <w:tc>
          <w:tcPr>
            <w:tcW w:w="4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color w:val="000000"/>
                <w:sz w:val="20"/>
                <w:szCs w:val="20"/>
              </w:rPr>
            </w:pPr>
            <w:r>
              <w:rPr>
                <w:color w:val="000000"/>
                <w:sz w:val="20"/>
                <w:szCs w:val="20"/>
              </w:rPr>
              <w:t xml:space="preserve">Usvojenost strategija, normativne uređenosti te izrađenost procjena i planova od značaja za sustav </w:t>
            </w:r>
            <w:r>
              <w:rPr>
                <w:color w:val="000000"/>
                <w:sz w:val="20"/>
                <w:szCs w:val="20"/>
              </w:rPr>
              <w:t>civilne zaštite</w:t>
            </w:r>
          </w:p>
        </w:tc>
        <w:tc>
          <w:tcPr>
            <w:tcW w:w="12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line="240" w:lineRule="auto"/>
              <w:jc w:val="center"/>
              <w:rPr>
                <w:b/>
                <w:color w:val="000000"/>
                <w:sz w:val="20"/>
                <w:szCs w:val="20"/>
              </w:rPr>
            </w:pP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line="240" w:lineRule="auto"/>
              <w:jc w:val="center"/>
              <w:rPr>
                <w:b/>
                <w:color w:val="000000"/>
                <w:sz w:val="20"/>
                <w:szCs w:val="20"/>
              </w:rPr>
            </w:pPr>
          </w:p>
        </w:tc>
        <w:tc>
          <w:tcPr>
            <w:tcW w:w="13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line="240" w:lineRule="auto"/>
              <w:jc w:val="center"/>
              <w:rPr>
                <w:b/>
                <w:color w:val="000000"/>
                <w:sz w:val="20"/>
                <w:szCs w:val="20"/>
              </w:rPr>
            </w:pPr>
          </w:p>
        </w:tc>
        <w:tc>
          <w:tcPr>
            <w:tcW w:w="14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line="240" w:lineRule="auto"/>
              <w:jc w:val="center"/>
              <w:rPr>
                <w:b/>
                <w:color w:val="000000"/>
                <w:sz w:val="20"/>
                <w:szCs w:val="20"/>
              </w:rPr>
            </w:pPr>
            <w:r>
              <w:rPr>
                <w:b/>
                <w:color w:val="000000"/>
                <w:sz w:val="20"/>
                <w:szCs w:val="20"/>
              </w:rPr>
              <w:t>x</w:t>
            </w:r>
          </w:p>
        </w:tc>
      </w:tr>
      <w:tr w:rsidR="00A07D92">
        <w:trPr>
          <w:trHeight w:val="352"/>
          <w:jc w:val="center"/>
        </w:trPr>
        <w:tc>
          <w:tcPr>
            <w:tcW w:w="4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color w:val="000000"/>
                <w:sz w:val="20"/>
                <w:szCs w:val="20"/>
              </w:rPr>
            </w:pPr>
            <w:r>
              <w:rPr>
                <w:color w:val="000000"/>
                <w:sz w:val="20"/>
                <w:szCs w:val="20"/>
              </w:rPr>
              <w:t>Sustavi ranog upozoravanja i suradnja sa susjednim jedinicama područne (regionalne) samouprave</w:t>
            </w:r>
          </w:p>
        </w:tc>
        <w:tc>
          <w:tcPr>
            <w:tcW w:w="12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line="240" w:lineRule="auto"/>
              <w:jc w:val="center"/>
              <w:rPr>
                <w:b/>
                <w:color w:val="000000"/>
                <w:sz w:val="20"/>
                <w:szCs w:val="20"/>
              </w:rPr>
            </w:pP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line="240" w:lineRule="auto"/>
              <w:jc w:val="center"/>
              <w:rPr>
                <w:b/>
                <w:color w:val="000000"/>
                <w:sz w:val="20"/>
                <w:szCs w:val="20"/>
              </w:rPr>
            </w:pPr>
          </w:p>
        </w:tc>
        <w:tc>
          <w:tcPr>
            <w:tcW w:w="13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line="240" w:lineRule="auto"/>
              <w:jc w:val="center"/>
              <w:rPr>
                <w:b/>
                <w:color w:val="000000"/>
                <w:sz w:val="20"/>
                <w:szCs w:val="20"/>
              </w:rPr>
            </w:pPr>
            <w:r>
              <w:rPr>
                <w:b/>
                <w:color w:val="000000"/>
                <w:sz w:val="20"/>
                <w:szCs w:val="20"/>
              </w:rPr>
              <w:t>x</w:t>
            </w:r>
          </w:p>
        </w:tc>
        <w:tc>
          <w:tcPr>
            <w:tcW w:w="14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line="240" w:lineRule="auto"/>
              <w:jc w:val="center"/>
              <w:rPr>
                <w:b/>
                <w:color w:val="000000"/>
                <w:sz w:val="20"/>
                <w:szCs w:val="20"/>
              </w:rPr>
            </w:pPr>
          </w:p>
        </w:tc>
      </w:tr>
      <w:tr w:rsidR="00A07D92">
        <w:trPr>
          <w:trHeight w:val="676"/>
          <w:jc w:val="center"/>
        </w:trPr>
        <w:tc>
          <w:tcPr>
            <w:tcW w:w="4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color w:val="000000"/>
                <w:sz w:val="20"/>
                <w:szCs w:val="20"/>
              </w:rPr>
            </w:pPr>
            <w:r>
              <w:rPr>
                <w:color w:val="000000"/>
                <w:sz w:val="20"/>
                <w:szCs w:val="20"/>
              </w:rPr>
              <w:t>Stanje svijesti pojedinaca, pripadnika ranjivih skupina, upravljačkih i odgovornih tijela</w:t>
            </w:r>
          </w:p>
        </w:tc>
        <w:tc>
          <w:tcPr>
            <w:tcW w:w="12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color w:val="000000"/>
                <w:sz w:val="20"/>
                <w:szCs w:val="20"/>
              </w:rPr>
            </w:pPr>
            <w:r>
              <w:rPr>
                <w:b/>
                <w:color w:val="000000"/>
                <w:sz w:val="20"/>
                <w:szCs w:val="20"/>
              </w:rPr>
              <w:t>x</w:t>
            </w:r>
          </w:p>
        </w:tc>
        <w:tc>
          <w:tcPr>
            <w:tcW w:w="13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c>
          <w:tcPr>
            <w:tcW w:w="14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r>
      <w:tr w:rsidR="00A07D92">
        <w:trPr>
          <w:trHeight w:val="842"/>
          <w:jc w:val="center"/>
        </w:trPr>
        <w:tc>
          <w:tcPr>
            <w:tcW w:w="4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color w:val="000000"/>
                <w:sz w:val="20"/>
                <w:szCs w:val="20"/>
              </w:rPr>
            </w:pPr>
            <w:r>
              <w:rPr>
                <w:color w:val="000000"/>
                <w:sz w:val="20"/>
                <w:szCs w:val="20"/>
              </w:rPr>
              <w:t xml:space="preserve">Ocjena stanja prostornog planiranja, </w:t>
            </w:r>
            <w:r>
              <w:rPr>
                <w:color w:val="000000"/>
                <w:sz w:val="20"/>
                <w:szCs w:val="20"/>
              </w:rPr>
              <w:t>izrade prostornih i urbanističkih planova razvoja, planskog korištenja zemljišta</w:t>
            </w:r>
          </w:p>
        </w:tc>
        <w:tc>
          <w:tcPr>
            <w:tcW w:w="12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c>
          <w:tcPr>
            <w:tcW w:w="13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color w:val="000000"/>
                <w:sz w:val="20"/>
                <w:szCs w:val="20"/>
              </w:rPr>
            </w:pPr>
            <w:r>
              <w:rPr>
                <w:b/>
                <w:color w:val="000000"/>
                <w:sz w:val="20"/>
                <w:szCs w:val="20"/>
              </w:rPr>
              <w:t>x</w:t>
            </w:r>
          </w:p>
        </w:tc>
        <w:tc>
          <w:tcPr>
            <w:tcW w:w="14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r>
      <w:tr w:rsidR="00A07D92">
        <w:trPr>
          <w:trHeight w:val="362"/>
          <w:jc w:val="center"/>
        </w:trPr>
        <w:tc>
          <w:tcPr>
            <w:tcW w:w="4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color w:val="000000"/>
                <w:sz w:val="20"/>
                <w:szCs w:val="20"/>
              </w:rPr>
            </w:pPr>
            <w:r>
              <w:rPr>
                <w:color w:val="000000"/>
                <w:sz w:val="20"/>
                <w:szCs w:val="20"/>
              </w:rPr>
              <w:t>Ocjena fiskalne situacije i njezine perspektive</w:t>
            </w:r>
          </w:p>
        </w:tc>
        <w:tc>
          <w:tcPr>
            <w:tcW w:w="12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c>
          <w:tcPr>
            <w:tcW w:w="13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color w:val="000000"/>
                <w:sz w:val="20"/>
                <w:szCs w:val="20"/>
              </w:rPr>
            </w:pPr>
            <w:r>
              <w:rPr>
                <w:b/>
                <w:color w:val="000000"/>
                <w:sz w:val="20"/>
                <w:szCs w:val="20"/>
              </w:rPr>
              <w:t>x</w:t>
            </w:r>
          </w:p>
        </w:tc>
        <w:tc>
          <w:tcPr>
            <w:tcW w:w="14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r>
      <w:tr w:rsidR="00A07D92">
        <w:trPr>
          <w:trHeight w:val="352"/>
          <w:jc w:val="center"/>
        </w:trPr>
        <w:tc>
          <w:tcPr>
            <w:tcW w:w="4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color w:val="000000"/>
                <w:sz w:val="20"/>
                <w:szCs w:val="20"/>
              </w:rPr>
            </w:pPr>
            <w:r>
              <w:rPr>
                <w:color w:val="000000"/>
                <w:sz w:val="20"/>
                <w:szCs w:val="20"/>
              </w:rPr>
              <w:t>Baze podataka</w:t>
            </w:r>
          </w:p>
        </w:tc>
        <w:tc>
          <w:tcPr>
            <w:tcW w:w="12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c>
          <w:tcPr>
            <w:tcW w:w="13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color w:val="000000"/>
                <w:sz w:val="20"/>
                <w:szCs w:val="20"/>
              </w:rPr>
            </w:pPr>
            <w:r>
              <w:rPr>
                <w:b/>
                <w:color w:val="000000"/>
                <w:sz w:val="20"/>
                <w:szCs w:val="20"/>
              </w:rPr>
              <w:t>x</w:t>
            </w:r>
          </w:p>
        </w:tc>
        <w:tc>
          <w:tcPr>
            <w:tcW w:w="14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r>
      <w:tr w:rsidR="00A07D92">
        <w:trPr>
          <w:trHeight w:val="362"/>
          <w:jc w:val="center"/>
        </w:trPr>
        <w:tc>
          <w:tcPr>
            <w:tcW w:w="424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rPr>
                <w:b/>
                <w:color w:val="000000"/>
                <w:sz w:val="20"/>
                <w:szCs w:val="20"/>
              </w:rPr>
            </w:pPr>
            <w:r>
              <w:rPr>
                <w:b/>
                <w:color w:val="000000"/>
                <w:sz w:val="20"/>
                <w:szCs w:val="20"/>
              </w:rPr>
              <w:t>Područje preventive - ZBIRNO</w:t>
            </w:r>
          </w:p>
        </w:tc>
        <w:tc>
          <w:tcPr>
            <w:tcW w:w="12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c>
          <w:tcPr>
            <w:tcW w:w="132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color w:val="000000"/>
                <w:sz w:val="20"/>
                <w:szCs w:val="20"/>
              </w:rPr>
            </w:pPr>
            <w:r>
              <w:rPr>
                <w:b/>
                <w:color w:val="000000"/>
                <w:sz w:val="20"/>
                <w:szCs w:val="20"/>
              </w:rPr>
              <w:t>x</w:t>
            </w:r>
          </w:p>
        </w:tc>
        <w:tc>
          <w:tcPr>
            <w:tcW w:w="141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b/>
                <w:color w:val="000000"/>
                <w:sz w:val="20"/>
                <w:szCs w:val="20"/>
              </w:rPr>
            </w:pPr>
          </w:p>
        </w:tc>
      </w:tr>
    </w:tbl>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A07D92">
      <w:pPr>
        <w:rPr>
          <w:highlight w:val="yellow"/>
        </w:rPr>
      </w:pPr>
    </w:p>
    <w:p w:rsidR="00A07D92" w:rsidRDefault="00495E63">
      <w:pPr>
        <w:keepNext/>
        <w:jc w:val="left"/>
        <w:outlineLvl w:val="1"/>
        <w:rPr>
          <w:bCs/>
          <w:color w:val="54883D"/>
          <w:sz w:val="32"/>
        </w:rPr>
      </w:pPr>
      <w:bookmarkStart w:id="462" w:name="_Toc136522910"/>
      <w:bookmarkStart w:id="463" w:name="_Toc9596672"/>
      <w:bookmarkStart w:id="464" w:name="_Toc5969849"/>
      <w:bookmarkStart w:id="465" w:name="_Toc496856136"/>
      <w:bookmarkStart w:id="466" w:name="_Toc492284989"/>
      <w:r>
        <w:rPr>
          <w:bCs/>
          <w:color w:val="54883D"/>
          <w:sz w:val="32"/>
        </w:rPr>
        <w:t>8.2 Područje reagiranja</w:t>
      </w:r>
      <w:bookmarkEnd w:id="462"/>
      <w:bookmarkEnd w:id="463"/>
      <w:bookmarkEnd w:id="464"/>
      <w:bookmarkEnd w:id="465"/>
      <w:bookmarkEnd w:id="466"/>
    </w:p>
    <w:p w:rsidR="00A07D92" w:rsidRDefault="00495E63">
      <w:pPr>
        <w:spacing w:before="120" w:after="120"/>
      </w:pPr>
      <w:r>
        <w:t>Analiza na području reagiranja</w:t>
      </w:r>
      <w:r>
        <w:t xml:space="preserve"> sastoji se od sljedećih elemenata:</w:t>
      </w:r>
    </w:p>
    <w:p w:rsidR="00A07D92" w:rsidRDefault="00495E63">
      <w:pPr>
        <w:keepNext/>
        <w:keepLines/>
        <w:spacing w:before="40"/>
        <w:ind w:left="720" w:hanging="720"/>
        <w:outlineLvl w:val="2"/>
        <w:rPr>
          <w:rFonts w:cstheme="majorBidi"/>
          <w:color w:val="54883D"/>
          <w:sz w:val="28"/>
          <w:lang w:eastAsia="hr-HR" w:bidi="en-US"/>
        </w:rPr>
      </w:pPr>
      <w:bookmarkStart w:id="467" w:name="_Toc136522911"/>
      <w:bookmarkStart w:id="468" w:name="_Toc9596673"/>
      <w:bookmarkStart w:id="469" w:name="_Toc5969850"/>
      <w:bookmarkStart w:id="470" w:name="_Toc5701532"/>
      <w:r>
        <w:rPr>
          <w:rFonts w:cstheme="majorBidi"/>
          <w:color w:val="54883D"/>
          <w:sz w:val="28"/>
          <w:lang w:eastAsia="hr-HR" w:bidi="en-US"/>
        </w:rPr>
        <w:lastRenderedPageBreak/>
        <w:t>8.2.1 Spremnost odgovornih i upravljačkih kapaciteta</w:t>
      </w:r>
      <w:bookmarkEnd w:id="467"/>
      <w:bookmarkEnd w:id="468"/>
      <w:bookmarkEnd w:id="469"/>
      <w:bookmarkEnd w:id="470"/>
    </w:p>
    <w:tbl>
      <w:tblPr>
        <w:tblStyle w:val="Reetkatablice14"/>
        <w:tblW w:w="9634" w:type="dxa"/>
        <w:jc w:val="center"/>
        <w:tblLook w:val="04A0" w:firstRow="1" w:lastRow="0" w:firstColumn="1" w:lastColumn="0" w:noHBand="0" w:noVBand="1"/>
      </w:tblPr>
      <w:tblGrid>
        <w:gridCol w:w="845"/>
        <w:gridCol w:w="7372"/>
        <w:gridCol w:w="713"/>
        <w:gridCol w:w="704"/>
      </w:tblGrid>
      <w:tr w:rsidR="00A07D92">
        <w:trPr>
          <w:tblHeader/>
          <w:jc w:val="center"/>
        </w:trPr>
        <w:tc>
          <w:tcPr>
            <w:tcW w:w="845"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R. br.</w:t>
            </w:r>
          </w:p>
        </w:tc>
        <w:tc>
          <w:tcPr>
            <w:tcW w:w="7371"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OPIS</w:t>
            </w:r>
          </w:p>
        </w:tc>
        <w:tc>
          <w:tcPr>
            <w:tcW w:w="1417"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TVRDNJA</w:t>
            </w:r>
          </w:p>
        </w:tc>
      </w:tr>
      <w:tr w:rsidR="00A07D92">
        <w:trPr>
          <w:tblHeader/>
          <w:jc w:val="center"/>
        </w:trPr>
        <w:tc>
          <w:tcPr>
            <w:tcW w:w="845"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371"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DA</w:t>
            </w:r>
          </w:p>
        </w:tc>
        <w:tc>
          <w:tcPr>
            <w:tcW w:w="7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NE</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w:t>
            </w:r>
          </w:p>
        </w:tc>
        <w:tc>
          <w:tcPr>
            <w:tcW w:w="737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 li izvršno tijelo upoznato sa svojim ovlastima i odgovornostima za odgovarajuću primjenu mjera u slučaju nadolazeće prijetnje koja </w:t>
            </w:r>
            <w:r>
              <w:rPr>
                <w:rFonts w:ascii="Times New Roman" w:hAnsi="Times New Roman" w:cs="Times New Roman"/>
                <w:sz w:val="20"/>
                <w:szCs w:val="20"/>
                <w:lang w:eastAsia="hr-HR"/>
              </w:rPr>
              <w:t>može uzrokovati veliku nesreću te zna li koji su mu resursi na raspolaganju?</w:t>
            </w:r>
          </w:p>
        </w:tc>
        <w:tc>
          <w:tcPr>
            <w:tcW w:w="7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7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2.</w:t>
            </w:r>
          </w:p>
        </w:tc>
        <w:tc>
          <w:tcPr>
            <w:tcW w:w="737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 li izvršno tijelo osposobljeno za obavljanje poslova civilne zaštite od strane Ministarstva unutarnjih poslova?</w:t>
            </w:r>
          </w:p>
        </w:tc>
        <w:tc>
          <w:tcPr>
            <w:tcW w:w="7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7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3.</w:t>
            </w:r>
          </w:p>
        </w:tc>
        <w:tc>
          <w:tcPr>
            <w:tcW w:w="737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Poznaje li izvršno tijelo moguće rizike odnosno ne</w:t>
            </w:r>
            <w:r>
              <w:rPr>
                <w:rFonts w:ascii="Times New Roman" w:hAnsi="Times New Roman" w:cs="Times New Roman"/>
                <w:sz w:val="20"/>
                <w:szCs w:val="20"/>
                <w:lang w:eastAsia="hr-HR"/>
              </w:rPr>
              <w:t>željene posljedice koje isti mogu izazvati te poznaje li mjere i opseg snaga civilne zaštite koje će angažirati?</w:t>
            </w:r>
          </w:p>
        </w:tc>
        <w:tc>
          <w:tcPr>
            <w:tcW w:w="7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7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4.</w:t>
            </w:r>
          </w:p>
        </w:tc>
        <w:tc>
          <w:tcPr>
            <w:tcW w:w="737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 li izvršno tijelo odredilo osobu koja obavlja vođenje baze podataka i operativnu pripremu za djelovanje operativnih snaga civilne </w:t>
            </w:r>
            <w:r>
              <w:rPr>
                <w:rFonts w:ascii="Times New Roman" w:hAnsi="Times New Roman" w:cs="Times New Roman"/>
                <w:sz w:val="20"/>
                <w:szCs w:val="20"/>
                <w:lang w:eastAsia="hr-HR"/>
              </w:rPr>
              <w:t>zaštite pri povećanoj prijetnji nastanka velike nesreće?</w:t>
            </w:r>
          </w:p>
        </w:tc>
        <w:tc>
          <w:tcPr>
            <w:tcW w:w="7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7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5.</w:t>
            </w:r>
          </w:p>
        </w:tc>
        <w:tc>
          <w:tcPr>
            <w:tcW w:w="737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 li Stožer civilne zaštite osposobljen za izvršavanje zadaća u području civilne zaštite.</w:t>
            </w:r>
          </w:p>
        </w:tc>
        <w:tc>
          <w:tcPr>
            <w:tcW w:w="7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7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6.</w:t>
            </w:r>
          </w:p>
        </w:tc>
        <w:tc>
          <w:tcPr>
            <w:tcW w:w="737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Poznaje li Stožer civilne zaštite rizike, moguće neželjene posljedice koje isti mogu izazvati </w:t>
            </w:r>
            <w:r>
              <w:rPr>
                <w:rFonts w:ascii="Times New Roman" w:hAnsi="Times New Roman" w:cs="Times New Roman"/>
                <w:sz w:val="20"/>
                <w:szCs w:val="20"/>
                <w:lang w:eastAsia="hr-HR"/>
              </w:rPr>
              <w:t>te mjere, opseg i način angažiranja potrebnih snaga za provođenje mjera civilne zaštite te sanaciju posljedica velikih nesreća?</w:t>
            </w:r>
          </w:p>
        </w:tc>
        <w:tc>
          <w:tcPr>
            <w:tcW w:w="7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7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7.</w:t>
            </w:r>
          </w:p>
        </w:tc>
        <w:tc>
          <w:tcPr>
            <w:tcW w:w="737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Ima li Stožer u svom sastavu odgovarajuće operativno osoblje za imenovanje koordinatora na lokaciji (za prioritetne </w:t>
            </w:r>
            <w:r>
              <w:rPr>
                <w:rFonts w:ascii="Times New Roman" w:hAnsi="Times New Roman" w:cs="Times New Roman"/>
                <w:sz w:val="20"/>
                <w:szCs w:val="20"/>
                <w:lang w:eastAsia="hr-HR"/>
              </w:rPr>
              <w:t>prijetnje).</w:t>
            </w:r>
          </w:p>
        </w:tc>
        <w:tc>
          <w:tcPr>
            <w:tcW w:w="713"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70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bl>
    <w:p w:rsidR="00A07D92" w:rsidRDefault="00A07D92">
      <w:pPr>
        <w:spacing w:before="0"/>
        <w:jc w:val="center"/>
        <w:rPr>
          <w:bCs/>
          <w:color w:val="54883D"/>
          <w:sz w:val="20"/>
          <w:szCs w:val="18"/>
        </w:rPr>
      </w:pPr>
    </w:p>
    <w:p w:rsidR="00A07D92" w:rsidRDefault="00495E63">
      <w:pPr>
        <w:spacing w:before="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92</w:t>
      </w:r>
      <w:r>
        <w:rPr>
          <w:bCs/>
          <w:sz w:val="20"/>
          <w:szCs w:val="18"/>
        </w:rPr>
        <w:fldChar w:fldCharType="end"/>
      </w:r>
      <w:r>
        <w:rPr>
          <w:bCs/>
          <w:color w:val="54883D"/>
          <w:sz w:val="20"/>
          <w:szCs w:val="18"/>
        </w:rPr>
        <w:t>. Prikaz ocjene spremnosti odgovornih i upravljačkih kapaciteta</w:t>
      </w:r>
    </w:p>
    <w:tbl>
      <w:tblPr>
        <w:tblStyle w:val="Reetkatablice14"/>
        <w:tblW w:w="6041" w:type="dxa"/>
        <w:jc w:val="center"/>
        <w:tblLook w:val="04A0" w:firstRow="1" w:lastRow="0" w:firstColumn="1" w:lastColumn="0" w:noHBand="0" w:noVBand="1"/>
      </w:tblPr>
      <w:tblGrid>
        <w:gridCol w:w="3020"/>
        <w:gridCol w:w="3021"/>
      </w:tblGrid>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Ocjena</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120" w:after="0" w:line="240" w:lineRule="auto"/>
              <w:rPr>
                <w:sz w:val="20"/>
              </w:rPr>
            </w:pPr>
            <w:r>
              <w:rPr>
                <w:rFonts w:ascii="Times New Roman" w:hAnsi="Times New Roman" w:cs="Times New Roman"/>
                <w:sz w:val="20"/>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A07D92">
            <w:pPr>
              <w:spacing w:before="120" w:after="0" w:line="240" w:lineRule="auto"/>
              <w:rPr>
                <w:rFonts w:ascii="Times New Roman" w:hAnsi="Times New Roman" w:cs="Times New Roman"/>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120" w:after="0" w:line="240" w:lineRule="auto"/>
              <w:rPr>
                <w:sz w:val="20"/>
              </w:rPr>
            </w:pPr>
            <w:r>
              <w:rPr>
                <w:rFonts w:ascii="Times New Roman" w:hAnsi="Times New Roman" w:cs="Times New Roman"/>
                <w:sz w:val="20"/>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A07D92">
            <w:pPr>
              <w:spacing w:before="120" w:after="0" w:line="240" w:lineRule="auto"/>
              <w:rPr>
                <w:rFonts w:ascii="Times New Roman" w:hAnsi="Times New Roman" w:cs="Times New Roman"/>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rPr>
                <w:sz w:val="20"/>
              </w:rPr>
            </w:pPr>
            <w:r>
              <w:rPr>
                <w:rFonts w:ascii="Times New Roman" w:hAnsi="Times New Roman" w:cs="Times New Roman"/>
                <w:sz w:val="20"/>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A07D92">
            <w:pPr>
              <w:spacing w:before="120" w:after="0" w:line="240" w:lineRule="auto"/>
              <w:jc w:val="center"/>
              <w:rPr>
                <w:rFonts w:ascii="Times New Roman" w:hAnsi="Times New Roman" w:cs="Times New Roman"/>
                <w:b/>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120" w:after="0" w:line="240" w:lineRule="auto"/>
              <w:rPr>
                <w:sz w:val="20"/>
              </w:rPr>
            </w:pPr>
            <w:r>
              <w:rPr>
                <w:rFonts w:ascii="Times New Roman" w:hAnsi="Times New Roman" w:cs="Times New Roman"/>
                <w:sz w:val="20"/>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X</w:t>
            </w:r>
          </w:p>
        </w:tc>
      </w:tr>
    </w:tbl>
    <w:p w:rsidR="00A07D92" w:rsidRDefault="00A07D92">
      <w:pPr>
        <w:spacing w:after="0"/>
      </w:pPr>
    </w:p>
    <w:p w:rsidR="00A07D92" w:rsidRDefault="00495E63">
      <w:pPr>
        <w:keepNext/>
        <w:keepLines/>
        <w:spacing w:before="40"/>
        <w:ind w:left="720" w:hanging="720"/>
        <w:outlineLvl w:val="2"/>
        <w:rPr>
          <w:rFonts w:cstheme="majorBidi"/>
          <w:color w:val="54883D"/>
          <w:sz w:val="28"/>
          <w:lang w:eastAsia="hr-HR" w:bidi="en-US"/>
        </w:rPr>
      </w:pPr>
      <w:bookmarkStart w:id="471" w:name="_Toc136522912"/>
      <w:bookmarkStart w:id="472" w:name="_Toc9596674"/>
      <w:bookmarkStart w:id="473" w:name="_Toc5969851"/>
      <w:bookmarkStart w:id="474" w:name="_Toc5701533"/>
      <w:r>
        <w:rPr>
          <w:rFonts w:cstheme="majorBidi"/>
          <w:color w:val="54883D"/>
          <w:sz w:val="28"/>
          <w:lang w:eastAsia="hr-HR" w:bidi="en-US"/>
        </w:rPr>
        <w:t xml:space="preserve">8.2.2 Spremnost operativnih </w:t>
      </w:r>
      <w:r>
        <w:rPr>
          <w:rFonts w:cstheme="majorBidi"/>
          <w:color w:val="54883D"/>
          <w:sz w:val="28"/>
          <w:lang w:eastAsia="hr-HR" w:bidi="en-US"/>
        </w:rPr>
        <w:t>kapaciteta</w:t>
      </w:r>
      <w:bookmarkEnd w:id="471"/>
      <w:bookmarkEnd w:id="472"/>
      <w:bookmarkEnd w:id="473"/>
      <w:bookmarkEnd w:id="474"/>
    </w:p>
    <w:tbl>
      <w:tblPr>
        <w:tblStyle w:val="Reetkatablice14"/>
        <w:tblW w:w="9065" w:type="dxa"/>
        <w:jc w:val="center"/>
        <w:tblLook w:val="04A0" w:firstRow="1" w:lastRow="0" w:firstColumn="1" w:lastColumn="0" w:noHBand="0" w:noVBand="1"/>
      </w:tblPr>
      <w:tblGrid>
        <w:gridCol w:w="845"/>
        <w:gridCol w:w="6947"/>
        <w:gridCol w:w="708"/>
        <w:gridCol w:w="565"/>
      </w:tblGrid>
      <w:tr w:rsidR="00A07D92">
        <w:trPr>
          <w:tblHeader/>
          <w:jc w:val="center"/>
        </w:trPr>
        <w:tc>
          <w:tcPr>
            <w:tcW w:w="845"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R. br.</w:t>
            </w:r>
          </w:p>
        </w:tc>
        <w:tc>
          <w:tcPr>
            <w:tcW w:w="6946"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OPIS</w:t>
            </w:r>
          </w:p>
        </w:tc>
        <w:tc>
          <w:tcPr>
            <w:tcW w:w="1273"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TVRDNJA</w:t>
            </w:r>
          </w:p>
        </w:tc>
      </w:tr>
      <w:tr w:rsidR="00A07D92">
        <w:trPr>
          <w:tblHeader/>
          <w:jc w:val="center"/>
        </w:trPr>
        <w:tc>
          <w:tcPr>
            <w:tcW w:w="845"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6946"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DA</w:t>
            </w: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NE</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 li Stožer civilne zaštite osposobljen i kapacitiran za provedbu mjera u slučaju pojava prijetnje i njezinih posljedica?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2.</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Jesu li vatrogasne snage osposobljene i kapacitirane za provedbu mjera u slučaju </w:t>
            </w:r>
            <w:r>
              <w:rPr>
                <w:rFonts w:ascii="Times New Roman" w:hAnsi="Times New Roman" w:cs="Times New Roman"/>
                <w:sz w:val="20"/>
                <w:szCs w:val="20"/>
                <w:lang w:eastAsia="hr-HR"/>
              </w:rPr>
              <w:t>pojave prijetnje i njezinih posljedica?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3.</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Jesu li vatrogasne snage opremljene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4.</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Jesu li snage Hrvatske gorske službe spašavanja – Stanica Rijeka osposobljene i kapacitirane za </w:t>
            </w:r>
            <w:r>
              <w:rPr>
                <w:rFonts w:ascii="Times New Roman" w:hAnsi="Times New Roman" w:cs="Times New Roman"/>
                <w:sz w:val="20"/>
                <w:szCs w:val="20"/>
                <w:lang w:eastAsia="hr-HR"/>
              </w:rPr>
              <w:t>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5.</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Jesu li snage Hrvatske gorske službe spašavanja – Stanica Rijeka opremljene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6.</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Jesu li snage Gradskog Društva Cr</w:t>
            </w:r>
            <w:r>
              <w:rPr>
                <w:rFonts w:ascii="Times New Roman" w:hAnsi="Times New Roman" w:cs="Times New Roman"/>
                <w:sz w:val="20"/>
                <w:szCs w:val="20"/>
                <w:lang w:eastAsia="hr-HR"/>
              </w:rPr>
              <w:t>venog križa Malog Lošinja osposobljene i kapacitirane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7.</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Jesu li snage Gradskog Društva Crvenog križa Malog Lošinja opremljene za provedbu mjera u slučaju pojave prijetnje i njezinih </w:t>
            </w:r>
            <w:r>
              <w:rPr>
                <w:rFonts w:ascii="Times New Roman" w:hAnsi="Times New Roman" w:cs="Times New Roman"/>
                <w:sz w:val="20"/>
                <w:szCs w:val="20"/>
                <w:lang w:eastAsia="hr-HR"/>
              </w:rPr>
              <w:t>posljedica?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8.</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 li postrojba civilne zaštite osposobljena i kapacitirana za provedbu mjera u </w:t>
            </w:r>
            <w:r>
              <w:rPr>
                <w:rFonts w:ascii="Times New Roman" w:hAnsi="Times New Roman" w:cs="Times New Roman"/>
                <w:sz w:val="20"/>
                <w:szCs w:val="20"/>
                <w:lang w:eastAsia="hr-HR"/>
              </w:rPr>
              <w:lastRenderedPageBreak/>
              <w:t>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lastRenderedPageBreak/>
              <w:t>x</w:t>
            </w: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lastRenderedPageBreak/>
              <w:t>9.</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 li postrojba civilne zaštite opremljena za provedbu mjera u slučaju pojave prijetnje i njezinih </w:t>
            </w:r>
            <w:r>
              <w:rPr>
                <w:rFonts w:ascii="Times New Roman" w:hAnsi="Times New Roman" w:cs="Times New Roman"/>
                <w:sz w:val="20"/>
                <w:szCs w:val="20"/>
                <w:lang w:eastAsia="hr-HR"/>
              </w:rPr>
              <w:t>posljedica?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10.</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Jesu li povjerenici civilne zaštite i njihovi zamjenici  osposobljeni i kapacitirani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11.</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Jesu li povjerenici civilne zaštite i njihovi zamjenici opremljeni za prove</w:t>
            </w:r>
            <w:r>
              <w:rPr>
                <w:rFonts w:ascii="Times New Roman" w:hAnsi="Times New Roman" w:cs="Times New Roman"/>
                <w:sz w:val="20"/>
                <w:szCs w:val="20"/>
                <w:lang w:eastAsia="hr-HR"/>
              </w:rPr>
              <w:t>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12.</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Jesu li pravne osobe od interesa za sustav civilne zaštite upoznate sa svojim zadaćama?</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13.</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Imaju li pravne osobe od interesa za sustav civilne zaštite izrađene Operativne planove civilne zaštite pravnih osoba o načinu organiziranja provedbe mjera i aktivnosti u sustavu civilne zaštite? </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14.</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Jesu li potpisani sporazumi i definirane aktivnost </w:t>
            </w:r>
            <w:r>
              <w:rPr>
                <w:rFonts w:ascii="Times New Roman" w:hAnsi="Times New Roman" w:cs="Times New Roman"/>
                <w:sz w:val="20"/>
                <w:szCs w:val="20"/>
                <w:lang w:eastAsia="hr-HR"/>
              </w:rPr>
              <w:t>s pravnim osobama od interesa za sustav civilne zaštite kao potpora sustavu civilne zaštite?</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15.</w:t>
            </w:r>
          </w:p>
        </w:tc>
        <w:tc>
          <w:tcPr>
            <w:tcW w:w="6946"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Provode li se godišnje vježbe sustava civilne zaštite?</w:t>
            </w:r>
          </w:p>
        </w:tc>
        <w:tc>
          <w:tcPr>
            <w:tcW w:w="7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highlight w:val="yellow"/>
              </w:rPr>
            </w:pPr>
            <w:r>
              <w:rPr>
                <w:rFonts w:ascii="Times New Roman" w:hAnsi="Times New Roman" w:cs="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highlight w:val="yellow"/>
                <w:lang w:eastAsia="hr-HR"/>
              </w:rPr>
            </w:pPr>
          </w:p>
        </w:tc>
      </w:tr>
    </w:tbl>
    <w:p w:rsidR="00A07D92" w:rsidRDefault="00A07D92">
      <w:pPr>
        <w:spacing w:before="120" w:after="120"/>
        <w:rPr>
          <w:lang w:eastAsia="hr-HR"/>
        </w:rPr>
      </w:pPr>
    </w:p>
    <w:p w:rsidR="00A07D92" w:rsidRDefault="00495E63">
      <w:pPr>
        <w:spacing w:before="120" w:after="120"/>
        <w:rPr>
          <w:lang w:eastAsia="hr-HR"/>
        </w:rPr>
      </w:pPr>
      <w:r>
        <w:rPr>
          <w:lang w:eastAsia="hr-HR"/>
        </w:rPr>
        <w:t xml:space="preserve">Procjena spremnosti sustava civilne zaštite provedena je na temelju operativnih kapaciteta </w:t>
      </w:r>
      <w:r>
        <w:rPr>
          <w:lang w:eastAsia="hr-HR"/>
        </w:rPr>
        <w:t>sustava civilne zaštite za provođenje svih mjera i aktivnosti sustava civilne zaštite. Spremnost operativnih kapaciteta analizirana je po sljedećim parametrima: popunjenost ljudstvom, spremnost zapovjedništva, osposobljenosti i uvježbanosti ljudstva i zapo</w:t>
      </w:r>
      <w:r>
        <w:rPr>
          <w:lang w:eastAsia="hr-HR"/>
        </w:rPr>
        <w:t>vjednog osoblja, opremljenosti materijalno-tehničkim sredstvima, vremenu mobilizacijske spremnosti, samodostatnosti te logističkoj potpori.</w:t>
      </w:r>
    </w:p>
    <w:p w:rsidR="00A07D92" w:rsidRDefault="00A07D92">
      <w:pPr>
        <w:spacing w:before="0" w:after="200"/>
        <w:jc w:val="left"/>
        <w:rPr>
          <w:rFonts w:eastAsiaTheme="majorEastAsia"/>
          <w:b/>
        </w:rPr>
      </w:pPr>
    </w:p>
    <w:p w:rsidR="00A07D92" w:rsidRDefault="00495E63">
      <w:pPr>
        <w:spacing w:before="0" w:after="200"/>
        <w:jc w:val="left"/>
        <w:rPr>
          <w:rFonts w:eastAsiaTheme="majorEastAsia"/>
          <w:b/>
        </w:rPr>
      </w:pPr>
      <w:r>
        <w:rPr>
          <w:rFonts w:eastAsiaTheme="majorEastAsia"/>
          <w:b/>
        </w:rPr>
        <w:t>Stožer civilne zaštite Grada Malog Lošinja</w:t>
      </w:r>
    </w:p>
    <w:p w:rsidR="00A07D92" w:rsidRDefault="00495E63">
      <w:pPr>
        <w:spacing w:before="120" w:after="120"/>
        <w:rPr>
          <w:lang w:eastAsia="hr-HR"/>
        </w:rPr>
      </w:pPr>
      <w:r>
        <w:rPr>
          <w:lang w:eastAsia="hr-HR"/>
        </w:rPr>
        <w:t>Stožer civilne zaštite Grada Malog Lošinja broji 13 imenovanih članova t</w:t>
      </w:r>
      <w:r>
        <w:rPr>
          <w:lang w:eastAsia="hr-HR"/>
        </w:rPr>
        <w:t xml:space="preserve">e načelnicu i zamjenika načelnice Stožera civilne zaštite.  </w:t>
      </w:r>
    </w:p>
    <w:p w:rsidR="00A07D92" w:rsidRDefault="00495E63">
      <w:pPr>
        <w:rPr>
          <w:szCs w:val="22"/>
        </w:rPr>
      </w:pPr>
      <w:proofErr w:type="spellStart"/>
      <w:r>
        <w:rPr>
          <w:szCs w:val="22"/>
        </w:rPr>
        <w:t>Gradonačelelnica</w:t>
      </w:r>
      <w:proofErr w:type="spellEnd"/>
      <w:r>
        <w:rPr>
          <w:szCs w:val="22"/>
        </w:rPr>
        <w:t xml:space="preserve"> Grada Malog Lošinja donijela je dana 26. srpnja 2021. godine Odluku o osnivanju i imenovanju Stožer civilne zaštite (KLASA: 810-01/21-01/02 URBROJ:2213/01-</w:t>
      </w:r>
      <w:proofErr w:type="spellStart"/>
      <w:r>
        <w:rPr>
          <w:szCs w:val="22"/>
        </w:rPr>
        <w:t>01</w:t>
      </w:r>
      <w:proofErr w:type="spellEnd"/>
      <w:r>
        <w:rPr>
          <w:szCs w:val="22"/>
        </w:rPr>
        <w:t>-21-2) kao stručno, o</w:t>
      </w:r>
      <w:r>
        <w:rPr>
          <w:szCs w:val="22"/>
        </w:rPr>
        <w:t>perativno i koordinativno tijelo za provođenje mjera i aktivnosti civilne zaštite u velikim nesrećama i katastrofama.</w:t>
      </w:r>
    </w:p>
    <w:p w:rsidR="00A07D92" w:rsidRDefault="00495E63">
      <w:r>
        <w:t>U nastavku je prikazana ocjena spremnosti Stožera civilne zaštite Grada Malog Lošinja.</w:t>
      </w:r>
    </w:p>
    <w:p w:rsidR="00A07D92" w:rsidRDefault="00495E63">
      <w:pPr>
        <w:spacing w:before="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93</w:t>
      </w:r>
      <w:r>
        <w:rPr>
          <w:bCs/>
          <w:sz w:val="20"/>
          <w:szCs w:val="18"/>
        </w:rPr>
        <w:fldChar w:fldCharType="end"/>
      </w:r>
      <w:r>
        <w:rPr>
          <w:bCs/>
          <w:color w:val="54883D"/>
          <w:sz w:val="20"/>
          <w:szCs w:val="18"/>
        </w:rPr>
        <w:t xml:space="preserve">. Prikaz ocjene </w:t>
      </w:r>
      <w:r>
        <w:rPr>
          <w:bCs/>
          <w:color w:val="54883D"/>
          <w:sz w:val="20"/>
          <w:szCs w:val="18"/>
        </w:rPr>
        <w:t>spremnosti Stožera civilne zaštite</w:t>
      </w:r>
    </w:p>
    <w:tbl>
      <w:tblPr>
        <w:tblW w:w="9209" w:type="dxa"/>
        <w:jc w:val="center"/>
        <w:tblLook w:val="04A0" w:firstRow="1" w:lastRow="0" w:firstColumn="1" w:lastColumn="0" w:noHBand="0" w:noVBand="1"/>
      </w:tblPr>
      <w:tblGrid>
        <w:gridCol w:w="3538"/>
        <w:gridCol w:w="1417"/>
        <w:gridCol w:w="1285"/>
        <w:gridCol w:w="1561"/>
        <w:gridCol w:w="1408"/>
      </w:tblGrid>
      <w:tr w:rsidR="00A07D92">
        <w:trPr>
          <w:trHeight w:val="341"/>
          <w:tblHeader/>
          <w:jc w:val="center"/>
        </w:trPr>
        <w:tc>
          <w:tcPr>
            <w:tcW w:w="353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b/>
                <w:sz w:val="20"/>
                <w:szCs w:val="20"/>
              </w:rPr>
            </w:pPr>
            <w:r>
              <w:rPr>
                <w:b/>
                <w:sz w:val="20"/>
                <w:szCs w:val="20"/>
              </w:rPr>
              <w:t>PODRUČJE REAGIRANJA</w:t>
            </w:r>
          </w:p>
        </w:tc>
        <w:tc>
          <w:tcPr>
            <w:tcW w:w="141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jc w:val="center"/>
              <w:rPr>
                <w:b/>
                <w:sz w:val="20"/>
                <w:szCs w:val="20"/>
              </w:rPr>
            </w:pPr>
            <w:r>
              <w:rPr>
                <w:b/>
                <w:sz w:val="20"/>
                <w:szCs w:val="20"/>
              </w:rPr>
              <w:t>Vrlo niska spremnost</w:t>
            </w:r>
          </w:p>
        </w:tc>
        <w:tc>
          <w:tcPr>
            <w:tcW w:w="1285"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sz w:val="20"/>
                <w:szCs w:val="20"/>
              </w:rPr>
            </w:pPr>
            <w:r>
              <w:rPr>
                <w:b/>
                <w:sz w:val="20"/>
                <w:szCs w:val="20"/>
              </w:rPr>
              <w:t>Niska spremnost</w:t>
            </w:r>
          </w:p>
        </w:tc>
        <w:tc>
          <w:tcPr>
            <w:tcW w:w="1561"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sz w:val="20"/>
                <w:szCs w:val="20"/>
              </w:rPr>
            </w:pPr>
            <w:r>
              <w:rPr>
                <w:b/>
                <w:sz w:val="20"/>
                <w:szCs w:val="20"/>
              </w:rPr>
              <w:t>Visoka spremnost</w:t>
            </w:r>
          </w:p>
        </w:tc>
        <w:tc>
          <w:tcPr>
            <w:tcW w:w="1408"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sz w:val="20"/>
                <w:szCs w:val="20"/>
              </w:rPr>
            </w:pPr>
            <w:r>
              <w:rPr>
                <w:b/>
                <w:sz w:val="20"/>
                <w:szCs w:val="20"/>
              </w:rPr>
              <w:t>Vrlo visoka spremnost</w:t>
            </w:r>
          </w:p>
        </w:tc>
      </w:tr>
      <w:tr w:rsidR="00A07D92">
        <w:trPr>
          <w:trHeight w:val="269"/>
          <w:tblHeader/>
          <w:jc w:val="center"/>
        </w:trPr>
        <w:tc>
          <w:tcPr>
            <w:tcW w:w="353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sz w:val="20"/>
                <w:szCs w:val="20"/>
              </w:rPr>
            </w:pP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4</w:t>
            </w: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3</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2</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1</w:t>
            </w: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popunjenosti ljudstvom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spremnosti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r>
      <w:tr w:rsidR="00A07D92">
        <w:trPr>
          <w:trHeight w:val="570"/>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osposobljenosti ljudstva</w:t>
            </w:r>
            <w:r>
              <w:rPr>
                <w:sz w:val="20"/>
                <w:szCs w:val="20"/>
              </w:rPr>
              <w:t xml:space="preserve"> 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213"/>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uvježbanosti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lastRenderedPageBreak/>
              <w:t>Stupnja opremljenosti materijalnim sredstvima i opremom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Vremena mobilizacijske spremnosti/operativne gotovosti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rPr>
              <w:t>Samodostatnosti i logističkoj potpori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u w:val="single"/>
              </w:rPr>
              <w:t>Područje reagiranja - ZBIRNO</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bl>
    <w:p w:rsidR="00A07D92" w:rsidRDefault="00A07D92">
      <w:pPr>
        <w:rPr>
          <w:b/>
          <w:color w:val="000000"/>
        </w:rPr>
      </w:pPr>
    </w:p>
    <w:p w:rsidR="00A07D92" w:rsidRDefault="00495E63">
      <w:pPr>
        <w:spacing w:before="0" w:after="200"/>
        <w:jc w:val="left"/>
        <w:rPr>
          <w:b/>
          <w:color w:val="000000"/>
        </w:rPr>
      </w:pPr>
      <w:r>
        <w:rPr>
          <w:b/>
          <w:color w:val="000000"/>
        </w:rPr>
        <w:t>Koordinatori na lokaciji</w:t>
      </w:r>
    </w:p>
    <w:p w:rsidR="00A07D92" w:rsidRDefault="00495E63">
      <w:pPr>
        <w:rPr>
          <w:color w:val="000000"/>
        </w:rPr>
      </w:pPr>
      <w:r>
        <w:rPr>
          <w:color w:val="000000"/>
        </w:rPr>
        <w:t>Koordinator na lokaciji procjenjuje nastalu situaciju i njezine posljedice na terenu te u suradnji s Stožerom civilne zaštite usklađuje djelovanje operativnih snaga sustava civilne zaštite.</w:t>
      </w:r>
    </w:p>
    <w:p w:rsidR="00A07D92" w:rsidRDefault="00495E63">
      <w:pPr>
        <w:rPr>
          <w:color w:val="000000"/>
        </w:rPr>
      </w:pPr>
      <w:r>
        <w:rPr>
          <w:color w:val="000000"/>
        </w:rPr>
        <w:t>Koordinatora na lokaciji, sukladno spe</w:t>
      </w:r>
      <w:r>
        <w:rPr>
          <w:color w:val="000000"/>
        </w:rPr>
        <w:t>cifičnostima izvanrednog događaja, određuje načelnik stožera civilne zaštite iz redova operativnih snaga sustava civilne zaštite.</w:t>
      </w:r>
    </w:p>
    <w:p w:rsidR="00A07D92" w:rsidRDefault="00495E63">
      <w:pPr>
        <w:rPr>
          <w:b/>
          <w:color w:val="000000"/>
        </w:rPr>
      </w:pPr>
      <w:r>
        <w:rPr>
          <w:b/>
          <w:color w:val="000000"/>
        </w:rPr>
        <w:t>Povjerenici i zamjenici povjerenika civilne zaštite</w:t>
      </w:r>
    </w:p>
    <w:p w:rsidR="00A07D92" w:rsidRDefault="00495E63">
      <w:r>
        <w:t>Odluka o imenovanju povjerenika civilne zaštite i njihovih zamjenika za po</w:t>
      </w:r>
      <w:r>
        <w:t>dručje Grada Malog Lošinja donesena je 26. kolovoza 2021. godine. Jedan povjerenik i jedan zamjenik povjerenika imenuje se i raspoređuje za svaki mjesni odbor na području Grada Malog Lošinja, koji se rukovodno za svoje naselje uključuju u civilnu zaštitu i</w:t>
      </w:r>
      <w:r>
        <w:t xml:space="preserve"> provođenje mjera zaštite, ukupno 11 povjerenika i 11 zamjenika povjerenika civilne zaštite po mjesnim odborima.</w:t>
      </w:r>
    </w:p>
    <w:p w:rsidR="00A07D92" w:rsidRDefault="00495E63">
      <w:pPr>
        <w:spacing w:before="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94</w:t>
      </w:r>
      <w:r>
        <w:rPr>
          <w:bCs/>
          <w:sz w:val="20"/>
          <w:szCs w:val="18"/>
        </w:rPr>
        <w:fldChar w:fldCharType="end"/>
      </w:r>
      <w:r>
        <w:rPr>
          <w:bCs/>
          <w:color w:val="54883D"/>
          <w:sz w:val="20"/>
          <w:szCs w:val="18"/>
        </w:rPr>
        <w:t>. Prikaz ocjene spremnosti povjerenika civilne zaštite</w:t>
      </w:r>
    </w:p>
    <w:tbl>
      <w:tblPr>
        <w:tblW w:w="9209" w:type="dxa"/>
        <w:jc w:val="center"/>
        <w:tblLook w:val="04A0" w:firstRow="1" w:lastRow="0" w:firstColumn="1" w:lastColumn="0" w:noHBand="0" w:noVBand="1"/>
      </w:tblPr>
      <w:tblGrid>
        <w:gridCol w:w="3538"/>
        <w:gridCol w:w="1417"/>
        <w:gridCol w:w="1285"/>
        <w:gridCol w:w="1561"/>
        <w:gridCol w:w="1408"/>
      </w:tblGrid>
      <w:tr w:rsidR="00A07D92">
        <w:trPr>
          <w:trHeight w:val="341"/>
          <w:tblHeader/>
          <w:jc w:val="center"/>
        </w:trPr>
        <w:tc>
          <w:tcPr>
            <w:tcW w:w="353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b/>
                <w:sz w:val="20"/>
                <w:szCs w:val="20"/>
              </w:rPr>
            </w:pPr>
            <w:r>
              <w:rPr>
                <w:b/>
                <w:sz w:val="20"/>
                <w:szCs w:val="20"/>
              </w:rPr>
              <w:t>PODRUČJE REAGIRANJA</w:t>
            </w:r>
          </w:p>
        </w:tc>
        <w:tc>
          <w:tcPr>
            <w:tcW w:w="141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jc w:val="center"/>
              <w:rPr>
                <w:b/>
                <w:sz w:val="20"/>
                <w:szCs w:val="20"/>
              </w:rPr>
            </w:pPr>
            <w:r>
              <w:rPr>
                <w:b/>
                <w:sz w:val="20"/>
                <w:szCs w:val="20"/>
              </w:rPr>
              <w:t>Vrlo niska spremnost</w:t>
            </w:r>
          </w:p>
        </w:tc>
        <w:tc>
          <w:tcPr>
            <w:tcW w:w="1285"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sz w:val="20"/>
                <w:szCs w:val="20"/>
              </w:rPr>
            </w:pPr>
            <w:r>
              <w:rPr>
                <w:b/>
                <w:sz w:val="20"/>
                <w:szCs w:val="20"/>
              </w:rPr>
              <w:t xml:space="preserve">Niska </w:t>
            </w:r>
            <w:r>
              <w:rPr>
                <w:b/>
                <w:sz w:val="20"/>
                <w:szCs w:val="20"/>
              </w:rPr>
              <w:t>spremnost</w:t>
            </w:r>
          </w:p>
        </w:tc>
        <w:tc>
          <w:tcPr>
            <w:tcW w:w="1561"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sz w:val="20"/>
                <w:szCs w:val="20"/>
              </w:rPr>
            </w:pPr>
            <w:r>
              <w:rPr>
                <w:b/>
                <w:sz w:val="20"/>
                <w:szCs w:val="20"/>
              </w:rPr>
              <w:t>Visoka spremnost</w:t>
            </w:r>
          </w:p>
        </w:tc>
        <w:tc>
          <w:tcPr>
            <w:tcW w:w="1408"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sz w:val="20"/>
                <w:szCs w:val="20"/>
              </w:rPr>
            </w:pPr>
            <w:r>
              <w:rPr>
                <w:b/>
                <w:sz w:val="20"/>
                <w:szCs w:val="20"/>
              </w:rPr>
              <w:t>Vrlo visoka spremnost</w:t>
            </w:r>
          </w:p>
        </w:tc>
      </w:tr>
      <w:tr w:rsidR="00A07D92">
        <w:trPr>
          <w:trHeight w:val="269"/>
          <w:tblHeader/>
          <w:jc w:val="center"/>
        </w:trPr>
        <w:tc>
          <w:tcPr>
            <w:tcW w:w="353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sz w:val="20"/>
                <w:szCs w:val="20"/>
              </w:rPr>
            </w:pP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4</w:t>
            </w: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3</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2</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1</w:t>
            </w: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popunjenosti ljudstvom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spremnosti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r>
      <w:tr w:rsidR="00A07D92">
        <w:trPr>
          <w:trHeight w:val="570"/>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osposobljenosti ljudstva 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213"/>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uvježbanosti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 xml:space="preserve">Stupnja opremljenosti </w:t>
            </w:r>
            <w:r>
              <w:rPr>
                <w:sz w:val="20"/>
                <w:szCs w:val="20"/>
              </w:rPr>
              <w:t>materijalnim sredstvima i opremom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Vremena mobilizacijske spremnosti/operativne gotovosti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rPr>
              <w:t>Samodostatnosti i logističkoj potpori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u w:val="single"/>
              </w:rPr>
              <w:t>Područje reagiranja - ZBIRNO</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bl>
    <w:p w:rsidR="00A07D92" w:rsidRDefault="00A07D92">
      <w:pPr>
        <w:spacing w:before="0" w:after="0"/>
        <w:rPr>
          <w:b/>
          <w:color w:val="000000"/>
        </w:rPr>
      </w:pPr>
    </w:p>
    <w:p w:rsidR="00A07D92" w:rsidRDefault="00495E63">
      <w:pPr>
        <w:rPr>
          <w:b/>
          <w:color w:val="000000"/>
        </w:rPr>
      </w:pPr>
      <w:r>
        <w:rPr>
          <w:b/>
          <w:color w:val="000000"/>
        </w:rPr>
        <w:t>Postrojba civilne zaštite Grada Malog Lošinja</w:t>
      </w:r>
    </w:p>
    <w:p w:rsidR="00A07D92" w:rsidRDefault="00495E63">
      <w:pPr>
        <w:rPr>
          <w:bCs/>
          <w:color w:val="000000"/>
        </w:rPr>
      </w:pPr>
      <w:r>
        <w:rPr>
          <w:bCs/>
          <w:color w:val="000000"/>
        </w:rPr>
        <w:lastRenderedPageBreak/>
        <w:t xml:space="preserve">Postrojba civilne zaštite </w:t>
      </w:r>
      <w:r>
        <w:rPr>
          <w:bCs/>
          <w:color w:val="000000"/>
        </w:rPr>
        <w:t>Grada Malog Lošinja sastoji se od jednog tima koji u svom sastavu ima tri skupine. Postrojba ima ukupno 33 pripadnika.</w:t>
      </w:r>
    </w:p>
    <w:p w:rsidR="00A07D92" w:rsidRDefault="00495E63">
      <w:pPr>
        <w:rPr>
          <w:bCs/>
          <w:color w:val="000000"/>
        </w:rPr>
      </w:pPr>
      <w:r>
        <w:rPr>
          <w:bCs/>
          <w:color w:val="000000"/>
        </w:rPr>
        <w:t>Postrojba civilne zaštite opće namjene osniva se odlukom koju na prijedlog izvršnog tijela donosi predstavničko tijelo JLS-a na temelju p</w:t>
      </w:r>
      <w:r>
        <w:rPr>
          <w:bCs/>
          <w:color w:val="000000"/>
        </w:rPr>
        <w:t xml:space="preserve">rocjene rizika i analiza stanja spremnosti kapaciteta sustava civilne zaštite. Postrojba se osniva za provođenje mjera civilne zaštite, asanacije terena, potpore u provođenju mjera evakuacije, </w:t>
      </w:r>
      <w:proofErr w:type="spellStart"/>
      <w:r>
        <w:rPr>
          <w:bCs/>
          <w:color w:val="000000"/>
        </w:rPr>
        <w:t>spašavanj</w:t>
      </w:r>
      <w:proofErr w:type="spellEnd"/>
      <w:r>
        <w:rPr>
          <w:bCs/>
          <w:color w:val="000000"/>
        </w:rPr>
        <w:t xml:space="preserve">, prve pomoći, zbrinjavanja ugroženog stanovništva te </w:t>
      </w:r>
      <w:r>
        <w:rPr>
          <w:bCs/>
          <w:color w:val="000000"/>
        </w:rPr>
        <w:t>zaštite od poplave.</w:t>
      </w:r>
    </w:p>
    <w:p w:rsidR="00A07D92" w:rsidRDefault="00495E63">
      <w:pPr>
        <w:rPr>
          <w:bCs/>
          <w:color w:val="000000"/>
        </w:rPr>
      </w:pPr>
      <w:r>
        <w:rPr>
          <w:bCs/>
          <w:color w:val="000000"/>
        </w:rPr>
        <w:t>Postrojba se sastoji od upravljačke i operativne skupine. Upravljačka skupina sastoji se od dva pripadnika. Postrojba može imati najmanje dvije operativne skupine od kojih svaka ima svog voditelja. Svaka operativna skupina sastoji se od</w:t>
      </w:r>
      <w:r>
        <w:rPr>
          <w:bCs/>
          <w:color w:val="000000"/>
        </w:rPr>
        <w:t xml:space="preserve"> 8 do 10 pripadnika.</w:t>
      </w:r>
    </w:p>
    <w:p w:rsidR="00A07D92" w:rsidRDefault="00495E63">
      <w:pPr>
        <w:spacing w:before="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95</w:t>
      </w:r>
      <w:r>
        <w:rPr>
          <w:bCs/>
          <w:sz w:val="20"/>
          <w:szCs w:val="18"/>
        </w:rPr>
        <w:fldChar w:fldCharType="end"/>
      </w:r>
      <w:r>
        <w:rPr>
          <w:bCs/>
          <w:color w:val="54883D"/>
          <w:sz w:val="20"/>
          <w:szCs w:val="18"/>
        </w:rPr>
        <w:t>. Prikaz ocjene spremnosti postrojbe civilne zaštite</w:t>
      </w:r>
    </w:p>
    <w:tbl>
      <w:tblPr>
        <w:tblW w:w="9209" w:type="dxa"/>
        <w:jc w:val="center"/>
        <w:tblLook w:val="04A0" w:firstRow="1" w:lastRow="0" w:firstColumn="1" w:lastColumn="0" w:noHBand="0" w:noVBand="1"/>
      </w:tblPr>
      <w:tblGrid>
        <w:gridCol w:w="3538"/>
        <w:gridCol w:w="1417"/>
        <w:gridCol w:w="1285"/>
        <w:gridCol w:w="1561"/>
        <w:gridCol w:w="1408"/>
      </w:tblGrid>
      <w:tr w:rsidR="00A07D92">
        <w:trPr>
          <w:trHeight w:val="341"/>
          <w:tblHeader/>
          <w:jc w:val="center"/>
        </w:trPr>
        <w:tc>
          <w:tcPr>
            <w:tcW w:w="353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b/>
                <w:sz w:val="20"/>
                <w:szCs w:val="20"/>
              </w:rPr>
            </w:pPr>
            <w:r>
              <w:rPr>
                <w:b/>
                <w:sz w:val="20"/>
                <w:szCs w:val="20"/>
              </w:rPr>
              <w:t>PODRUČJE REAGIRANJA</w:t>
            </w:r>
          </w:p>
        </w:tc>
        <w:tc>
          <w:tcPr>
            <w:tcW w:w="141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jc w:val="center"/>
              <w:rPr>
                <w:b/>
                <w:sz w:val="20"/>
                <w:szCs w:val="20"/>
              </w:rPr>
            </w:pPr>
            <w:r>
              <w:rPr>
                <w:b/>
                <w:sz w:val="20"/>
                <w:szCs w:val="20"/>
              </w:rPr>
              <w:t>Vrlo niska spremnost</w:t>
            </w:r>
          </w:p>
        </w:tc>
        <w:tc>
          <w:tcPr>
            <w:tcW w:w="1285"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sz w:val="20"/>
                <w:szCs w:val="20"/>
              </w:rPr>
            </w:pPr>
            <w:r>
              <w:rPr>
                <w:b/>
                <w:sz w:val="20"/>
                <w:szCs w:val="20"/>
              </w:rPr>
              <w:t>Niska spremnost</w:t>
            </w:r>
          </w:p>
        </w:tc>
        <w:tc>
          <w:tcPr>
            <w:tcW w:w="1561"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sz w:val="20"/>
                <w:szCs w:val="20"/>
              </w:rPr>
            </w:pPr>
            <w:r>
              <w:rPr>
                <w:b/>
                <w:sz w:val="20"/>
                <w:szCs w:val="20"/>
              </w:rPr>
              <w:t>Visoka spremnost</w:t>
            </w:r>
          </w:p>
        </w:tc>
        <w:tc>
          <w:tcPr>
            <w:tcW w:w="1408"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sz w:val="20"/>
                <w:szCs w:val="20"/>
              </w:rPr>
            </w:pPr>
            <w:r>
              <w:rPr>
                <w:b/>
                <w:sz w:val="20"/>
                <w:szCs w:val="20"/>
              </w:rPr>
              <w:t>Vrlo visoka spremnost</w:t>
            </w:r>
          </w:p>
        </w:tc>
      </w:tr>
      <w:tr w:rsidR="00A07D92">
        <w:trPr>
          <w:trHeight w:val="269"/>
          <w:tblHeader/>
          <w:jc w:val="center"/>
        </w:trPr>
        <w:tc>
          <w:tcPr>
            <w:tcW w:w="353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sz w:val="20"/>
                <w:szCs w:val="20"/>
              </w:rPr>
            </w:pP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4</w:t>
            </w: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3</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2</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1</w:t>
            </w: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popunjenosti ljudstvom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spremnosti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570"/>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osposobljenosti ljudstva 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213"/>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uvježbanosti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opremljenosti materijalnim sredstvima i opremom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Vremena mobilizacijske spremnosti/operativne gotovosti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rPr>
              <w:t>Samodostatnosti i logističkoj potpori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u w:val="single"/>
              </w:rPr>
              <w:t>Područje reagiranja - ZBIRNO</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bl>
    <w:p w:rsidR="00A07D92" w:rsidRDefault="00A07D92">
      <w:pPr>
        <w:rPr>
          <w:bCs/>
          <w:color w:val="000000"/>
        </w:rPr>
      </w:pPr>
    </w:p>
    <w:p w:rsidR="00A07D92" w:rsidRDefault="00495E63">
      <w:pPr>
        <w:rPr>
          <w:b/>
          <w:color w:val="000000"/>
        </w:rPr>
      </w:pPr>
      <w:r>
        <w:rPr>
          <w:b/>
          <w:color w:val="000000"/>
        </w:rPr>
        <w:t>Vatrogasne snage na području Grada Malog Lošinja</w:t>
      </w:r>
    </w:p>
    <w:p w:rsidR="00A07D92" w:rsidRDefault="00495E63">
      <w:r>
        <w:t>Na području grada Malog Lošinja djeluje DVD „Lošinj“ i „Susak“ te JVP Grada Malog Lošinja.</w:t>
      </w:r>
    </w:p>
    <w:p w:rsidR="00A07D92" w:rsidRDefault="00495E63">
      <w:pPr>
        <w:rPr>
          <w:u w:val="single"/>
        </w:rPr>
      </w:pPr>
      <w:r>
        <w:rPr>
          <w:u w:val="single"/>
        </w:rPr>
        <w:t xml:space="preserve">Javna vatrogasna postrojba Mali </w:t>
      </w:r>
      <w:r>
        <w:rPr>
          <w:u w:val="single"/>
        </w:rPr>
        <w:t>Lošinj</w:t>
      </w:r>
    </w:p>
    <w:p w:rsidR="00A07D92" w:rsidRDefault="00495E63">
      <w:r>
        <w:t>Javna vatrogasna postrojba Mali Lošinj, formacijski vatrogasna je postrojba – «VRSTA 2», koja ima dva vozača u smjeni, a broji ukupno 22 profesionalna vatrogasca - uključujući zapovjednika i zamjenika zapovjednika. JVP Lošinj je središnja vatrogasna</w:t>
      </w:r>
      <w:r>
        <w:t xml:space="preserve"> postrojba s područjem odgovornosti na području grada Malog Lošinja.</w:t>
      </w:r>
    </w:p>
    <w:p w:rsidR="00A07D92" w:rsidRDefault="00495E63">
      <w:r>
        <w:t>Postrojba je smještena u Vatrogasnom domu na ulazu u Grad Mali Lošinj, sa sjeverne strane, ulica Lošinjskih brodograditelja 37. Objekt je starijeg zdanja i bez garažnog prostora za smješt</w:t>
      </w:r>
      <w:r>
        <w:t>aj vatrogasnih vozila.</w:t>
      </w:r>
    </w:p>
    <w:p w:rsidR="00A07D92" w:rsidRDefault="00495E63">
      <w:pPr>
        <w:rPr>
          <w:bCs/>
          <w:u w:val="single"/>
        </w:rPr>
      </w:pPr>
      <w:r>
        <w:rPr>
          <w:bCs/>
          <w:u w:val="single"/>
        </w:rPr>
        <w:t>Dobrovoljno vatrogasno društvo „Lošinj“</w:t>
      </w:r>
    </w:p>
    <w:p w:rsidR="00A07D92" w:rsidRDefault="00495E63">
      <w:r>
        <w:t xml:space="preserve">Matično DVD Lošinj raspolaže sa minimalno 10 osposobljenih i opremljenih vatrogasaca. Prijedlog je da se oforme vatrogasna odjeljenja DVD-a Lošinj, sa minimalno 3 obučena i </w:t>
      </w:r>
      <w:r>
        <w:lastRenderedPageBreak/>
        <w:t xml:space="preserve">opremljena </w:t>
      </w:r>
      <w:r>
        <w:t xml:space="preserve">vatrogasca. Ovisno o raspoloženom ljudstvu, potrebi i mogućnosti, odjeljenja bi se formirala i dislocirala. Trenutna potreba formiranja vatrogasnih odjeljenja DVD-a Lošinj: - </w:t>
      </w:r>
      <w:proofErr w:type="spellStart"/>
      <w:r>
        <w:t>Osor</w:t>
      </w:r>
      <w:proofErr w:type="spellEnd"/>
      <w:r>
        <w:t>-</w:t>
      </w:r>
      <w:proofErr w:type="spellStart"/>
      <w:r>
        <w:t>Nerezine</w:t>
      </w:r>
      <w:proofErr w:type="spellEnd"/>
      <w:r>
        <w:t xml:space="preserve"> (najmanje 3 vatrogasaca), - Punta križa (najmanje 3 vatrogasca) - o</w:t>
      </w:r>
      <w:r>
        <w:t>tok Ilovik (najmanje 3 vatrogasca).</w:t>
      </w:r>
    </w:p>
    <w:p w:rsidR="00A07D92" w:rsidRDefault="00495E63">
      <w:r>
        <w:t>Prostorije Društva se nalaze u Vatrogasnom domu kojeg koristi Javna vatrogasna postrojba Lošinj. Dio vatrogasnih vozila i skupna oprema su zajednička s JVP Lošinj, zajednički se koriste pa se posebno ne prikazuju niti ev</w:t>
      </w:r>
      <w:r>
        <w:t>identiraju. Dobrovoljno vatrogasno društvo na području Grada osim gašenja požara na objektima i otvorenom prostoru, ima zadatak edukaciju mještana i mladeži u školama, te preventivnom djelovanju u stambenim i drugim objektima što čini usmjeravanje DVD-a za</w:t>
      </w:r>
      <w:r>
        <w:t xml:space="preserve"> njihovo buduće djelovanje.</w:t>
      </w:r>
    </w:p>
    <w:p w:rsidR="00A07D92" w:rsidRDefault="00495E63">
      <w:pPr>
        <w:rPr>
          <w:bCs/>
          <w:u w:val="single"/>
        </w:rPr>
      </w:pPr>
      <w:r>
        <w:rPr>
          <w:bCs/>
          <w:u w:val="single"/>
        </w:rPr>
        <w:t>Dobrovoljno vatrogasno društvo „Susak“</w:t>
      </w:r>
    </w:p>
    <w:p w:rsidR="00A07D92" w:rsidRDefault="00495E63">
      <w:r>
        <w:t xml:space="preserve">Dobrovoljno vatrogasno društvo Susak broji 10 operativnih vatrogasaca i operativno pokriva, odnosno djeluje na otoku Susku te Malim i Velim </w:t>
      </w:r>
      <w:proofErr w:type="spellStart"/>
      <w:r>
        <w:t>Srakanama</w:t>
      </w:r>
      <w:proofErr w:type="spellEnd"/>
      <w:r>
        <w:t>.</w:t>
      </w:r>
    </w:p>
    <w:p w:rsidR="00A07D92" w:rsidRDefault="00A07D92">
      <w:pPr>
        <w:spacing w:before="0" w:after="0"/>
        <w:jc w:val="center"/>
        <w:rPr>
          <w:bCs/>
          <w:color w:val="54883D"/>
          <w:sz w:val="20"/>
          <w:szCs w:val="20"/>
        </w:rPr>
      </w:pPr>
    </w:p>
    <w:p w:rsidR="00A07D92" w:rsidRDefault="00495E63">
      <w:pPr>
        <w:spacing w:before="0"/>
        <w:jc w:val="center"/>
        <w:rPr>
          <w:bCs/>
          <w:color w:val="54883D"/>
          <w:sz w:val="20"/>
          <w:szCs w:val="20"/>
        </w:rPr>
      </w:pPr>
      <w:r>
        <w:rPr>
          <w:bCs/>
          <w:color w:val="54883D"/>
          <w:sz w:val="20"/>
          <w:szCs w:val="20"/>
        </w:rPr>
        <w:t xml:space="preserve">Tablica </w:t>
      </w:r>
      <w:r>
        <w:rPr>
          <w:bCs/>
          <w:color w:val="54883D"/>
          <w:sz w:val="20"/>
          <w:szCs w:val="20"/>
        </w:rPr>
        <w:fldChar w:fldCharType="begin"/>
      </w:r>
      <w:r>
        <w:rPr>
          <w:bCs/>
          <w:sz w:val="20"/>
          <w:szCs w:val="20"/>
        </w:rPr>
        <w:instrText>SEQ Tabela \* ARABIC</w:instrText>
      </w:r>
      <w:r>
        <w:rPr>
          <w:bCs/>
          <w:sz w:val="20"/>
          <w:szCs w:val="20"/>
        </w:rPr>
        <w:fldChar w:fldCharType="separate"/>
      </w:r>
      <w:r>
        <w:rPr>
          <w:bCs/>
          <w:sz w:val="20"/>
          <w:szCs w:val="20"/>
        </w:rPr>
        <w:t>96</w:t>
      </w:r>
      <w:r>
        <w:rPr>
          <w:bCs/>
          <w:sz w:val="20"/>
          <w:szCs w:val="20"/>
        </w:rPr>
        <w:fldChar w:fldCharType="end"/>
      </w:r>
      <w:r>
        <w:rPr>
          <w:bCs/>
          <w:color w:val="54883D"/>
          <w:sz w:val="20"/>
          <w:szCs w:val="20"/>
        </w:rPr>
        <w:t xml:space="preserve">. </w:t>
      </w:r>
      <w:r>
        <w:rPr>
          <w:bCs/>
          <w:color w:val="54883D"/>
          <w:sz w:val="20"/>
          <w:szCs w:val="20"/>
        </w:rPr>
        <w:t>Prikaz ocjene spremnosti vatrogasnih postrojbi</w:t>
      </w:r>
    </w:p>
    <w:tbl>
      <w:tblPr>
        <w:tblW w:w="9209" w:type="dxa"/>
        <w:jc w:val="center"/>
        <w:tblLook w:val="04A0" w:firstRow="1" w:lastRow="0" w:firstColumn="1" w:lastColumn="0" w:noHBand="0" w:noVBand="1"/>
      </w:tblPr>
      <w:tblGrid>
        <w:gridCol w:w="3538"/>
        <w:gridCol w:w="1417"/>
        <w:gridCol w:w="1285"/>
        <w:gridCol w:w="1561"/>
        <w:gridCol w:w="1408"/>
      </w:tblGrid>
      <w:tr w:rsidR="00A07D92">
        <w:trPr>
          <w:trHeight w:val="341"/>
          <w:tblHeader/>
          <w:jc w:val="center"/>
        </w:trPr>
        <w:tc>
          <w:tcPr>
            <w:tcW w:w="353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b/>
                <w:sz w:val="20"/>
                <w:szCs w:val="20"/>
              </w:rPr>
            </w:pPr>
            <w:r>
              <w:rPr>
                <w:b/>
                <w:sz w:val="20"/>
                <w:szCs w:val="20"/>
              </w:rPr>
              <w:t>PODRUČJE REAGIRANJA</w:t>
            </w:r>
          </w:p>
        </w:tc>
        <w:tc>
          <w:tcPr>
            <w:tcW w:w="141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jc w:val="center"/>
              <w:rPr>
                <w:b/>
                <w:sz w:val="20"/>
                <w:szCs w:val="20"/>
              </w:rPr>
            </w:pPr>
            <w:r>
              <w:rPr>
                <w:b/>
                <w:sz w:val="20"/>
                <w:szCs w:val="20"/>
              </w:rPr>
              <w:t>Vrlo niska spremnost</w:t>
            </w:r>
          </w:p>
        </w:tc>
        <w:tc>
          <w:tcPr>
            <w:tcW w:w="1285"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sz w:val="20"/>
                <w:szCs w:val="20"/>
              </w:rPr>
            </w:pPr>
            <w:r>
              <w:rPr>
                <w:b/>
                <w:sz w:val="20"/>
                <w:szCs w:val="20"/>
              </w:rPr>
              <w:t>Niska spremnost</w:t>
            </w:r>
          </w:p>
        </w:tc>
        <w:tc>
          <w:tcPr>
            <w:tcW w:w="1561"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sz w:val="20"/>
                <w:szCs w:val="20"/>
              </w:rPr>
            </w:pPr>
            <w:r>
              <w:rPr>
                <w:b/>
                <w:sz w:val="20"/>
                <w:szCs w:val="20"/>
              </w:rPr>
              <w:t>Visoka spremnost</w:t>
            </w:r>
          </w:p>
        </w:tc>
        <w:tc>
          <w:tcPr>
            <w:tcW w:w="1408"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sz w:val="20"/>
                <w:szCs w:val="20"/>
              </w:rPr>
            </w:pPr>
            <w:r>
              <w:rPr>
                <w:b/>
                <w:sz w:val="20"/>
                <w:szCs w:val="20"/>
              </w:rPr>
              <w:t>Vrlo visoka spremnost</w:t>
            </w:r>
          </w:p>
        </w:tc>
      </w:tr>
      <w:tr w:rsidR="00A07D92">
        <w:trPr>
          <w:trHeight w:val="269"/>
          <w:tblHeader/>
          <w:jc w:val="center"/>
        </w:trPr>
        <w:tc>
          <w:tcPr>
            <w:tcW w:w="353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sz w:val="20"/>
                <w:szCs w:val="20"/>
              </w:rPr>
            </w:pP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4</w:t>
            </w: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3</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2</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1</w:t>
            </w: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popunjenosti ljudstvom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spremnosti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570"/>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 xml:space="preserve">Stupnja </w:t>
            </w:r>
            <w:r>
              <w:rPr>
                <w:sz w:val="20"/>
                <w:szCs w:val="20"/>
              </w:rPr>
              <w:t>osposobljenosti ljudstva 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213"/>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uvježbanosti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opremljenosti materijalnim sredstvima i opremom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Vremena mobilizacijske spremnosti/operativne gotovosti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rPr>
              <w:t>Samodostatnosti i logističkoj potpori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u w:val="single"/>
              </w:rPr>
              <w:t xml:space="preserve">Područje </w:t>
            </w:r>
            <w:r>
              <w:rPr>
                <w:sz w:val="20"/>
                <w:szCs w:val="20"/>
                <w:u w:val="single"/>
              </w:rPr>
              <w:t>reagiranja - ZBIRNO</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bl>
    <w:p w:rsidR="00A07D92" w:rsidRDefault="00A07D92">
      <w:pPr>
        <w:spacing w:before="0"/>
        <w:rPr>
          <w:szCs w:val="22"/>
        </w:rPr>
      </w:pPr>
    </w:p>
    <w:p w:rsidR="00A07D92" w:rsidRDefault="00495E63">
      <w:pPr>
        <w:rPr>
          <w:b/>
          <w:color w:val="000000"/>
        </w:rPr>
      </w:pPr>
      <w:r>
        <w:rPr>
          <w:b/>
          <w:color w:val="000000"/>
        </w:rPr>
        <w:t>Gradsko Društvo Crvenog križa Malog Lošinja</w:t>
      </w:r>
    </w:p>
    <w:p w:rsidR="00A07D92" w:rsidRDefault="00495E63">
      <w:r>
        <w:t xml:space="preserve">Gradsko društvo Crvenog križa Malog Lošinja raspolaže s 2 djelatnika. </w:t>
      </w:r>
    </w:p>
    <w:p w:rsidR="00A07D92" w:rsidRDefault="00495E63">
      <w:r>
        <w:t xml:space="preserve">GDCK Malog Lošinja oformio je ekipe prve pomoći, organizira dobrovoljno darivanje krvi, raspolaže službom </w:t>
      </w:r>
      <w:r>
        <w:t>traženja, a po potrebi organizira i humanitarne akcije.</w:t>
      </w:r>
    </w:p>
    <w:p w:rsidR="00A07D92" w:rsidRDefault="00495E63">
      <w:r>
        <w:t>Društvo raspolaže sa petstotinjak volontera, dvije zaposlene osobe, a od opreme posjeduje 15 torbi prve pomoći.</w:t>
      </w:r>
    </w:p>
    <w:p w:rsidR="00A07D92" w:rsidRDefault="00A07D92">
      <w:pPr>
        <w:spacing w:before="0"/>
        <w:jc w:val="center"/>
        <w:rPr>
          <w:bCs/>
          <w:color w:val="54883D"/>
          <w:sz w:val="20"/>
          <w:szCs w:val="20"/>
        </w:rPr>
      </w:pPr>
    </w:p>
    <w:p w:rsidR="00A07D92" w:rsidRDefault="00495E63">
      <w:pPr>
        <w:spacing w:before="0"/>
        <w:jc w:val="center"/>
        <w:rPr>
          <w:bCs/>
          <w:color w:val="54883D"/>
          <w:sz w:val="20"/>
          <w:szCs w:val="20"/>
        </w:rPr>
      </w:pPr>
      <w:r>
        <w:rPr>
          <w:bCs/>
          <w:color w:val="54883D"/>
          <w:sz w:val="20"/>
          <w:szCs w:val="20"/>
        </w:rPr>
        <w:t xml:space="preserve">Tablica </w:t>
      </w:r>
      <w:r>
        <w:rPr>
          <w:bCs/>
          <w:color w:val="54883D"/>
          <w:sz w:val="20"/>
          <w:szCs w:val="20"/>
        </w:rPr>
        <w:fldChar w:fldCharType="begin"/>
      </w:r>
      <w:r>
        <w:rPr>
          <w:bCs/>
          <w:sz w:val="20"/>
          <w:szCs w:val="20"/>
        </w:rPr>
        <w:instrText>SEQ Tabela \* ARABIC</w:instrText>
      </w:r>
      <w:r>
        <w:rPr>
          <w:bCs/>
          <w:sz w:val="20"/>
          <w:szCs w:val="20"/>
        </w:rPr>
        <w:fldChar w:fldCharType="separate"/>
      </w:r>
      <w:r>
        <w:rPr>
          <w:bCs/>
          <w:sz w:val="20"/>
          <w:szCs w:val="20"/>
        </w:rPr>
        <w:t>97</w:t>
      </w:r>
      <w:r>
        <w:rPr>
          <w:bCs/>
          <w:sz w:val="20"/>
          <w:szCs w:val="20"/>
        </w:rPr>
        <w:fldChar w:fldCharType="end"/>
      </w:r>
      <w:r>
        <w:rPr>
          <w:bCs/>
          <w:color w:val="54883D"/>
          <w:sz w:val="20"/>
          <w:szCs w:val="20"/>
        </w:rPr>
        <w:t xml:space="preserve">. Prikaz ocjene spremnosti Gradskog Društva Crvenog </w:t>
      </w:r>
      <w:r>
        <w:rPr>
          <w:bCs/>
          <w:color w:val="54883D"/>
          <w:sz w:val="20"/>
          <w:szCs w:val="20"/>
        </w:rPr>
        <w:t>križa Malog Lošinja</w:t>
      </w:r>
    </w:p>
    <w:tbl>
      <w:tblPr>
        <w:tblW w:w="9209" w:type="dxa"/>
        <w:jc w:val="center"/>
        <w:tblLook w:val="04A0" w:firstRow="1" w:lastRow="0" w:firstColumn="1" w:lastColumn="0" w:noHBand="0" w:noVBand="1"/>
      </w:tblPr>
      <w:tblGrid>
        <w:gridCol w:w="3538"/>
        <w:gridCol w:w="1417"/>
        <w:gridCol w:w="1285"/>
        <w:gridCol w:w="1561"/>
        <w:gridCol w:w="1408"/>
      </w:tblGrid>
      <w:tr w:rsidR="00A07D92">
        <w:trPr>
          <w:trHeight w:val="341"/>
          <w:tblHeader/>
          <w:jc w:val="center"/>
        </w:trPr>
        <w:tc>
          <w:tcPr>
            <w:tcW w:w="353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b/>
                <w:sz w:val="20"/>
                <w:szCs w:val="20"/>
              </w:rPr>
            </w:pPr>
            <w:r>
              <w:rPr>
                <w:b/>
                <w:sz w:val="20"/>
                <w:szCs w:val="20"/>
              </w:rPr>
              <w:lastRenderedPageBreak/>
              <w:t>PODRUČJE REAGIRANJA</w:t>
            </w:r>
          </w:p>
        </w:tc>
        <w:tc>
          <w:tcPr>
            <w:tcW w:w="141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jc w:val="center"/>
              <w:rPr>
                <w:b/>
                <w:sz w:val="20"/>
                <w:szCs w:val="20"/>
              </w:rPr>
            </w:pPr>
            <w:r>
              <w:rPr>
                <w:b/>
                <w:sz w:val="20"/>
                <w:szCs w:val="20"/>
              </w:rPr>
              <w:t>Vrlo niska spremnost</w:t>
            </w:r>
          </w:p>
        </w:tc>
        <w:tc>
          <w:tcPr>
            <w:tcW w:w="1285"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sz w:val="20"/>
                <w:szCs w:val="20"/>
              </w:rPr>
            </w:pPr>
            <w:r>
              <w:rPr>
                <w:b/>
                <w:sz w:val="20"/>
                <w:szCs w:val="20"/>
              </w:rPr>
              <w:t>Niska spremnost</w:t>
            </w:r>
          </w:p>
        </w:tc>
        <w:tc>
          <w:tcPr>
            <w:tcW w:w="1561"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sz w:val="20"/>
                <w:szCs w:val="20"/>
              </w:rPr>
            </w:pPr>
            <w:r>
              <w:rPr>
                <w:b/>
                <w:sz w:val="20"/>
                <w:szCs w:val="20"/>
              </w:rPr>
              <w:t>Visoka spremnost</w:t>
            </w:r>
          </w:p>
        </w:tc>
        <w:tc>
          <w:tcPr>
            <w:tcW w:w="1408"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sz w:val="20"/>
                <w:szCs w:val="20"/>
              </w:rPr>
            </w:pPr>
            <w:r>
              <w:rPr>
                <w:b/>
                <w:sz w:val="20"/>
                <w:szCs w:val="20"/>
              </w:rPr>
              <w:t>Vrlo visoka spremnost</w:t>
            </w:r>
          </w:p>
        </w:tc>
      </w:tr>
      <w:tr w:rsidR="00A07D92">
        <w:trPr>
          <w:trHeight w:val="269"/>
          <w:tblHeader/>
          <w:jc w:val="center"/>
        </w:trPr>
        <w:tc>
          <w:tcPr>
            <w:tcW w:w="353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sz w:val="20"/>
                <w:szCs w:val="20"/>
              </w:rPr>
            </w:pP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4</w:t>
            </w: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3</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2</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1</w:t>
            </w: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popunjenosti ljudstvom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spremnosti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570"/>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 xml:space="preserve">Stupnja osposobljenosti ljudstva i zapovjednog </w:t>
            </w:r>
            <w:r>
              <w:rPr>
                <w:sz w:val="20"/>
                <w:szCs w:val="20"/>
              </w:rPr>
              <w:t>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213"/>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uvježbanosti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opremljenosti materijalnim sredstvima i opremom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Vremena mobilizacijske spremnosti/operativne gotovosti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rPr>
              <w:t>Samodostatnosti i logističkoj potpori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u w:val="single"/>
              </w:rPr>
              <w:t>Područje reagiranja - ZBIRNO</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pPr>
            <w:bookmarkStart w:id="475" w:name="_Toc436994567"/>
            <w:bookmarkEnd w:id="475"/>
          </w:p>
        </w:tc>
      </w:tr>
    </w:tbl>
    <w:p w:rsidR="00A07D92" w:rsidRDefault="00A07D92">
      <w:pPr>
        <w:rPr>
          <w:b/>
          <w:color w:val="000000"/>
        </w:rPr>
      </w:pPr>
    </w:p>
    <w:p w:rsidR="00A07D92" w:rsidRDefault="00495E63">
      <w:pPr>
        <w:rPr>
          <w:b/>
          <w:color w:val="000000"/>
        </w:rPr>
      </w:pPr>
      <w:r>
        <w:rPr>
          <w:b/>
          <w:color w:val="000000"/>
        </w:rPr>
        <w:t xml:space="preserve">Hrvatska </w:t>
      </w:r>
      <w:r>
        <w:rPr>
          <w:b/>
          <w:color w:val="000000"/>
        </w:rPr>
        <w:t>gorska služba spašavanja Stanica Rijeka</w:t>
      </w:r>
    </w:p>
    <w:p w:rsidR="00A07D92" w:rsidRDefault="00495E63">
      <w:pPr>
        <w:rPr>
          <w:rFonts w:eastAsiaTheme="minorHAnsi"/>
        </w:rPr>
      </w:pPr>
      <w:r>
        <w:rPr>
          <w:rFonts w:eastAsiaTheme="minorHAnsi"/>
        </w:rPr>
        <w:t>Područje Grada Malog Lošinja pokriva stanica Rijeka koja ukupno broji 46 članova i to 36 gorska spašavatelja, 7 pripravnika za gorske spašavatelje i 3 suradnika HGSS Rijeka. Članovi se uključuju u akcije potrage za n</w:t>
      </w:r>
      <w:r>
        <w:rPr>
          <w:rFonts w:eastAsiaTheme="minorHAnsi"/>
        </w:rPr>
        <w:t>estalim osobama i spašavanjem iz nepristupačnih mjesta.</w:t>
      </w:r>
    </w:p>
    <w:p w:rsidR="00A07D92" w:rsidRDefault="00495E63">
      <w:pPr>
        <w:rPr>
          <w:rFonts w:eastAsiaTheme="minorHAnsi"/>
        </w:rPr>
      </w:pPr>
      <w:r>
        <w:rPr>
          <w:rFonts w:eastAsiaTheme="minorHAnsi"/>
        </w:rPr>
        <w:t>Poziv bilo kojem članu Gorske službe spašavanja ujedno je i poziv cijeloj službi čime se mobiliziraju svi potrebni potencijali cijele službe. U pravilu intervenira stanica koja je najbliža mjestu nesr</w:t>
      </w:r>
      <w:r>
        <w:rPr>
          <w:rFonts w:eastAsiaTheme="minorHAnsi"/>
        </w:rPr>
        <w:t>eće, a po potrebi se angažiraju i druge stanice.</w:t>
      </w:r>
    </w:p>
    <w:p w:rsidR="00A07D92" w:rsidRDefault="00A07D92">
      <w:pPr>
        <w:rPr>
          <w:rFonts w:eastAsiaTheme="minorHAnsi"/>
        </w:rPr>
      </w:pPr>
    </w:p>
    <w:p w:rsidR="00A07D92" w:rsidRDefault="00495E63">
      <w:pPr>
        <w:spacing w:before="0"/>
        <w:jc w:val="center"/>
        <w:rPr>
          <w:bCs/>
          <w:color w:val="54883D"/>
          <w:sz w:val="20"/>
          <w:szCs w:val="20"/>
        </w:rPr>
      </w:pPr>
      <w:r>
        <w:rPr>
          <w:bCs/>
          <w:color w:val="54883D"/>
          <w:sz w:val="20"/>
          <w:szCs w:val="20"/>
        </w:rPr>
        <w:t xml:space="preserve">Tablica </w:t>
      </w:r>
      <w:r>
        <w:rPr>
          <w:bCs/>
          <w:color w:val="54883D"/>
          <w:sz w:val="20"/>
          <w:szCs w:val="20"/>
        </w:rPr>
        <w:fldChar w:fldCharType="begin"/>
      </w:r>
      <w:r>
        <w:rPr>
          <w:bCs/>
          <w:sz w:val="20"/>
          <w:szCs w:val="20"/>
        </w:rPr>
        <w:instrText>SEQ Tabela \* ARABIC</w:instrText>
      </w:r>
      <w:r>
        <w:rPr>
          <w:bCs/>
          <w:sz w:val="20"/>
          <w:szCs w:val="20"/>
        </w:rPr>
        <w:fldChar w:fldCharType="separate"/>
      </w:r>
      <w:r>
        <w:rPr>
          <w:bCs/>
          <w:sz w:val="20"/>
          <w:szCs w:val="20"/>
        </w:rPr>
        <w:t>98</w:t>
      </w:r>
      <w:r>
        <w:rPr>
          <w:bCs/>
          <w:sz w:val="20"/>
          <w:szCs w:val="20"/>
        </w:rPr>
        <w:fldChar w:fldCharType="end"/>
      </w:r>
      <w:r>
        <w:rPr>
          <w:bCs/>
          <w:color w:val="54883D"/>
          <w:sz w:val="20"/>
          <w:szCs w:val="20"/>
        </w:rPr>
        <w:t>. Prikaz ocjene spremnosti Hrvatske gorske službe spašavanja – Stanica Rijeka</w:t>
      </w:r>
    </w:p>
    <w:tbl>
      <w:tblPr>
        <w:tblW w:w="9209" w:type="dxa"/>
        <w:jc w:val="center"/>
        <w:tblLook w:val="04A0" w:firstRow="1" w:lastRow="0" w:firstColumn="1" w:lastColumn="0" w:noHBand="0" w:noVBand="1"/>
      </w:tblPr>
      <w:tblGrid>
        <w:gridCol w:w="3538"/>
        <w:gridCol w:w="1417"/>
        <w:gridCol w:w="1285"/>
        <w:gridCol w:w="1561"/>
        <w:gridCol w:w="1408"/>
      </w:tblGrid>
      <w:tr w:rsidR="00A07D92">
        <w:trPr>
          <w:trHeight w:val="341"/>
          <w:tblHeader/>
          <w:jc w:val="center"/>
        </w:trPr>
        <w:tc>
          <w:tcPr>
            <w:tcW w:w="353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b/>
                <w:sz w:val="20"/>
                <w:szCs w:val="20"/>
              </w:rPr>
            </w:pPr>
            <w:r>
              <w:rPr>
                <w:b/>
                <w:sz w:val="20"/>
                <w:szCs w:val="20"/>
              </w:rPr>
              <w:t>PODRUČJE REAGIRANJA</w:t>
            </w:r>
          </w:p>
        </w:tc>
        <w:tc>
          <w:tcPr>
            <w:tcW w:w="141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jc w:val="center"/>
              <w:rPr>
                <w:b/>
                <w:sz w:val="20"/>
                <w:szCs w:val="20"/>
              </w:rPr>
            </w:pPr>
            <w:r>
              <w:rPr>
                <w:b/>
                <w:sz w:val="20"/>
                <w:szCs w:val="20"/>
              </w:rPr>
              <w:t>Vrlo niska spremnost</w:t>
            </w:r>
          </w:p>
        </w:tc>
        <w:tc>
          <w:tcPr>
            <w:tcW w:w="1285"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sz w:val="20"/>
                <w:szCs w:val="20"/>
              </w:rPr>
            </w:pPr>
            <w:r>
              <w:rPr>
                <w:b/>
                <w:sz w:val="20"/>
                <w:szCs w:val="20"/>
              </w:rPr>
              <w:t>Niska spremnost</w:t>
            </w:r>
          </w:p>
        </w:tc>
        <w:tc>
          <w:tcPr>
            <w:tcW w:w="1561"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sz w:val="20"/>
                <w:szCs w:val="20"/>
              </w:rPr>
            </w:pPr>
            <w:r>
              <w:rPr>
                <w:b/>
                <w:sz w:val="20"/>
                <w:szCs w:val="20"/>
              </w:rPr>
              <w:t>Visoka spremnost</w:t>
            </w:r>
          </w:p>
        </w:tc>
        <w:tc>
          <w:tcPr>
            <w:tcW w:w="1408"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sz w:val="20"/>
                <w:szCs w:val="20"/>
              </w:rPr>
            </w:pPr>
            <w:r>
              <w:rPr>
                <w:b/>
                <w:sz w:val="20"/>
                <w:szCs w:val="20"/>
              </w:rPr>
              <w:t>Vrlo visoka spremnost</w:t>
            </w:r>
          </w:p>
        </w:tc>
      </w:tr>
      <w:tr w:rsidR="00A07D92">
        <w:trPr>
          <w:trHeight w:val="269"/>
          <w:tblHeader/>
          <w:jc w:val="center"/>
        </w:trPr>
        <w:tc>
          <w:tcPr>
            <w:tcW w:w="353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sz w:val="20"/>
                <w:szCs w:val="20"/>
              </w:rPr>
            </w:pP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4</w:t>
            </w: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3</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2</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1</w:t>
            </w: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popunjenosti ljudstvom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spremnosti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r>
      <w:tr w:rsidR="00A07D92">
        <w:trPr>
          <w:trHeight w:val="570"/>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osposobljenosti ljudstva 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r>
      <w:tr w:rsidR="00A07D92">
        <w:trPr>
          <w:trHeight w:val="213"/>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uvježbanosti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opremljenosti materijalnim sredstvima i opremom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 xml:space="preserve">Vremena </w:t>
            </w:r>
            <w:r>
              <w:rPr>
                <w:sz w:val="20"/>
                <w:szCs w:val="20"/>
              </w:rPr>
              <w:t>mobilizacijske spremnosti/operativne gotovosti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rPr>
              <w:t>Samodostatnosti i logističkoj potpori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u w:val="single"/>
              </w:rPr>
              <w:t>Područje reagiranja - ZBIRNO</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bl>
    <w:p w:rsidR="00A07D92" w:rsidRDefault="00A07D92">
      <w:pPr>
        <w:rPr>
          <w:b/>
          <w:color w:val="000000"/>
        </w:rPr>
      </w:pPr>
    </w:p>
    <w:p w:rsidR="00A07D92" w:rsidRDefault="00495E63">
      <w:pPr>
        <w:rPr>
          <w:b/>
          <w:color w:val="000000"/>
        </w:rPr>
      </w:pPr>
      <w:r>
        <w:rPr>
          <w:b/>
          <w:color w:val="000000"/>
        </w:rPr>
        <w:t>Pravne osobe i udruge od interesa za sustav civilne zaštite Grada Malog Lošinja</w:t>
      </w:r>
    </w:p>
    <w:p w:rsidR="00A07D92" w:rsidRDefault="00495E63">
      <w:pPr>
        <w:rPr>
          <w:color w:val="000000"/>
        </w:rPr>
      </w:pPr>
      <w:r>
        <w:rPr>
          <w:color w:val="000000"/>
        </w:rPr>
        <w:t>Pravne osobe i udruge od interesa za sustav</w:t>
      </w:r>
      <w:r>
        <w:rPr>
          <w:color w:val="000000"/>
        </w:rPr>
        <w:t xml:space="preserve"> civilne zaštite na području Grada Malog Lošinja su:</w:t>
      </w:r>
    </w:p>
    <w:p w:rsidR="00A07D92" w:rsidRDefault="00495E63">
      <w:pPr>
        <w:pStyle w:val="Odlomakpopisa"/>
        <w:numPr>
          <w:ilvl w:val="0"/>
          <w:numId w:val="21"/>
        </w:numPr>
        <w:spacing w:line="276" w:lineRule="auto"/>
        <w:rPr>
          <w:rFonts w:eastAsia="Calibri"/>
          <w:sz w:val="22"/>
        </w:rPr>
      </w:pPr>
      <w:r>
        <w:rPr>
          <w:rFonts w:eastAsia="Calibri"/>
          <w:sz w:val="22"/>
        </w:rPr>
        <w:t>Komunalne usluge Cres-Lošinj d.o.o.</w:t>
      </w:r>
    </w:p>
    <w:p w:rsidR="00A07D92" w:rsidRDefault="00495E63">
      <w:pPr>
        <w:pStyle w:val="Odlomakpopisa"/>
        <w:numPr>
          <w:ilvl w:val="0"/>
          <w:numId w:val="21"/>
        </w:numPr>
        <w:spacing w:line="276" w:lineRule="auto"/>
        <w:rPr>
          <w:rFonts w:eastAsia="Calibri"/>
          <w:sz w:val="22"/>
        </w:rPr>
      </w:pPr>
      <w:r>
        <w:rPr>
          <w:rFonts w:eastAsia="Calibri"/>
          <w:sz w:val="22"/>
        </w:rPr>
        <w:t>Vodoopskrba i odvodnja Cres-Lošinj d.o.o.</w:t>
      </w:r>
    </w:p>
    <w:p w:rsidR="00A07D92" w:rsidRDefault="00495E63">
      <w:pPr>
        <w:pStyle w:val="Odlomakpopisa"/>
        <w:numPr>
          <w:ilvl w:val="0"/>
          <w:numId w:val="21"/>
        </w:numPr>
        <w:spacing w:line="276" w:lineRule="auto"/>
        <w:rPr>
          <w:rFonts w:eastAsia="Calibri"/>
          <w:sz w:val="22"/>
        </w:rPr>
      </w:pPr>
      <w:r>
        <w:rPr>
          <w:rFonts w:eastAsia="Calibri"/>
          <w:sz w:val="22"/>
        </w:rPr>
        <w:t>Elektro -voda d.o.o. Cres</w:t>
      </w:r>
    </w:p>
    <w:p w:rsidR="00A07D92" w:rsidRDefault="00495E63">
      <w:pPr>
        <w:pStyle w:val="Odlomakpopisa"/>
        <w:numPr>
          <w:ilvl w:val="0"/>
          <w:numId w:val="21"/>
        </w:numPr>
        <w:spacing w:line="276" w:lineRule="auto"/>
        <w:rPr>
          <w:rFonts w:eastAsia="Calibri"/>
          <w:sz w:val="22"/>
        </w:rPr>
      </w:pPr>
      <w:r>
        <w:rPr>
          <w:rFonts w:eastAsia="Calibri"/>
          <w:sz w:val="22"/>
        </w:rPr>
        <w:t>Lječilište Veli Lošinj</w:t>
      </w:r>
    </w:p>
    <w:p w:rsidR="00A07D92" w:rsidRDefault="00495E63">
      <w:pPr>
        <w:pStyle w:val="Odlomakpopisa"/>
        <w:numPr>
          <w:ilvl w:val="0"/>
          <w:numId w:val="21"/>
        </w:numPr>
        <w:spacing w:line="276" w:lineRule="auto"/>
        <w:rPr>
          <w:rFonts w:eastAsia="Calibri"/>
          <w:sz w:val="22"/>
        </w:rPr>
      </w:pPr>
      <w:r>
        <w:rPr>
          <w:rFonts w:eastAsia="Calibri"/>
          <w:sz w:val="22"/>
        </w:rPr>
        <w:t>Građevinski obrt Lošinj-Beton d.o.o.</w:t>
      </w:r>
    </w:p>
    <w:p w:rsidR="00A07D92" w:rsidRDefault="00495E63">
      <w:pPr>
        <w:pStyle w:val="Odlomakpopisa"/>
        <w:numPr>
          <w:ilvl w:val="0"/>
          <w:numId w:val="21"/>
        </w:numPr>
        <w:spacing w:line="276" w:lineRule="auto"/>
        <w:rPr>
          <w:rFonts w:eastAsia="Calibri"/>
          <w:sz w:val="22"/>
        </w:rPr>
      </w:pPr>
      <w:r>
        <w:rPr>
          <w:rFonts w:eastAsia="Calibri"/>
          <w:sz w:val="22"/>
        </w:rPr>
        <w:t xml:space="preserve">Kamenolom Brdo </w:t>
      </w:r>
      <w:proofErr w:type="spellStart"/>
      <w:r>
        <w:rPr>
          <w:rFonts w:eastAsia="Calibri"/>
          <w:sz w:val="22"/>
        </w:rPr>
        <w:t>Kušč</w:t>
      </w:r>
      <w:proofErr w:type="spellEnd"/>
      <w:r>
        <w:rPr>
          <w:rFonts w:eastAsia="Calibri"/>
          <w:sz w:val="22"/>
        </w:rPr>
        <w:t xml:space="preserve"> d.o.o.</w:t>
      </w:r>
    </w:p>
    <w:p w:rsidR="00A07D92" w:rsidRDefault="00495E63">
      <w:pPr>
        <w:pStyle w:val="Odlomakpopisa"/>
        <w:numPr>
          <w:ilvl w:val="0"/>
          <w:numId w:val="21"/>
        </w:numPr>
        <w:spacing w:line="276" w:lineRule="auto"/>
        <w:rPr>
          <w:rFonts w:eastAsia="Calibri"/>
          <w:sz w:val="22"/>
        </w:rPr>
      </w:pPr>
      <w:r>
        <w:rPr>
          <w:rFonts w:eastAsia="Calibri"/>
          <w:sz w:val="22"/>
        </w:rPr>
        <w:t>Veterinarska</w:t>
      </w:r>
      <w:r>
        <w:rPr>
          <w:rFonts w:eastAsia="Calibri"/>
          <w:sz w:val="22"/>
        </w:rPr>
        <w:t xml:space="preserve"> stanica Rijeka -ambulanta u Malom Lošinju</w:t>
      </w:r>
    </w:p>
    <w:p w:rsidR="00A07D92" w:rsidRDefault="00495E63">
      <w:pPr>
        <w:pStyle w:val="Odlomakpopisa"/>
        <w:numPr>
          <w:ilvl w:val="0"/>
          <w:numId w:val="21"/>
        </w:numPr>
        <w:spacing w:line="276" w:lineRule="auto"/>
        <w:rPr>
          <w:rFonts w:eastAsia="Calibri"/>
          <w:sz w:val="22"/>
        </w:rPr>
      </w:pPr>
      <w:r>
        <w:rPr>
          <w:rFonts w:eastAsia="Calibri"/>
          <w:sz w:val="22"/>
        </w:rPr>
        <w:t>Jadranka trgovina d.o.o.</w:t>
      </w:r>
    </w:p>
    <w:p w:rsidR="00A07D92" w:rsidRDefault="00495E63">
      <w:pPr>
        <w:pStyle w:val="Odlomakpopisa"/>
        <w:numPr>
          <w:ilvl w:val="0"/>
          <w:numId w:val="21"/>
        </w:numPr>
        <w:spacing w:line="276" w:lineRule="auto"/>
        <w:rPr>
          <w:rFonts w:eastAsia="Calibri"/>
          <w:sz w:val="22"/>
        </w:rPr>
      </w:pPr>
      <w:r>
        <w:rPr>
          <w:rFonts w:eastAsia="Calibri"/>
          <w:sz w:val="22"/>
        </w:rPr>
        <w:t>Radio Jadranka Mali Lošinj</w:t>
      </w:r>
    </w:p>
    <w:p w:rsidR="00A07D92" w:rsidRDefault="00495E63">
      <w:pPr>
        <w:pStyle w:val="Odlomakpopisa"/>
        <w:numPr>
          <w:ilvl w:val="0"/>
          <w:numId w:val="21"/>
        </w:numPr>
        <w:spacing w:line="276" w:lineRule="auto"/>
        <w:rPr>
          <w:rFonts w:eastAsia="Calibri"/>
          <w:sz w:val="22"/>
        </w:rPr>
      </w:pPr>
      <w:r>
        <w:rPr>
          <w:rFonts w:eastAsia="Calibri"/>
          <w:sz w:val="22"/>
        </w:rPr>
        <w:t>Institut Plavi svijet</w:t>
      </w:r>
    </w:p>
    <w:p w:rsidR="00A07D92" w:rsidRDefault="00495E63">
      <w:pPr>
        <w:pStyle w:val="Odlomakpopisa"/>
        <w:numPr>
          <w:ilvl w:val="0"/>
          <w:numId w:val="21"/>
        </w:numPr>
        <w:spacing w:line="276" w:lineRule="auto"/>
        <w:rPr>
          <w:rFonts w:eastAsia="Calibri"/>
          <w:sz w:val="22"/>
        </w:rPr>
      </w:pPr>
      <w:r>
        <w:rPr>
          <w:rFonts w:eastAsia="Calibri"/>
          <w:sz w:val="22"/>
        </w:rPr>
        <w:t>Lovačko društvo „Kamenjarka“</w:t>
      </w:r>
    </w:p>
    <w:p w:rsidR="00A07D92" w:rsidRDefault="00495E63">
      <w:pPr>
        <w:pStyle w:val="Odlomakpopisa"/>
        <w:numPr>
          <w:ilvl w:val="0"/>
          <w:numId w:val="21"/>
        </w:numPr>
        <w:spacing w:line="276" w:lineRule="auto"/>
        <w:rPr>
          <w:rFonts w:eastAsia="Calibri"/>
          <w:sz w:val="22"/>
        </w:rPr>
      </w:pPr>
      <w:r>
        <w:rPr>
          <w:rFonts w:eastAsia="Calibri"/>
          <w:sz w:val="22"/>
        </w:rPr>
        <w:t>Planinarski klub „</w:t>
      </w:r>
      <w:proofErr w:type="spellStart"/>
      <w:r>
        <w:rPr>
          <w:rFonts w:eastAsia="Calibri"/>
          <w:sz w:val="22"/>
        </w:rPr>
        <w:t>Osorščica</w:t>
      </w:r>
      <w:proofErr w:type="spellEnd"/>
      <w:r>
        <w:rPr>
          <w:rFonts w:eastAsia="Calibri"/>
          <w:sz w:val="22"/>
        </w:rPr>
        <w:t>“</w:t>
      </w:r>
    </w:p>
    <w:p w:rsidR="00A07D92" w:rsidRDefault="00A07D92">
      <w:pPr>
        <w:ind w:left="720"/>
        <w:rPr>
          <w:rFonts w:eastAsia="Calibri"/>
        </w:rPr>
      </w:pPr>
    </w:p>
    <w:p w:rsidR="00A07D92" w:rsidRDefault="00495E63">
      <w:pPr>
        <w:spacing w:before="0"/>
        <w:jc w:val="center"/>
        <w:rPr>
          <w:bCs/>
          <w:color w:val="54883D"/>
          <w:sz w:val="20"/>
          <w:szCs w:val="20"/>
        </w:rPr>
      </w:pPr>
      <w:r>
        <w:rPr>
          <w:bCs/>
          <w:color w:val="54883D"/>
          <w:sz w:val="20"/>
          <w:szCs w:val="20"/>
        </w:rPr>
        <w:t xml:space="preserve">Tablica </w:t>
      </w:r>
      <w:r>
        <w:rPr>
          <w:bCs/>
          <w:color w:val="54883D"/>
          <w:sz w:val="20"/>
          <w:szCs w:val="20"/>
        </w:rPr>
        <w:fldChar w:fldCharType="begin"/>
      </w:r>
      <w:r>
        <w:rPr>
          <w:bCs/>
          <w:sz w:val="20"/>
          <w:szCs w:val="20"/>
        </w:rPr>
        <w:instrText>SEQ Tabela \* ARABIC</w:instrText>
      </w:r>
      <w:r>
        <w:rPr>
          <w:bCs/>
          <w:sz w:val="20"/>
          <w:szCs w:val="20"/>
        </w:rPr>
        <w:fldChar w:fldCharType="separate"/>
      </w:r>
      <w:r>
        <w:rPr>
          <w:bCs/>
          <w:sz w:val="20"/>
          <w:szCs w:val="20"/>
        </w:rPr>
        <w:t>99</w:t>
      </w:r>
      <w:r>
        <w:rPr>
          <w:bCs/>
          <w:sz w:val="20"/>
          <w:szCs w:val="20"/>
        </w:rPr>
        <w:fldChar w:fldCharType="end"/>
      </w:r>
      <w:r>
        <w:rPr>
          <w:bCs/>
          <w:color w:val="54883D"/>
          <w:sz w:val="20"/>
          <w:szCs w:val="20"/>
        </w:rPr>
        <w:t xml:space="preserve">. Prikaz ocjene spremnosti pravnih osoba i </w:t>
      </w:r>
      <w:r>
        <w:rPr>
          <w:bCs/>
          <w:color w:val="54883D"/>
          <w:sz w:val="20"/>
          <w:szCs w:val="20"/>
        </w:rPr>
        <w:t>udruga od interesa za sustav civilne zaštite</w:t>
      </w:r>
    </w:p>
    <w:tbl>
      <w:tblPr>
        <w:tblW w:w="9209" w:type="dxa"/>
        <w:jc w:val="center"/>
        <w:tblLook w:val="04A0" w:firstRow="1" w:lastRow="0" w:firstColumn="1" w:lastColumn="0" w:noHBand="0" w:noVBand="1"/>
      </w:tblPr>
      <w:tblGrid>
        <w:gridCol w:w="3538"/>
        <w:gridCol w:w="1417"/>
        <w:gridCol w:w="1285"/>
        <w:gridCol w:w="1561"/>
        <w:gridCol w:w="1408"/>
      </w:tblGrid>
      <w:tr w:rsidR="00A07D92">
        <w:trPr>
          <w:trHeight w:val="341"/>
          <w:tblHeader/>
          <w:jc w:val="center"/>
        </w:trPr>
        <w:tc>
          <w:tcPr>
            <w:tcW w:w="353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b/>
                <w:sz w:val="20"/>
                <w:szCs w:val="20"/>
              </w:rPr>
            </w:pPr>
            <w:r>
              <w:rPr>
                <w:b/>
                <w:sz w:val="20"/>
                <w:szCs w:val="20"/>
              </w:rPr>
              <w:t>PODRUČJE REAGIRANJA</w:t>
            </w:r>
          </w:p>
        </w:tc>
        <w:tc>
          <w:tcPr>
            <w:tcW w:w="141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jc w:val="center"/>
              <w:rPr>
                <w:b/>
                <w:sz w:val="20"/>
                <w:szCs w:val="20"/>
              </w:rPr>
            </w:pPr>
            <w:r>
              <w:rPr>
                <w:b/>
                <w:sz w:val="20"/>
                <w:szCs w:val="20"/>
              </w:rPr>
              <w:t>Vrlo niska spremnost</w:t>
            </w:r>
          </w:p>
        </w:tc>
        <w:tc>
          <w:tcPr>
            <w:tcW w:w="1285"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sz w:val="20"/>
                <w:szCs w:val="20"/>
              </w:rPr>
            </w:pPr>
            <w:r>
              <w:rPr>
                <w:b/>
                <w:sz w:val="20"/>
                <w:szCs w:val="20"/>
              </w:rPr>
              <w:t>Niska spremnost</w:t>
            </w:r>
          </w:p>
        </w:tc>
        <w:tc>
          <w:tcPr>
            <w:tcW w:w="1561"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sz w:val="20"/>
                <w:szCs w:val="20"/>
              </w:rPr>
            </w:pPr>
            <w:r>
              <w:rPr>
                <w:b/>
                <w:sz w:val="20"/>
                <w:szCs w:val="20"/>
              </w:rPr>
              <w:t>Visoka spremnost</w:t>
            </w:r>
          </w:p>
        </w:tc>
        <w:tc>
          <w:tcPr>
            <w:tcW w:w="1408"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sz w:val="20"/>
                <w:szCs w:val="20"/>
              </w:rPr>
            </w:pPr>
            <w:r>
              <w:rPr>
                <w:b/>
                <w:sz w:val="20"/>
                <w:szCs w:val="20"/>
              </w:rPr>
              <w:t>Vrlo visoka spremnost</w:t>
            </w:r>
          </w:p>
        </w:tc>
      </w:tr>
      <w:tr w:rsidR="00A07D92">
        <w:trPr>
          <w:trHeight w:val="269"/>
          <w:tblHeader/>
          <w:jc w:val="center"/>
        </w:trPr>
        <w:tc>
          <w:tcPr>
            <w:tcW w:w="353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sz w:val="20"/>
                <w:szCs w:val="20"/>
              </w:rPr>
            </w:pP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4</w:t>
            </w: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3</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2</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1</w:t>
            </w: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popunjenosti ljudstvom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spremnosti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570"/>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 xml:space="preserve">Stupnja </w:t>
            </w:r>
            <w:r>
              <w:rPr>
                <w:sz w:val="20"/>
                <w:szCs w:val="20"/>
              </w:rPr>
              <w:t>osposobljenosti ljudstva i zapovjednog osoblja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213"/>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uvježbanosti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Stupnja opremljenosti materijalnim sredstvima i opremom</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Vremena mobilizacijske spremnosti/operativne gotovosti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rPr>
              <w:t>Samodostatnosti i logističkoj potpori</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53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b/>
                <w:sz w:val="20"/>
                <w:szCs w:val="20"/>
              </w:rPr>
            </w:pPr>
            <w:r>
              <w:rPr>
                <w:sz w:val="20"/>
                <w:szCs w:val="20"/>
                <w:u w:val="single"/>
              </w:rPr>
              <w:t xml:space="preserve">Područje </w:t>
            </w:r>
            <w:r>
              <w:rPr>
                <w:sz w:val="20"/>
                <w:szCs w:val="20"/>
                <w:u w:val="single"/>
              </w:rPr>
              <w:t>reagiranja – ZBIRNO</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bl>
    <w:p w:rsidR="00A07D92" w:rsidRDefault="00A07D92">
      <w:pPr>
        <w:spacing w:after="120"/>
      </w:pPr>
    </w:p>
    <w:p w:rsidR="00A07D92" w:rsidRDefault="00A07D92">
      <w:pPr>
        <w:spacing w:after="120"/>
      </w:pPr>
    </w:p>
    <w:p w:rsidR="00A07D92" w:rsidRDefault="00495E63">
      <w:pPr>
        <w:spacing w:after="120"/>
      </w:pPr>
      <w:r>
        <w:t>U nastavku se nalazi tablica s konačnim ocjenama spremnosti operativnih snaga.</w:t>
      </w:r>
    </w:p>
    <w:p w:rsidR="00A07D92" w:rsidRDefault="00495E63">
      <w:pPr>
        <w:spacing w:before="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100</w:t>
      </w:r>
      <w:r>
        <w:rPr>
          <w:bCs/>
          <w:sz w:val="20"/>
          <w:szCs w:val="18"/>
        </w:rPr>
        <w:fldChar w:fldCharType="end"/>
      </w:r>
      <w:r>
        <w:rPr>
          <w:bCs/>
          <w:color w:val="54883D"/>
          <w:sz w:val="20"/>
          <w:szCs w:val="18"/>
        </w:rPr>
        <w:t>. Prikaz ocjene spremnosti operativnih snaga sustava civilne zaštite</w:t>
      </w:r>
    </w:p>
    <w:tbl>
      <w:tblPr>
        <w:tblW w:w="9351" w:type="dxa"/>
        <w:jc w:val="center"/>
        <w:tblLook w:val="04A0" w:firstRow="1" w:lastRow="0" w:firstColumn="1" w:lastColumn="0" w:noHBand="0" w:noVBand="1"/>
      </w:tblPr>
      <w:tblGrid>
        <w:gridCol w:w="3680"/>
        <w:gridCol w:w="1418"/>
        <w:gridCol w:w="1284"/>
        <w:gridCol w:w="1562"/>
        <w:gridCol w:w="1407"/>
      </w:tblGrid>
      <w:tr w:rsidR="00A07D92">
        <w:trPr>
          <w:trHeight w:val="341"/>
          <w:tblHeader/>
          <w:jc w:val="center"/>
        </w:trPr>
        <w:tc>
          <w:tcPr>
            <w:tcW w:w="3680"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b/>
                <w:sz w:val="20"/>
                <w:szCs w:val="20"/>
              </w:rPr>
            </w:pPr>
            <w:r>
              <w:rPr>
                <w:b/>
                <w:sz w:val="20"/>
                <w:szCs w:val="20"/>
              </w:rPr>
              <w:t>PODRUČJE REAGIRANJA</w:t>
            </w:r>
          </w:p>
        </w:tc>
        <w:tc>
          <w:tcPr>
            <w:tcW w:w="1418"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jc w:val="center"/>
              <w:rPr>
                <w:b/>
                <w:sz w:val="20"/>
                <w:szCs w:val="20"/>
              </w:rPr>
            </w:pPr>
            <w:r>
              <w:rPr>
                <w:b/>
                <w:sz w:val="20"/>
                <w:szCs w:val="20"/>
              </w:rPr>
              <w:t>Vrlo niska spremnost</w:t>
            </w:r>
          </w:p>
        </w:tc>
        <w:tc>
          <w:tcPr>
            <w:tcW w:w="1284"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sz w:val="20"/>
                <w:szCs w:val="20"/>
              </w:rPr>
            </w:pPr>
            <w:r>
              <w:rPr>
                <w:b/>
                <w:sz w:val="20"/>
                <w:szCs w:val="20"/>
              </w:rPr>
              <w:t>Niska</w:t>
            </w:r>
            <w:r>
              <w:rPr>
                <w:b/>
                <w:sz w:val="20"/>
                <w:szCs w:val="20"/>
              </w:rPr>
              <w:t xml:space="preserve"> spremnost</w:t>
            </w:r>
          </w:p>
        </w:tc>
        <w:tc>
          <w:tcPr>
            <w:tcW w:w="1562"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sz w:val="20"/>
                <w:szCs w:val="20"/>
              </w:rPr>
            </w:pPr>
            <w:r>
              <w:rPr>
                <w:b/>
                <w:sz w:val="20"/>
                <w:szCs w:val="20"/>
              </w:rPr>
              <w:t>Visoka spremnost</w:t>
            </w:r>
          </w:p>
        </w:tc>
        <w:tc>
          <w:tcPr>
            <w:tcW w:w="1407"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sz w:val="20"/>
                <w:szCs w:val="20"/>
              </w:rPr>
            </w:pPr>
            <w:r>
              <w:rPr>
                <w:b/>
                <w:sz w:val="20"/>
                <w:szCs w:val="20"/>
              </w:rPr>
              <w:t>Vrlo visoka spremnost</w:t>
            </w:r>
          </w:p>
        </w:tc>
      </w:tr>
      <w:tr w:rsidR="00A07D92">
        <w:trPr>
          <w:trHeight w:val="269"/>
          <w:tblHeader/>
          <w:jc w:val="center"/>
        </w:trPr>
        <w:tc>
          <w:tcPr>
            <w:tcW w:w="3680"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sz w:val="20"/>
                <w:szCs w:val="20"/>
              </w:rPr>
            </w:pPr>
          </w:p>
        </w:tc>
        <w:tc>
          <w:tcPr>
            <w:tcW w:w="141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4</w:t>
            </w:r>
          </w:p>
        </w:tc>
        <w:tc>
          <w:tcPr>
            <w:tcW w:w="128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3</w:t>
            </w:r>
          </w:p>
        </w:tc>
        <w:tc>
          <w:tcPr>
            <w:tcW w:w="15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2</w:t>
            </w:r>
          </w:p>
        </w:tc>
        <w:tc>
          <w:tcPr>
            <w:tcW w:w="14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sz w:val="20"/>
                <w:szCs w:val="20"/>
              </w:rPr>
            </w:pPr>
            <w:r>
              <w:rPr>
                <w:b/>
                <w:sz w:val="20"/>
                <w:szCs w:val="20"/>
              </w:rPr>
              <w:t>1</w:t>
            </w:r>
          </w:p>
        </w:tc>
      </w:tr>
      <w:tr w:rsidR="00A07D92">
        <w:trPr>
          <w:trHeight w:val="341"/>
          <w:jc w:val="center"/>
        </w:trPr>
        <w:tc>
          <w:tcPr>
            <w:tcW w:w="36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 xml:space="preserve">Stožer civilne zaštite Grada Malog </w:t>
            </w:r>
            <w:r>
              <w:rPr>
                <w:sz w:val="20"/>
                <w:szCs w:val="20"/>
              </w:rPr>
              <w:lastRenderedPageBreak/>
              <w:t>Lošinja</w:t>
            </w:r>
          </w:p>
        </w:tc>
        <w:tc>
          <w:tcPr>
            <w:tcW w:w="141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6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lastRenderedPageBreak/>
              <w:t>Povjerenici i zamjenici povjerenika Grada Malog Lošinja</w:t>
            </w:r>
          </w:p>
        </w:tc>
        <w:tc>
          <w:tcPr>
            <w:tcW w:w="141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6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Postrojba civilne zaštite Grada Malog Lošinja</w:t>
            </w:r>
          </w:p>
        </w:tc>
        <w:tc>
          <w:tcPr>
            <w:tcW w:w="141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6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 xml:space="preserve">Vatrogasne snage grada Malog </w:t>
            </w:r>
            <w:r>
              <w:rPr>
                <w:sz w:val="20"/>
                <w:szCs w:val="20"/>
              </w:rPr>
              <w:t>Lošinja</w:t>
            </w:r>
          </w:p>
        </w:tc>
        <w:tc>
          <w:tcPr>
            <w:tcW w:w="141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570"/>
          <w:jc w:val="center"/>
        </w:trPr>
        <w:tc>
          <w:tcPr>
            <w:tcW w:w="36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Gradsko Društvo Crvenog križa Malog Lošinja</w:t>
            </w:r>
          </w:p>
        </w:tc>
        <w:tc>
          <w:tcPr>
            <w:tcW w:w="141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213"/>
          <w:jc w:val="center"/>
        </w:trPr>
        <w:tc>
          <w:tcPr>
            <w:tcW w:w="36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Hrvatska gorska služba spašavanja Stanica Rijeka</w:t>
            </w:r>
          </w:p>
        </w:tc>
        <w:tc>
          <w:tcPr>
            <w:tcW w:w="141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51"/>
          <w:jc w:val="center"/>
        </w:trPr>
        <w:tc>
          <w:tcPr>
            <w:tcW w:w="368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Pravne osobe i udruge od interesa za sustav civilne zaštite Grada Malog Lošinja</w:t>
            </w:r>
          </w:p>
        </w:tc>
        <w:tc>
          <w:tcPr>
            <w:tcW w:w="141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r w:rsidR="00A07D92">
        <w:trPr>
          <w:trHeight w:val="341"/>
          <w:jc w:val="center"/>
        </w:trPr>
        <w:tc>
          <w:tcPr>
            <w:tcW w:w="3680"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left"/>
              <w:rPr>
                <w:sz w:val="20"/>
                <w:szCs w:val="20"/>
              </w:rPr>
            </w:pPr>
            <w:r>
              <w:rPr>
                <w:sz w:val="20"/>
                <w:szCs w:val="20"/>
                <w:u w:val="single"/>
              </w:rPr>
              <w:t>Područje reagiranja - ZBIRNO</w:t>
            </w:r>
          </w:p>
        </w:tc>
        <w:tc>
          <w:tcPr>
            <w:tcW w:w="141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28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6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r>
    </w:tbl>
    <w:p w:rsidR="00A07D92" w:rsidRDefault="00A07D92">
      <w:pPr>
        <w:spacing w:after="120"/>
        <w:rPr>
          <w:highlight w:val="yellow"/>
        </w:rPr>
      </w:pPr>
    </w:p>
    <w:p w:rsidR="00A07D92" w:rsidRDefault="00495E63">
      <w:pPr>
        <w:keepNext/>
        <w:keepLines/>
        <w:spacing w:before="40"/>
        <w:ind w:left="720" w:hanging="720"/>
        <w:outlineLvl w:val="2"/>
        <w:rPr>
          <w:rFonts w:cstheme="majorBidi"/>
          <w:color w:val="54883D"/>
          <w:sz w:val="28"/>
          <w:lang w:eastAsia="hr-HR" w:bidi="en-US"/>
        </w:rPr>
      </w:pPr>
      <w:bookmarkStart w:id="476" w:name="_Toc136522913"/>
      <w:bookmarkStart w:id="477" w:name="_Toc9596675"/>
      <w:bookmarkStart w:id="478" w:name="_Toc5969852"/>
      <w:bookmarkStart w:id="479" w:name="_Toc5701534"/>
      <w:r>
        <w:rPr>
          <w:rFonts w:cstheme="majorBidi"/>
          <w:color w:val="54883D"/>
          <w:sz w:val="28"/>
          <w:lang w:eastAsia="hr-HR" w:bidi="en-US"/>
        </w:rPr>
        <w:t xml:space="preserve">8.2.3 Stanje </w:t>
      </w:r>
      <w:r>
        <w:rPr>
          <w:rFonts w:cstheme="majorBidi"/>
          <w:color w:val="54883D"/>
          <w:sz w:val="28"/>
          <w:lang w:eastAsia="hr-HR" w:bidi="en-US"/>
        </w:rPr>
        <w:t>mobilnosti operativnih kapaciteta sustava civilne zaštite i stanja komunikacijskih kapaciteta</w:t>
      </w:r>
      <w:bookmarkEnd w:id="476"/>
      <w:bookmarkEnd w:id="477"/>
      <w:bookmarkEnd w:id="478"/>
      <w:bookmarkEnd w:id="479"/>
    </w:p>
    <w:tbl>
      <w:tblPr>
        <w:tblStyle w:val="Reetkatablice"/>
        <w:tblW w:w="9068" w:type="dxa"/>
        <w:jc w:val="center"/>
        <w:tblLook w:val="04A0" w:firstRow="1" w:lastRow="0" w:firstColumn="1" w:lastColumn="0" w:noHBand="0" w:noVBand="1"/>
      </w:tblPr>
      <w:tblGrid>
        <w:gridCol w:w="845"/>
        <w:gridCol w:w="6379"/>
        <w:gridCol w:w="992"/>
        <w:gridCol w:w="852"/>
      </w:tblGrid>
      <w:tr w:rsidR="00A07D92">
        <w:trPr>
          <w:tblHeader/>
          <w:jc w:val="center"/>
        </w:trPr>
        <w:tc>
          <w:tcPr>
            <w:tcW w:w="845"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R. br.</w:t>
            </w:r>
          </w:p>
        </w:tc>
        <w:tc>
          <w:tcPr>
            <w:tcW w:w="637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OPIS</w:t>
            </w:r>
          </w:p>
        </w:tc>
        <w:tc>
          <w:tcPr>
            <w:tcW w:w="1844" w:type="dxa"/>
            <w:gridSpan w:val="2"/>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TVRDNJA</w:t>
            </w:r>
          </w:p>
        </w:tc>
      </w:tr>
      <w:tr w:rsidR="00A07D92">
        <w:trPr>
          <w:tblHeader/>
          <w:jc w:val="center"/>
        </w:trPr>
        <w:tc>
          <w:tcPr>
            <w:tcW w:w="845"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637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DA</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NE</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 li Stožer civilne zaštite opremljen komunikacijskim sredstvima (radio stanice, satelitski telefon)?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2.</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Jesu li sve </w:t>
            </w:r>
            <w:r>
              <w:rPr>
                <w:rFonts w:ascii="Times New Roman" w:hAnsi="Times New Roman" w:cs="Times New Roman"/>
                <w:sz w:val="20"/>
                <w:szCs w:val="20"/>
                <w:lang w:eastAsia="hr-HR"/>
              </w:rPr>
              <w:t>vatrogasne snage opremljene komunikacijskim sredstvima (radio stanice, satelitski telefon)?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x</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3.</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 li HGSS-stanica Rijeka  opremljena komunikacijskim sredstvima (radio stanice, satelitski telefon)?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4.</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 li Gradsko Društvo Crvenog križa Malog </w:t>
            </w:r>
            <w:r>
              <w:rPr>
                <w:rFonts w:ascii="Times New Roman" w:hAnsi="Times New Roman" w:cs="Times New Roman"/>
                <w:sz w:val="20"/>
                <w:szCs w:val="20"/>
                <w:lang w:eastAsia="hr-HR"/>
              </w:rPr>
              <w:t>Lošinja opremljeno komunikacijskim sredstvima (radio stanice, satelitski telefon)?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5.</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Jesu li pravne osobe od interesa za sustav civilne zaštite opremljene komunikacijskim sredstvima (radio stanice, satelitski telefon)?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6.</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Jesu li povjerenici </w:t>
            </w:r>
            <w:r>
              <w:rPr>
                <w:rFonts w:ascii="Times New Roman" w:hAnsi="Times New Roman" w:cs="Times New Roman"/>
                <w:sz w:val="20"/>
                <w:szCs w:val="20"/>
                <w:lang w:eastAsia="hr-HR"/>
              </w:rPr>
              <w:t>civilne zaštite i njihovi zamjenici opremljeni komunikacijskim sredstvima (radio stanice, satelitski telefon)?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7.</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Je li postrojba </w:t>
            </w:r>
            <w:proofErr w:type="spellStart"/>
            <w:r>
              <w:rPr>
                <w:rFonts w:ascii="Times New Roman" w:hAnsi="Times New Roman" w:cs="Times New Roman"/>
                <w:sz w:val="20"/>
                <w:szCs w:val="20"/>
                <w:lang w:eastAsia="hr-HR"/>
              </w:rPr>
              <w:t>opremljenea</w:t>
            </w:r>
            <w:proofErr w:type="spellEnd"/>
            <w:r>
              <w:rPr>
                <w:rFonts w:ascii="Times New Roman" w:hAnsi="Times New Roman" w:cs="Times New Roman"/>
                <w:sz w:val="20"/>
                <w:szCs w:val="20"/>
                <w:lang w:eastAsia="hr-HR"/>
              </w:rPr>
              <w:t xml:space="preserve"> komunikacijskim sredstvima (radio stanice, satelitski telefon)?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8.</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Posjeduje li Stožer civilne zaštite vla</w:t>
            </w:r>
            <w:r>
              <w:rPr>
                <w:rFonts w:ascii="Times New Roman" w:hAnsi="Times New Roman" w:cs="Times New Roman"/>
                <w:sz w:val="20"/>
                <w:szCs w:val="20"/>
                <w:lang w:eastAsia="hr-HR"/>
              </w:rPr>
              <w:t>stita transportna sredstva za prijevoz na teren?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9.</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Posjeduje li Grad transportna sredstva za prijevoz operativnih snaga na teren?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10.</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Posjeduju li povjerenici i zamjenici povjerenika civilne zaštite i koordinatori transportna sredstva za prijevoz </w:t>
            </w:r>
            <w:r>
              <w:rPr>
                <w:rFonts w:ascii="Times New Roman" w:hAnsi="Times New Roman" w:cs="Times New Roman"/>
                <w:sz w:val="20"/>
                <w:szCs w:val="20"/>
                <w:lang w:eastAsia="hr-HR"/>
              </w:rPr>
              <w:t>na teren?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11.</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Posjeduju li vatrogasne snage transportna sredstva za prijevoz na teren?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12.</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Posjeduje li HGSS-Stanica Rijeka vlastita transportna sredstva za prijevoz na teren?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lastRenderedPageBreak/>
              <w:t>13.</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 xml:space="preserve">Posjeduje li Gradsko Društvo Crvenog križa Malog Lošinja </w:t>
            </w:r>
            <w:r>
              <w:rPr>
                <w:rFonts w:ascii="Times New Roman" w:hAnsi="Times New Roman" w:cs="Times New Roman"/>
                <w:sz w:val="20"/>
                <w:szCs w:val="20"/>
                <w:lang w:eastAsia="hr-HR"/>
              </w:rPr>
              <w:t>vlastita transportna sredstva za prijevoz na teren?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14.</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Posjeduju li pravne osobe i udruge od interesa za sustav civilne zaštite vlastita transportna sredstva za prijevoz na teren?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r>
      <w:tr w:rsidR="00A07D92">
        <w:trPr>
          <w:jc w:val="center"/>
        </w:trPr>
        <w:tc>
          <w:tcPr>
            <w:tcW w:w="84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line="240" w:lineRule="auto"/>
              <w:jc w:val="center"/>
              <w:rPr>
                <w:b/>
                <w:sz w:val="20"/>
                <w:szCs w:val="20"/>
              </w:rPr>
            </w:pPr>
            <w:r>
              <w:rPr>
                <w:rFonts w:ascii="Times New Roman" w:hAnsi="Times New Roman" w:cs="Times New Roman"/>
                <w:b/>
                <w:sz w:val="20"/>
                <w:szCs w:val="20"/>
                <w:lang w:eastAsia="hr-HR"/>
              </w:rPr>
              <w:t>15.</w:t>
            </w:r>
          </w:p>
        </w:tc>
        <w:tc>
          <w:tcPr>
            <w:tcW w:w="6378"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tabs>
                <w:tab w:val="left" w:pos="1222"/>
              </w:tabs>
              <w:spacing w:after="0" w:line="240" w:lineRule="auto"/>
              <w:rPr>
                <w:sz w:val="20"/>
                <w:szCs w:val="20"/>
              </w:rPr>
            </w:pPr>
            <w:r>
              <w:rPr>
                <w:rFonts w:ascii="Times New Roman" w:hAnsi="Times New Roman" w:cs="Times New Roman"/>
                <w:sz w:val="20"/>
                <w:szCs w:val="20"/>
                <w:lang w:eastAsia="hr-HR"/>
              </w:rPr>
              <w:t>Posjeduje li postrojba civilne zaštite vlastita transportna sre</w:t>
            </w:r>
            <w:r>
              <w:rPr>
                <w:rFonts w:ascii="Times New Roman" w:hAnsi="Times New Roman" w:cs="Times New Roman"/>
                <w:sz w:val="20"/>
                <w:szCs w:val="20"/>
                <w:lang w:eastAsia="hr-HR"/>
              </w:rPr>
              <w:t>dstva za prijevoz na teren?</w:t>
            </w:r>
          </w:p>
        </w:tc>
        <w:tc>
          <w:tcPr>
            <w:tcW w:w="99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tabs>
                <w:tab w:val="left" w:pos="1222"/>
              </w:tabs>
              <w:spacing w:after="0" w:line="240" w:lineRule="auto"/>
              <w:jc w:val="center"/>
              <w:rPr>
                <w:rFonts w:ascii="Times New Roman" w:hAnsi="Times New Roman" w:cs="Times New Roman"/>
                <w:b/>
                <w:sz w:val="20"/>
                <w:szCs w:val="20"/>
                <w:lang w:eastAsia="hr-HR"/>
              </w:rPr>
            </w:pPr>
          </w:p>
        </w:tc>
        <w:tc>
          <w:tcPr>
            <w:tcW w:w="85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tabs>
                <w:tab w:val="left" w:pos="1222"/>
              </w:tabs>
              <w:spacing w:after="0" w:line="240" w:lineRule="auto"/>
              <w:jc w:val="center"/>
              <w:rPr>
                <w:b/>
                <w:sz w:val="20"/>
                <w:szCs w:val="20"/>
              </w:rPr>
            </w:pPr>
            <w:r>
              <w:rPr>
                <w:rFonts w:ascii="Times New Roman" w:hAnsi="Times New Roman" w:cs="Times New Roman"/>
                <w:b/>
                <w:sz w:val="20"/>
                <w:szCs w:val="20"/>
                <w:lang w:eastAsia="hr-HR"/>
              </w:rPr>
              <w:t>x</w:t>
            </w:r>
          </w:p>
        </w:tc>
      </w:tr>
    </w:tbl>
    <w:p w:rsidR="00A07D92" w:rsidRDefault="00A07D92"/>
    <w:p w:rsidR="00A07D92" w:rsidRDefault="00495E63">
      <w:r>
        <w:t>Procjena spremnosti sustava civilne zaštite provodi se na temelju procjene stanja mobilnosti operativnih kapaciteta sustava civilne zaštite i stanja komunikacijskih kapaciteta na temelju procjene stanja transportne potpore i komunikacijskih kapaciteta. Uku</w:t>
      </w:r>
      <w:r>
        <w:t xml:space="preserve">pna razina spremnosti operativnih kapaciteta procijenjena je </w:t>
      </w:r>
      <w:r>
        <w:rPr>
          <w:u w:val="single"/>
        </w:rPr>
        <w:t>visokom</w:t>
      </w:r>
      <w:r>
        <w:t xml:space="preserve"> razinom i to zbog spremnosti najvažnijih operativnih kapaciteta od značaja za sustav civilne zaštite u cjelini. </w:t>
      </w:r>
    </w:p>
    <w:p w:rsidR="00A07D92" w:rsidRDefault="00A07D92">
      <w:pPr>
        <w:spacing w:before="0" w:after="0"/>
        <w:jc w:val="center"/>
        <w:rPr>
          <w:bCs/>
          <w:color w:val="54883D"/>
          <w:sz w:val="20"/>
          <w:szCs w:val="18"/>
        </w:rPr>
      </w:pPr>
    </w:p>
    <w:p w:rsidR="00A07D92" w:rsidRDefault="00495E63">
      <w:pPr>
        <w:spacing w:before="0" w:after="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101</w:t>
      </w:r>
      <w:r>
        <w:rPr>
          <w:bCs/>
          <w:sz w:val="20"/>
          <w:szCs w:val="18"/>
        </w:rPr>
        <w:fldChar w:fldCharType="end"/>
      </w:r>
      <w:r>
        <w:rPr>
          <w:bCs/>
          <w:color w:val="54883D"/>
          <w:sz w:val="20"/>
          <w:szCs w:val="18"/>
        </w:rPr>
        <w:t>. Prikaz ocjene komunikacijskih kapacit</w:t>
      </w:r>
      <w:r>
        <w:rPr>
          <w:bCs/>
          <w:color w:val="54883D"/>
          <w:sz w:val="20"/>
          <w:szCs w:val="18"/>
        </w:rPr>
        <w:t xml:space="preserve">eta i mobilnosti snaga sustava civilne zaštite  </w:t>
      </w:r>
    </w:p>
    <w:p w:rsidR="00A07D92" w:rsidRDefault="00A07D92">
      <w:pPr>
        <w:spacing w:before="0" w:after="0"/>
        <w:jc w:val="center"/>
        <w:rPr>
          <w:bCs/>
          <w:color w:val="54883D"/>
          <w:sz w:val="20"/>
          <w:szCs w:val="18"/>
        </w:rPr>
      </w:pPr>
    </w:p>
    <w:tbl>
      <w:tblPr>
        <w:tblStyle w:val="Reetkatablice14"/>
        <w:tblW w:w="6041" w:type="dxa"/>
        <w:jc w:val="center"/>
        <w:tblLook w:val="04A0" w:firstRow="1" w:lastRow="0" w:firstColumn="1" w:lastColumn="0" w:noHBand="0" w:noVBand="1"/>
      </w:tblPr>
      <w:tblGrid>
        <w:gridCol w:w="3020"/>
        <w:gridCol w:w="3021"/>
      </w:tblGrid>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Ocjena</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120" w:after="0" w:line="240" w:lineRule="auto"/>
              <w:rPr>
                <w:sz w:val="20"/>
              </w:rPr>
            </w:pPr>
            <w:r>
              <w:rPr>
                <w:rFonts w:ascii="Times New Roman" w:hAnsi="Times New Roman" w:cs="Times New Roman"/>
                <w:sz w:val="20"/>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A07D92">
            <w:pPr>
              <w:spacing w:before="120" w:after="0" w:line="240" w:lineRule="auto"/>
              <w:rPr>
                <w:rFonts w:ascii="Times New Roman" w:hAnsi="Times New Roman" w:cs="Times New Roman"/>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120" w:after="0" w:line="240" w:lineRule="auto"/>
              <w:rPr>
                <w:sz w:val="20"/>
              </w:rPr>
            </w:pPr>
            <w:r>
              <w:rPr>
                <w:rFonts w:ascii="Times New Roman" w:hAnsi="Times New Roman" w:cs="Times New Roman"/>
                <w:sz w:val="20"/>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A07D92">
            <w:pPr>
              <w:spacing w:before="120" w:after="0" w:line="240" w:lineRule="auto"/>
              <w:jc w:val="center"/>
              <w:rPr>
                <w:rFonts w:ascii="Times New Roman" w:hAnsi="Times New Roman" w:cs="Times New Roman"/>
                <w:b/>
                <w:sz w:val="20"/>
                <w:lang w:eastAsia="hr-HR"/>
              </w:rPr>
            </w:pP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rPr>
                <w:sz w:val="20"/>
              </w:rPr>
            </w:pPr>
            <w:r>
              <w:rPr>
                <w:rFonts w:ascii="Times New Roman" w:hAnsi="Times New Roman" w:cs="Times New Roman"/>
                <w:sz w:val="20"/>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120" w:after="0" w:line="240" w:lineRule="auto"/>
              <w:jc w:val="center"/>
              <w:rPr>
                <w:b/>
                <w:sz w:val="20"/>
              </w:rPr>
            </w:pPr>
            <w:r>
              <w:rPr>
                <w:rFonts w:ascii="Times New Roman" w:hAnsi="Times New Roman" w:cs="Times New Roman"/>
                <w:b/>
                <w:sz w:val="20"/>
                <w:lang w:eastAsia="hr-HR"/>
              </w:rPr>
              <w:t>x</w:t>
            </w:r>
          </w:p>
        </w:tc>
      </w:tr>
      <w:tr w:rsidR="00A07D92">
        <w:trPr>
          <w:jc w:val="center"/>
        </w:trPr>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120" w:after="0" w:line="240" w:lineRule="auto"/>
              <w:rPr>
                <w:sz w:val="20"/>
              </w:rPr>
            </w:pPr>
            <w:r>
              <w:rPr>
                <w:rFonts w:ascii="Times New Roman" w:hAnsi="Times New Roman" w:cs="Times New Roman"/>
                <w:sz w:val="20"/>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A07D92">
            <w:pPr>
              <w:spacing w:before="120" w:after="0" w:line="240" w:lineRule="auto"/>
              <w:jc w:val="center"/>
              <w:rPr>
                <w:rFonts w:ascii="Times New Roman" w:hAnsi="Times New Roman" w:cs="Times New Roman"/>
                <w:b/>
                <w:sz w:val="20"/>
                <w:lang w:eastAsia="hr-HR"/>
              </w:rPr>
            </w:pPr>
          </w:p>
        </w:tc>
      </w:tr>
    </w:tbl>
    <w:p w:rsidR="00A07D92" w:rsidRDefault="00A07D92"/>
    <w:p w:rsidR="00A07D92" w:rsidRDefault="00495E63">
      <w:r>
        <w:t>U nastavku se nalazi zaključna ocjena na području reagiranja sustava civilne zaštite.</w:t>
      </w:r>
    </w:p>
    <w:p w:rsidR="00A07D92" w:rsidRDefault="00495E63">
      <w:pPr>
        <w:spacing w:before="0" w:after="200"/>
        <w:jc w:val="center"/>
        <w:rPr>
          <w:bCs/>
          <w:color w:val="54883D"/>
          <w:sz w:val="20"/>
          <w:szCs w:val="18"/>
        </w:rPr>
      </w:pPr>
      <w:r>
        <w:rPr>
          <w:bCs/>
          <w:color w:val="54883D"/>
          <w:sz w:val="20"/>
          <w:szCs w:val="18"/>
        </w:rPr>
        <w:t xml:space="preserve">Tablica </w:t>
      </w:r>
      <w:r>
        <w:rPr>
          <w:bCs/>
          <w:color w:val="54883D"/>
          <w:sz w:val="20"/>
          <w:szCs w:val="18"/>
        </w:rPr>
        <w:fldChar w:fldCharType="begin"/>
      </w:r>
      <w:r>
        <w:rPr>
          <w:bCs/>
          <w:sz w:val="20"/>
          <w:szCs w:val="18"/>
        </w:rPr>
        <w:instrText xml:space="preserve">SEQ </w:instrText>
      </w:r>
      <w:r>
        <w:rPr>
          <w:bCs/>
          <w:sz w:val="20"/>
          <w:szCs w:val="18"/>
        </w:rPr>
        <w:instrText>Tabela \* ARABIC</w:instrText>
      </w:r>
      <w:r>
        <w:rPr>
          <w:bCs/>
          <w:sz w:val="20"/>
          <w:szCs w:val="18"/>
        </w:rPr>
        <w:fldChar w:fldCharType="separate"/>
      </w:r>
      <w:r>
        <w:rPr>
          <w:bCs/>
          <w:sz w:val="20"/>
          <w:szCs w:val="18"/>
        </w:rPr>
        <w:t>102</w:t>
      </w:r>
      <w:r>
        <w:rPr>
          <w:bCs/>
          <w:sz w:val="20"/>
          <w:szCs w:val="18"/>
        </w:rPr>
        <w:fldChar w:fldCharType="end"/>
      </w:r>
      <w:r>
        <w:rPr>
          <w:bCs/>
          <w:color w:val="54883D"/>
          <w:sz w:val="20"/>
          <w:szCs w:val="18"/>
        </w:rPr>
        <w:t>. Analiza sustava civilne zaštite – područje reagiranja - zbirno</w:t>
      </w:r>
    </w:p>
    <w:tbl>
      <w:tblPr>
        <w:tblW w:w="9168" w:type="dxa"/>
        <w:jc w:val="center"/>
        <w:tblLook w:val="04A0" w:firstRow="1" w:lastRow="0" w:firstColumn="1" w:lastColumn="0" w:noHBand="0" w:noVBand="1"/>
      </w:tblPr>
      <w:tblGrid>
        <w:gridCol w:w="3401"/>
        <w:gridCol w:w="1417"/>
        <w:gridCol w:w="1275"/>
        <w:gridCol w:w="1559"/>
        <w:gridCol w:w="1516"/>
      </w:tblGrid>
      <w:tr w:rsidR="00A07D92">
        <w:trPr>
          <w:trHeight w:val="352"/>
          <w:jc w:val="center"/>
        </w:trPr>
        <w:tc>
          <w:tcPr>
            <w:tcW w:w="3401"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p w:rsidR="00A07D92" w:rsidRDefault="00495E63">
            <w:pPr>
              <w:spacing w:after="0"/>
              <w:jc w:val="center"/>
              <w:rPr>
                <w:b/>
                <w:sz w:val="20"/>
                <w:szCs w:val="20"/>
              </w:rPr>
            </w:pPr>
            <w:r>
              <w:rPr>
                <w:b/>
                <w:sz w:val="20"/>
                <w:szCs w:val="20"/>
              </w:rPr>
              <w:t>PODRUČJE REAGIRANJA</w:t>
            </w:r>
          </w:p>
        </w:tc>
        <w:tc>
          <w:tcPr>
            <w:tcW w:w="1417"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after="0"/>
              <w:jc w:val="center"/>
              <w:rPr>
                <w:b/>
                <w:sz w:val="20"/>
                <w:szCs w:val="20"/>
              </w:rPr>
            </w:pPr>
            <w:r>
              <w:rPr>
                <w:b/>
                <w:sz w:val="20"/>
                <w:szCs w:val="20"/>
              </w:rPr>
              <w:t>Vrlo niska spremnost</w:t>
            </w:r>
          </w:p>
        </w:tc>
        <w:tc>
          <w:tcPr>
            <w:tcW w:w="1275"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after="0"/>
              <w:jc w:val="center"/>
              <w:rPr>
                <w:b/>
                <w:sz w:val="20"/>
                <w:szCs w:val="20"/>
              </w:rPr>
            </w:pPr>
            <w:r>
              <w:rPr>
                <w:b/>
                <w:sz w:val="20"/>
                <w:szCs w:val="20"/>
              </w:rPr>
              <w:t>Niska spremnost</w:t>
            </w:r>
          </w:p>
        </w:tc>
        <w:tc>
          <w:tcPr>
            <w:tcW w:w="1559"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after="0"/>
              <w:jc w:val="center"/>
              <w:rPr>
                <w:b/>
                <w:sz w:val="20"/>
                <w:szCs w:val="20"/>
              </w:rPr>
            </w:pPr>
            <w:r>
              <w:rPr>
                <w:b/>
                <w:sz w:val="20"/>
                <w:szCs w:val="20"/>
              </w:rPr>
              <w:t>Visoka spremnost</w:t>
            </w:r>
          </w:p>
        </w:tc>
        <w:tc>
          <w:tcPr>
            <w:tcW w:w="1516"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after="0"/>
              <w:jc w:val="center"/>
              <w:rPr>
                <w:b/>
                <w:sz w:val="20"/>
                <w:szCs w:val="20"/>
              </w:rPr>
            </w:pPr>
            <w:r>
              <w:rPr>
                <w:b/>
                <w:sz w:val="20"/>
                <w:szCs w:val="20"/>
              </w:rPr>
              <w:t>Vrlo visoka spremnost</w:t>
            </w:r>
          </w:p>
        </w:tc>
      </w:tr>
      <w:tr w:rsidR="00A07D92">
        <w:trPr>
          <w:trHeight w:val="278"/>
          <w:jc w:val="center"/>
        </w:trPr>
        <w:tc>
          <w:tcPr>
            <w:tcW w:w="3401"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4</w:t>
            </w: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3</w:t>
            </w: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2</w:t>
            </w:r>
          </w:p>
        </w:tc>
        <w:tc>
          <w:tcPr>
            <w:tcW w:w="15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1</w:t>
            </w:r>
          </w:p>
        </w:tc>
      </w:tr>
      <w:tr w:rsidR="00A07D92">
        <w:trPr>
          <w:trHeight w:val="534"/>
          <w:jc w:val="center"/>
        </w:trPr>
        <w:tc>
          <w:tcPr>
            <w:tcW w:w="340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sz w:val="20"/>
                <w:szCs w:val="20"/>
              </w:rPr>
            </w:pPr>
            <w:r>
              <w:rPr>
                <w:sz w:val="20"/>
                <w:szCs w:val="20"/>
              </w:rPr>
              <w:t>Spremnost odgovornih i upravljačkih kapaciteta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jc w:val="center"/>
              <w:rPr>
                <w:b/>
                <w:sz w:val="20"/>
                <w:szCs w:val="20"/>
              </w:rPr>
            </w:pP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jc w:val="center"/>
              <w:rPr>
                <w:b/>
                <w:sz w:val="20"/>
                <w:szCs w:val="20"/>
              </w:rPr>
            </w:pPr>
            <w:r>
              <w:rPr>
                <w:b/>
                <w:sz w:val="20"/>
                <w:szCs w:val="20"/>
              </w:rPr>
              <w:t>x</w:t>
            </w:r>
          </w:p>
        </w:tc>
      </w:tr>
      <w:tr w:rsidR="00A07D92">
        <w:trPr>
          <w:trHeight w:val="352"/>
          <w:jc w:val="center"/>
        </w:trPr>
        <w:tc>
          <w:tcPr>
            <w:tcW w:w="340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Spremnost operativnih kapaciteta</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jc w:val="center"/>
              <w:rPr>
                <w:b/>
                <w:sz w:val="20"/>
                <w:szCs w:val="20"/>
              </w:rPr>
            </w:pP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jc w:val="center"/>
              <w:rPr>
                <w:b/>
                <w:sz w:val="20"/>
                <w:szCs w:val="20"/>
              </w:rPr>
            </w:pPr>
          </w:p>
        </w:tc>
      </w:tr>
      <w:tr w:rsidR="00A07D92">
        <w:trPr>
          <w:trHeight w:val="503"/>
          <w:jc w:val="center"/>
        </w:trPr>
        <w:tc>
          <w:tcPr>
            <w:tcW w:w="340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rPr>
            </w:pPr>
            <w:r>
              <w:rPr>
                <w:sz w:val="20"/>
                <w:szCs w:val="20"/>
              </w:rPr>
              <w:t xml:space="preserve">Stanje komunikacijskih kapaciteta i mobilnosti snaga sustava civilne zaštite  </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jc w:val="center"/>
              <w:rPr>
                <w:b/>
                <w:sz w:val="20"/>
                <w:szCs w:val="20"/>
              </w:rPr>
            </w:pP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jc w:val="center"/>
              <w:rPr>
                <w:b/>
                <w:sz w:val="20"/>
                <w:szCs w:val="20"/>
              </w:rPr>
            </w:pPr>
          </w:p>
        </w:tc>
      </w:tr>
      <w:tr w:rsidR="00A07D92">
        <w:trPr>
          <w:trHeight w:val="503"/>
          <w:jc w:val="center"/>
        </w:trPr>
        <w:tc>
          <w:tcPr>
            <w:tcW w:w="340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left"/>
              <w:rPr>
                <w:sz w:val="20"/>
                <w:szCs w:val="20"/>
                <w:u w:val="single"/>
              </w:rPr>
            </w:pPr>
            <w:r>
              <w:rPr>
                <w:sz w:val="20"/>
                <w:szCs w:val="20"/>
                <w:u w:val="single"/>
              </w:rPr>
              <w:t>Područje reagiranja – ZBIRNO</w:t>
            </w:r>
          </w:p>
        </w:tc>
        <w:tc>
          <w:tcPr>
            <w:tcW w:w="1417"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jc w:val="center"/>
              <w:rPr>
                <w:b/>
                <w:sz w:val="20"/>
                <w:szCs w:val="20"/>
              </w:rPr>
            </w:pPr>
          </w:p>
        </w:tc>
        <w:tc>
          <w:tcPr>
            <w:tcW w:w="1275"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after="0"/>
              <w:jc w:val="center"/>
              <w:rPr>
                <w:b/>
                <w:sz w:val="20"/>
                <w:szCs w:val="20"/>
              </w:rPr>
            </w:pPr>
          </w:p>
        </w:tc>
        <w:tc>
          <w:tcPr>
            <w:tcW w:w="1559"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jc w:val="center"/>
              <w:rPr>
                <w:b/>
                <w:sz w:val="20"/>
                <w:szCs w:val="20"/>
              </w:rPr>
            </w:pPr>
          </w:p>
        </w:tc>
      </w:tr>
    </w:tbl>
    <w:p w:rsidR="00A07D92" w:rsidRDefault="00A07D92"/>
    <w:p w:rsidR="00A07D92" w:rsidRDefault="00495E63">
      <w:pPr>
        <w:keepNext/>
        <w:keepLines/>
        <w:spacing w:before="40"/>
        <w:ind w:left="720" w:hanging="720"/>
        <w:outlineLvl w:val="2"/>
        <w:rPr>
          <w:rFonts w:cstheme="majorBidi"/>
          <w:color w:val="54883D"/>
          <w:sz w:val="28"/>
          <w:lang w:eastAsia="hr-HR" w:bidi="en-US"/>
        </w:rPr>
      </w:pPr>
      <w:bookmarkStart w:id="480" w:name="_Toc136522914"/>
      <w:r>
        <w:rPr>
          <w:rFonts w:cstheme="majorBidi"/>
          <w:color w:val="54883D"/>
          <w:sz w:val="28"/>
          <w:lang w:eastAsia="hr-HR" w:bidi="en-US"/>
        </w:rPr>
        <w:t>8.2.4 Analiza spremnosti prema rizicima obrađenim u Procjeni rizika</w:t>
      </w:r>
      <w:bookmarkEnd w:id="480"/>
    </w:p>
    <w:p w:rsidR="00A07D92" w:rsidRDefault="00495E63">
      <w:pPr>
        <w:spacing w:after="120"/>
      </w:pPr>
      <w:r>
        <w:t xml:space="preserve">U nastavku su prikazane </w:t>
      </w:r>
      <w:r>
        <w:t>tablice sa ocjenama spremnosti operativnih snaga sustava civilne zaštite Grada Malog Lošinja prema rizicima obrađenim u ovoj Procjeni rizika od velikih nesreća.</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lastRenderedPageBreak/>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103</w:t>
      </w:r>
      <w:r>
        <w:rPr>
          <w:rFonts w:eastAsia="Calibri"/>
          <w:bCs/>
          <w:sz w:val="20"/>
          <w:szCs w:val="18"/>
        </w:rPr>
        <w:fldChar w:fldCharType="end"/>
      </w:r>
      <w:r>
        <w:rPr>
          <w:rFonts w:eastAsia="Calibri"/>
          <w:bCs/>
          <w:color w:val="54883D"/>
          <w:sz w:val="20"/>
          <w:szCs w:val="18"/>
          <w:lang w:bidi="en-US"/>
        </w:rPr>
        <w:t>. Spremnost operativnih snaga u slučaju pojave potresa</w:t>
      </w:r>
    </w:p>
    <w:tbl>
      <w:tblPr>
        <w:tblW w:w="9740" w:type="dxa"/>
        <w:jc w:val="center"/>
        <w:tblLook w:val="04A0" w:firstRow="1" w:lastRow="0" w:firstColumn="1" w:lastColumn="0" w:noHBand="0" w:noVBand="1"/>
      </w:tblPr>
      <w:tblGrid>
        <w:gridCol w:w="4398"/>
        <w:gridCol w:w="1276"/>
        <w:gridCol w:w="1276"/>
        <w:gridCol w:w="1416"/>
        <w:gridCol w:w="1374"/>
      </w:tblGrid>
      <w:tr w:rsidR="00A07D92">
        <w:trPr>
          <w:trHeight w:val="352"/>
          <w:tblHeader/>
          <w:jc w:val="center"/>
        </w:trPr>
        <w:tc>
          <w:tcPr>
            <w:tcW w:w="439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POTRES</w:t>
            </w:r>
          </w:p>
        </w:tc>
        <w:tc>
          <w:tcPr>
            <w:tcW w:w="1276"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b/>
                <w:color w:val="000000"/>
                <w:sz w:val="20"/>
                <w:szCs w:val="20"/>
              </w:rPr>
            </w:pPr>
            <w:r>
              <w:rPr>
                <w:b/>
                <w:color w:val="000000"/>
                <w:sz w:val="20"/>
                <w:szCs w:val="20"/>
              </w:rPr>
              <w:t>Vrlo niska spremnost</w:t>
            </w:r>
          </w:p>
        </w:tc>
        <w:tc>
          <w:tcPr>
            <w:tcW w:w="1276"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color w:val="000000"/>
                <w:sz w:val="20"/>
                <w:szCs w:val="20"/>
              </w:rPr>
            </w:pPr>
            <w:r>
              <w:rPr>
                <w:b/>
                <w:color w:val="000000"/>
                <w:sz w:val="20"/>
                <w:szCs w:val="20"/>
              </w:rPr>
              <w:t>Niska spremnost</w:t>
            </w:r>
          </w:p>
        </w:tc>
        <w:tc>
          <w:tcPr>
            <w:tcW w:w="1416"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color w:val="000000"/>
                <w:sz w:val="20"/>
                <w:szCs w:val="20"/>
              </w:rPr>
            </w:pPr>
            <w:r>
              <w:rPr>
                <w:b/>
                <w:color w:val="000000"/>
                <w:sz w:val="20"/>
                <w:szCs w:val="20"/>
              </w:rPr>
              <w:t>Visoka spremnost</w:t>
            </w:r>
          </w:p>
        </w:tc>
        <w:tc>
          <w:tcPr>
            <w:tcW w:w="137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color w:val="000000"/>
                <w:sz w:val="20"/>
                <w:szCs w:val="20"/>
              </w:rPr>
            </w:pPr>
            <w:r>
              <w:rPr>
                <w:b/>
                <w:color w:val="000000"/>
                <w:sz w:val="20"/>
                <w:szCs w:val="20"/>
              </w:rPr>
              <w:t>Vrlo visoka spremnost</w:t>
            </w:r>
          </w:p>
        </w:tc>
      </w:tr>
      <w:tr w:rsidR="00A07D92">
        <w:trPr>
          <w:trHeight w:val="278"/>
          <w:tblHeader/>
          <w:jc w:val="center"/>
        </w:trPr>
        <w:tc>
          <w:tcPr>
            <w:tcW w:w="439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4</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3</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2</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1</w:t>
            </w:r>
          </w:p>
        </w:tc>
      </w:tr>
      <w:tr w:rsidR="00A07D92">
        <w:trPr>
          <w:trHeight w:val="352"/>
          <w:jc w:val="center"/>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Stožer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jc w:val="center"/>
              <w:rPr>
                <w:b/>
                <w:color w:val="000000"/>
                <w:sz w:val="20"/>
                <w:szCs w:val="20"/>
              </w:rPr>
            </w:pPr>
            <w:r>
              <w:rPr>
                <w:b/>
                <w:color w:val="000000"/>
                <w:sz w:val="20"/>
                <w:szCs w:val="20"/>
              </w:rPr>
              <w:t>x</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jc w:val="center"/>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Povjerenici i zamjenici povjerenika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jc w:val="center"/>
              <w:rPr>
                <w:b/>
                <w:color w:val="000000"/>
                <w:sz w:val="20"/>
                <w:szCs w:val="20"/>
              </w:rPr>
            </w:pPr>
            <w:r>
              <w:rPr>
                <w:b/>
                <w:color w:val="000000"/>
                <w:sz w:val="20"/>
                <w:szCs w:val="20"/>
              </w:rPr>
              <w:t>x</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jc w:val="center"/>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 xml:space="preserve">Postrojba civilne zaštite Grada Malog </w:t>
            </w:r>
            <w:r>
              <w:rPr>
                <w:color w:val="000000"/>
                <w:sz w:val="20"/>
                <w:szCs w:val="20"/>
              </w:rPr>
              <w:t>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jc w:val="center"/>
              <w:rPr>
                <w:b/>
                <w:color w:val="000000"/>
                <w:sz w:val="20"/>
                <w:szCs w:val="20"/>
              </w:rPr>
            </w:pPr>
            <w:r>
              <w:rPr>
                <w:b/>
                <w:color w:val="000000"/>
                <w:sz w:val="20"/>
                <w:szCs w:val="20"/>
              </w:rPr>
              <w:t>x</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jc w:val="center"/>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Vatrogasne snage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62"/>
          <w:jc w:val="center"/>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GDCK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jc w:val="center"/>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HGSS-Stanica Rijeka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52"/>
          <w:jc w:val="center"/>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Pravne osobe i udruge od interesa za sustav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jc w:val="center"/>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u w:val="single"/>
              </w:rPr>
              <w:t>Područje reagiranja – zbirno</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bl>
    <w:p w:rsidR="00A07D92" w:rsidRDefault="00A07D92">
      <w:pPr>
        <w:spacing w:before="0" w:after="0"/>
      </w:pPr>
    </w:p>
    <w:p w:rsidR="00A07D92" w:rsidRDefault="00495E63">
      <w:pPr>
        <w:rPr>
          <w:lang w:bidi="en-US"/>
        </w:rPr>
      </w:pPr>
      <w:r>
        <w:rPr>
          <w:lang w:bidi="en-US"/>
        </w:rPr>
        <w:t xml:space="preserve">Raspoložive snage civilne </w:t>
      </w:r>
      <w:r>
        <w:rPr>
          <w:lang w:bidi="en-US"/>
        </w:rPr>
        <w:t>zaštite Grada Malog Lošinja neće biti dostatne za saniranje šteta nastalih kao posljedica potresa VI° MCS, postojećim snagama civilne zaštite Grada Malog Lošinja biti će potrebna pomoć sa županijske razine.</w:t>
      </w:r>
    </w:p>
    <w:p w:rsidR="00A07D92" w:rsidRDefault="00A07D92"/>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104</w:t>
      </w:r>
      <w:r>
        <w:rPr>
          <w:rFonts w:eastAsia="Calibri"/>
          <w:bCs/>
          <w:sz w:val="20"/>
          <w:szCs w:val="18"/>
        </w:rPr>
        <w:fldChar w:fldCharType="end"/>
      </w:r>
      <w:r>
        <w:rPr>
          <w:rFonts w:eastAsia="Calibri"/>
          <w:bCs/>
          <w:color w:val="54883D"/>
          <w:sz w:val="20"/>
          <w:szCs w:val="18"/>
          <w:lang w:bidi="en-US"/>
        </w:rPr>
        <w:t xml:space="preserve">. Spremnost </w:t>
      </w:r>
      <w:r>
        <w:rPr>
          <w:rFonts w:eastAsia="Calibri"/>
          <w:bCs/>
          <w:color w:val="54883D"/>
          <w:sz w:val="20"/>
          <w:szCs w:val="18"/>
          <w:lang w:bidi="en-US"/>
        </w:rPr>
        <w:t xml:space="preserve">operativnih snaga u slučaju pojave epidemija i </w:t>
      </w:r>
      <w:proofErr w:type="spellStart"/>
      <w:r>
        <w:rPr>
          <w:rFonts w:eastAsia="Calibri"/>
          <w:bCs/>
          <w:color w:val="54883D"/>
          <w:sz w:val="20"/>
          <w:szCs w:val="18"/>
          <w:lang w:bidi="en-US"/>
        </w:rPr>
        <w:t>pandemija</w:t>
      </w:r>
      <w:proofErr w:type="spellEnd"/>
    </w:p>
    <w:tbl>
      <w:tblPr>
        <w:tblW w:w="9740" w:type="dxa"/>
        <w:tblInd w:w="-147" w:type="dxa"/>
        <w:tblLook w:val="04A0" w:firstRow="1" w:lastRow="0" w:firstColumn="1" w:lastColumn="0" w:noHBand="0" w:noVBand="1"/>
      </w:tblPr>
      <w:tblGrid>
        <w:gridCol w:w="4398"/>
        <w:gridCol w:w="1276"/>
        <w:gridCol w:w="1276"/>
        <w:gridCol w:w="1416"/>
        <w:gridCol w:w="1374"/>
      </w:tblGrid>
      <w:tr w:rsidR="00A07D92">
        <w:trPr>
          <w:trHeight w:val="352"/>
          <w:tblHeader/>
        </w:trPr>
        <w:tc>
          <w:tcPr>
            <w:tcW w:w="439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EPIDEMIJE I PANDEMIJE</w:t>
            </w:r>
          </w:p>
        </w:tc>
        <w:tc>
          <w:tcPr>
            <w:tcW w:w="1276"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b/>
                <w:color w:val="000000"/>
                <w:sz w:val="20"/>
                <w:szCs w:val="20"/>
              </w:rPr>
            </w:pPr>
            <w:r>
              <w:rPr>
                <w:b/>
                <w:color w:val="000000"/>
                <w:sz w:val="20"/>
                <w:szCs w:val="20"/>
              </w:rPr>
              <w:t>Vrlo niska spremnost</w:t>
            </w:r>
          </w:p>
        </w:tc>
        <w:tc>
          <w:tcPr>
            <w:tcW w:w="1276"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color w:val="000000"/>
                <w:sz w:val="20"/>
                <w:szCs w:val="20"/>
              </w:rPr>
            </w:pPr>
            <w:r>
              <w:rPr>
                <w:b/>
                <w:color w:val="000000"/>
                <w:sz w:val="20"/>
                <w:szCs w:val="20"/>
              </w:rPr>
              <w:t>Niska spremnost</w:t>
            </w:r>
          </w:p>
        </w:tc>
        <w:tc>
          <w:tcPr>
            <w:tcW w:w="1416"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color w:val="000000"/>
                <w:sz w:val="20"/>
                <w:szCs w:val="20"/>
              </w:rPr>
            </w:pPr>
            <w:r>
              <w:rPr>
                <w:b/>
                <w:color w:val="000000"/>
                <w:sz w:val="20"/>
                <w:szCs w:val="20"/>
              </w:rPr>
              <w:t>Visoka spremnost</w:t>
            </w:r>
          </w:p>
        </w:tc>
        <w:tc>
          <w:tcPr>
            <w:tcW w:w="137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color w:val="000000"/>
                <w:sz w:val="20"/>
                <w:szCs w:val="20"/>
              </w:rPr>
            </w:pPr>
            <w:r>
              <w:rPr>
                <w:b/>
                <w:color w:val="000000"/>
                <w:sz w:val="20"/>
                <w:szCs w:val="20"/>
              </w:rPr>
              <w:t>Vrlo visoka spremnost</w:t>
            </w:r>
          </w:p>
        </w:tc>
      </w:tr>
      <w:tr w:rsidR="00A07D92">
        <w:trPr>
          <w:trHeight w:val="278"/>
          <w:tblHeader/>
        </w:trPr>
        <w:tc>
          <w:tcPr>
            <w:tcW w:w="439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4</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3</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2</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1</w:t>
            </w: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Stožer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 xml:space="preserve">Povjerenici i zamjenici povjerenika </w:t>
            </w:r>
            <w:r>
              <w:rPr>
                <w:color w:val="000000"/>
                <w:sz w:val="20"/>
                <w:szCs w:val="20"/>
              </w:rPr>
              <w:t>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Postrojba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Vatrogasne snage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GDCK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HGSS-Stanica Rijeka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 xml:space="preserve">Pravne osobe i udruge od interesa za sustav civilne zaštite Grada </w:t>
            </w:r>
            <w:r>
              <w:rPr>
                <w:color w:val="000000"/>
                <w:sz w:val="20"/>
                <w:szCs w:val="20"/>
              </w:rPr>
              <w:t>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u w:val="single"/>
              </w:rPr>
              <w:t>Područje reagiranja – zbirno</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bl>
    <w:p w:rsidR="00A07D92" w:rsidRDefault="00495E63">
      <w:r>
        <w:t xml:space="preserve">Raspoložive snage civilne zaštite Grada Malog Lošinja biti će dostatne za saniranje šteta nastalih kao posljedica epidemija i </w:t>
      </w:r>
      <w:proofErr w:type="spellStart"/>
      <w:r>
        <w:t>pandemija</w:t>
      </w:r>
      <w:proofErr w:type="spellEnd"/>
      <w:r>
        <w:t>.</w:t>
      </w:r>
    </w:p>
    <w:p w:rsidR="00A07D92" w:rsidRDefault="00A07D92">
      <w:pPr>
        <w:spacing w:before="0"/>
        <w:rPr>
          <w:rFonts w:eastAsia="Calibri"/>
          <w:bCs/>
          <w:color w:val="54883D"/>
          <w:sz w:val="20"/>
          <w:szCs w:val="18"/>
          <w:lang w:bidi="en-US"/>
        </w:rPr>
      </w:pP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105</w:t>
      </w:r>
      <w:r>
        <w:rPr>
          <w:rFonts w:eastAsia="Calibri"/>
          <w:bCs/>
          <w:sz w:val="20"/>
          <w:szCs w:val="18"/>
        </w:rPr>
        <w:fldChar w:fldCharType="end"/>
      </w:r>
      <w:r>
        <w:rPr>
          <w:rFonts w:eastAsia="Calibri"/>
          <w:bCs/>
          <w:color w:val="54883D"/>
          <w:sz w:val="20"/>
          <w:szCs w:val="18"/>
          <w:lang w:bidi="en-US"/>
        </w:rPr>
        <w:t>. Spremnost operativnih snaga</w:t>
      </w:r>
      <w:r>
        <w:rPr>
          <w:rFonts w:eastAsia="Calibri"/>
          <w:bCs/>
          <w:color w:val="54883D"/>
          <w:sz w:val="20"/>
          <w:szCs w:val="18"/>
          <w:lang w:bidi="en-US"/>
        </w:rPr>
        <w:t xml:space="preserve"> u slučaju pojave poplava – plimni val</w:t>
      </w:r>
    </w:p>
    <w:tbl>
      <w:tblPr>
        <w:tblW w:w="9740" w:type="dxa"/>
        <w:tblInd w:w="-147" w:type="dxa"/>
        <w:tblLook w:val="04A0" w:firstRow="1" w:lastRow="0" w:firstColumn="1" w:lastColumn="0" w:noHBand="0" w:noVBand="1"/>
      </w:tblPr>
      <w:tblGrid>
        <w:gridCol w:w="4398"/>
        <w:gridCol w:w="1276"/>
        <w:gridCol w:w="1276"/>
        <w:gridCol w:w="1416"/>
        <w:gridCol w:w="1374"/>
      </w:tblGrid>
      <w:tr w:rsidR="00A07D92">
        <w:trPr>
          <w:trHeight w:val="352"/>
          <w:tblHeader/>
        </w:trPr>
        <w:tc>
          <w:tcPr>
            <w:tcW w:w="439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POPLAVA</w:t>
            </w:r>
          </w:p>
        </w:tc>
        <w:tc>
          <w:tcPr>
            <w:tcW w:w="1276"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b/>
                <w:color w:val="000000"/>
                <w:sz w:val="20"/>
                <w:szCs w:val="20"/>
              </w:rPr>
            </w:pPr>
            <w:r>
              <w:rPr>
                <w:b/>
                <w:color w:val="000000"/>
                <w:sz w:val="20"/>
                <w:szCs w:val="20"/>
              </w:rPr>
              <w:t>Vrlo niska spremnost</w:t>
            </w:r>
          </w:p>
        </w:tc>
        <w:tc>
          <w:tcPr>
            <w:tcW w:w="1276"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color w:val="000000"/>
                <w:sz w:val="20"/>
                <w:szCs w:val="20"/>
              </w:rPr>
            </w:pPr>
            <w:r>
              <w:rPr>
                <w:b/>
                <w:color w:val="000000"/>
                <w:sz w:val="20"/>
                <w:szCs w:val="20"/>
              </w:rPr>
              <w:t>Niska spremnost</w:t>
            </w:r>
          </w:p>
        </w:tc>
        <w:tc>
          <w:tcPr>
            <w:tcW w:w="1416"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color w:val="000000"/>
                <w:sz w:val="20"/>
                <w:szCs w:val="20"/>
              </w:rPr>
            </w:pPr>
            <w:r>
              <w:rPr>
                <w:b/>
                <w:color w:val="000000"/>
                <w:sz w:val="20"/>
                <w:szCs w:val="20"/>
              </w:rPr>
              <w:t>Visoka spremnost</w:t>
            </w:r>
          </w:p>
        </w:tc>
        <w:tc>
          <w:tcPr>
            <w:tcW w:w="137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color w:val="000000"/>
                <w:sz w:val="20"/>
                <w:szCs w:val="20"/>
              </w:rPr>
            </w:pPr>
            <w:r>
              <w:rPr>
                <w:b/>
                <w:color w:val="000000"/>
                <w:sz w:val="20"/>
                <w:szCs w:val="20"/>
              </w:rPr>
              <w:t>Vrlo visoka spremnost</w:t>
            </w:r>
          </w:p>
        </w:tc>
      </w:tr>
      <w:tr w:rsidR="00A07D92">
        <w:trPr>
          <w:trHeight w:val="278"/>
          <w:tblHeader/>
        </w:trPr>
        <w:tc>
          <w:tcPr>
            <w:tcW w:w="439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4</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3</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2</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1</w:t>
            </w: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lastRenderedPageBreak/>
              <w:t>Stožer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Povjerenici i zamjenici povjerenika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Postrojba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Vatrogasne snage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GDCK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HGSS-Stanica Rijeka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Pravne osobe i udruge od interesa za sustav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u w:val="single"/>
              </w:rPr>
              <w:t>Područje reagiranja</w:t>
            </w:r>
            <w:r>
              <w:rPr>
                <w:color w:val="000000"/>
                <w:sz w:val="20"/>
                <w:szCs w:val="20"/>
                <w:u w:val="single"/>
              </w:rPr>
              <w:t xml:space="preserve"> – zbirno</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bl>
    <w:p w:rsidR="00A07D92" w:rsidRDefault="00A07D92">
      <w:pPr>
        <w:spacing w:before="0" w:after="0"/>
      </w:pPr>
    </w:p>
    <w:p w:rsidR="00A07D92" w:rsidRDefault="00495E63">
      <w:r>
        <w:t>Raspoložive snage civilne zaštite Grada  Malog Lošinja biti će dostatne za saniranje šteta nastalih kao posljedica poplava – plimni val.</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106</w:t>
      </w:r>
      <w:r>
        <w:rPr>
          <w:rFonts w:eastAsia="Calibri"/>
          <w:bCs/>
          <w:sz w:val="20"/>
          <w:szCs w:val="18"/>
        </w:rPr>
        <w:fldChar w:fldCharType="end"/>
      </w:r>
      <w:r>
        <w:rPr>
          <w:rFonts w:eastAsia="Calibri"/>
          <w:bCs/>
          <w:color w:val="54883D"/>
          <w:sz w:val="20"/>
          <w:szCs w:val="18"/>
          <w:lang w:bidi="en-US"/>
        </w:rPr>
        <w:t>. Spremnost operativnih snaga u slučaju pojave požara otvorenog tipa</w:t>
      </w:r>
    </w:p>
    <w:tbl>
      <w:tblPr>
        <w:tblW w:w="9740" w:type="dxa"/>
        <w:tblInd w:w="-147" w:type="dxa"/>
        <w:tblLook w:val="04A0" w:firstRow="1" w:lastRow="0" w:firstColumn="1" w:lastColumn="0" w:noHBand="0" w:noVBand="1"/>
      </w:tblPr>
      <w:tblGrid>
        <w:gridCol w:w="4398"/>
        <w:gridCol w:w="1276"/>
        <w:gridCol w:w="1276"/>
        <w:gridCol w:w="1416"/>
        <w:gridCol w:w="1374"/>
      </w:tblGrid>
      <w:tr w:rsidR="00A07D92">
        <w:trPr>
          <w:trHeight w:val="352"/>
          <w:tblHeader/>
        </w:trPr>
        <w:tc>
          <w:tcPr>
            <w:tcW w:w="439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POŽAR OTVORENOG TIPA</w:t>
            </w:r>
          </w:p>
        </w:tc>
        <w:tc>
          <w:tcPr>
            <w:tcW w:w="1276"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b/>
                <w:color w:val="000000"/>
                <w:sz w:val="20"/>
                <w:szCs w:val="20"/>
              </w:rPr>
            </w:pPr>
            <w:r>
              <w:rPr>
                <w:b/>
                <w:color w:val="000000"/>
                <w:sz w:val="20"/>
                <w:szCs w:val="20"/>
              </w:rPr>
              <w:t>Vrlo niska spremnost</w:t>
            </w:r>
          </w:p>
        </w:tc>
        <w:tc>
          <w:tcPr>
            <w:tcW w:w="1276"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color w:val="000000"/>
                <w:sz w:val="20"/>
                <w:szCs w:val="20"/>
              </w:rPr>
            </w:pPr>
            <w:r>
              <w:rPr>
                <w:b/>
                <w:color w:val="000000"/>
                <w:sz w:val="20"/>
                <w:szCs w:val="20"/>
              </w:rPr>
              <w:t>Niska spremnost</w:t>
            </w:r>
          </w:p>
        </w:tc>
        <w:tc>
          <w:tcPr>
            <w:tcW w:w="1416"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color w:val="000000"/>
                <w:sz w:val="20"/>
                <w:szCs w:val="20"/>
              </w:rPr>
            </w:pPr>
            <w:r>
              <w:rPr>
                <w:b/>
                <w:color w:val="000000"/>
                <w:sz w:val="20"/>
                <w:szCs w:val="20"/>
              </w:rPr>
              <w:t>Visoka spremnost</w:t>
            </w:r>
          </w:p>
        </w:tc>
        <w:tc>
          <w:tcPr>
            <w:tcW w:w="137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color w:val="000000"/>
                <w:sz w:val="20"/>
                <w:szCs w:val="20"/>
              </w:rPr>
            </w:pPr>
            <w:r>
              <w:rPr>
                <w:b/>
                <w:color w:val="000000"/>
                <w:sz w:val="20"/>
                <w:szCs w:val="20"/>
              </w:rPr>
              <w:t>Vrlo visoka spremnost</w:t>
            </w:r>
          </w:p>
        </w:tc>
      </w:tr>
      <w:tr w:rsidR="00A07D92">
        <w:trPr>
          <w:trHeight w:val="278"/>
          <w:tblHeader/>
        </w:trPr>
        <w:tc>
          <w:tcPr>
            <w:tcW w:w="439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4</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3</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2</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1</w:t>
            </w: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Stožer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Povjerenici i zamjenici povjerenika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 xml:space="preserve">Postrojba civilne </w:t>
            </w:r>
            <w:r>
              <w:rPr>
                <w:color w:val="000000"/>
                <w:sz w:val="20"/>
                <w:szCs w:val="20"/>
              </w:rPr>
              <w:t>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Vatrogasne snage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jc w:val="center"/>
              <w:rPr>
                <w:b/>
                <w:color w:val="000000"/>
                <w:sz w:val="20"/>
                <w:szCs w:val="20"/>
              </w:rPr>
            </w:pPr>
            <w:r>
              <w:rPr>
                <w:b/>
                <w:color w:val="000000"/>
                <w:sz w:val="20"/>
                <w:szCs w:val="20"/>
              </w:rPr>
              <w:t>x</w:t>
            </w: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GDCK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HGSS-Stanica Rijeka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Pravne osobe i udruge od interesa za sustav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u w:val="single"/>
              </w:rPr>
              <w:t>Područje reagiranja – zbirno</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bl>
    <w:p w:rsidR="00A07D92" w:rsidRDefault="00A07D92">
      <w:pPr>
        <w:spacing w:before="0" w:after="0"/>
      </w:pPr>
    </w:p>
    <w:p w:rsidR="00A07D92" w:rsidRDefault="00495E63">
      <w:r>
        <w:t>Raspoložive snage civilne zaštite Grada  Malog Lošinja biti će dostatne za saniranje šteta nastalih kao posljedica požara otvorenog tipa, osim kod požara većih razmjera biti će potrebna pomoć sa županijske razine.</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107</w:t>
      </w:r>
      <w:r>
        <w:rPr>
          <w:rFonts w:eastAsia="Calibri"/>
          <w:bCs/>
          <w:sz w:val="20"/>
          <w:szCs w:val="18"/>
        </w:rPr>
        <w:fldChar w:fldCharType="end"/>
      </w:r>
      <w:r>
        <w:rPr>
          <w:rFonts w:eastAsia="Calibri"/>
          <w:bCs/>
          <w:color w:val="54883D"/>
          <w:sz w:val="20"/>
          <w:szCs w:val="18"/>
          <w:lang w:bidi="en-US"/>
        </w:rPr>
        <w:t xml:space="preserve">. Spremnost operativnih snaga u slučaju pojave tehničko-tehnološke nesreće </w:t>
      </w:r>
    </w:p>
    <w:tbl>
      <w:tblPr>
        <w:tblW w:w="9740" w:type="dxa"/>
        <w:tblInd w:w="-147" w:type="dxa"/>
        <w:tblLook w:val="04A0" w:firstRow="1" w:lastRow="0" w:firstColumn="1" w:lastColumn="0" w:noHBand="0" w:noVBand="1"/>
      </w:tblPr>
      <w:tblGrid>
        <w:gridCol w:w="4398"/>
        <w:gridCol w:w="1276"/>
        <w:gridCol w:w="1276"/>
        <w:gridCol w:w="1416"/>
        <w:gridCol w:w="1374"/>
      </w:tblGrid>
      <w:tr w:rsidR="00A07D92">
        <w:trPr>
          <w:trHeight w:val="352"/>
          <w:tblHeader/>
        </w:trPr>
        <w:tc>
          <w:tcPr>
            <w:tcW w:w="439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TEHNIČKO-TEHNOLOŠKE NESREĆE S OPASNIM TVARIMA</w:t>
            </w:r>
          </w:p>
        </w:tc>
        <w:tc>
          <w:tcPr>
            <w:tcW w:w="1276"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b/>
                <w:color w:val="000000"/>
                <w:sz w:val="20"/>
                <w:szCs w:val="20"/>
              </w:rPr>
            </w:pPr>
            <w:r>
              <w:rPr>
                <w:b/>
                <w:color w:val="000000"/>
                <w:sz w:val="20"/>
                <w:szCs w:val="20"/>
              </w:rPr>
              <w:t>Vrlo niska spremnost</w:t>
            </w:r>
          </w:p>
        </w:tc>
        <w:tc>
          <w:tcPr>
            <w:tcW w:w="1276"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color w:val="000000"/>
                <w:sz w:val="20"/>
                <w:szCs w:val="20"/>
              </w:rPr>
            </w:pPr>
            <w:r>
              <w:rPr>
                <w:b/>
                <w:color w:val="000000"/>
                <w:sz w:val="20"/>
                <w:szCs w:val="20"/>
              </w:rPr>
              <w:t>Niska spremnost</w:t>
            </w:r>
          </w:p>
        </w:tc>
        <w:tc>
          <w:tcPr>
            <w:tcW w:w="1416"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color w:val="000000"/>
                <w:sz w:val="20"/>
                <w:szCs w:val="20"/>
              </w:rPr>
            </w:pPr>
            <w:r>
              <w:rPr>
                <w:b/>
                <w:color w:val="000000"/>
                <w:sz w:val="20"/>
                <w:szCs w:val="20"/>
              </w:rPr>
              <w:t>Visoka spremnost</w:t>
            </w:r>
          </w:p>
        </w:tc>
        <w:tc>
          <w:tcPr>
            <w:tcW w:w="137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color w:val="000000"/>
                <w:sz w:val="20"/>
                <w:szCs w:val="20"/>
              </w:rPr>
            </w:pPr>
            <w:r>
              <w:rPr>
                <w:b/>
                <w:color w:val="000000"/>
                <w:sz w:val="20"/>
                <w:szCs w:val="20"/>
              </w:rPr>
              <w:t>Vrlo visoka spremnost</w:t>
            </w:r>
          </w:p>
        </w:tc>
      </w:tr>
      <w:tr w:rsidR="00A07D92">
        <w:trPr>
          <w:trHeight w:val="278"/>
          <w:tblHeader/>
        </w:trPr>
        <w:tc>
          <w:tcPr>
            <w:tcW w:w="439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4</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3</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2</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1</w:t>
            </w: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Stožer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Povjerenici i zamjenici povjerenika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lastRenderedPageBreak/>
              <w:t>Postrojba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Vatrogasne snage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jc w:val="center"/>
              <w:rPr>
                <w:b/>
                <w:color w:val="000000"/>
                <w:sz w:val="20"/>
                <w:szCs w:val="20"/>
              </w:rPr>
            </w:pPr>
            <w:r>
              <w:rPr>
                <w:b/>
                <w:color w:val="000000"/>
                <w:sz w:val="20"/>
                <w:szCs w:val="20"/>
              </w:rPr>
              <w:t>x</w:t>
            </w: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GDCK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HGSS-Stanica Rijeka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 xml:space="preserve">Pravne osobe i udruge od </w:t>
            </w:r>
            <w:r>
              <w:rPr>
                <w:color w:val="000000"/>
                <w:sz w:val="20"/>
                <w:szCs w:val="20"/>
              </w:rPr>
              <w:t>interesa za sustav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u w:val="single"/>
              </w:rPr>
              <w:t>Područje reagiranja – zbirno</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bl>
    <w:p w:rsidR="00A07D92" w:rsidRDefault="00A07D92">
      <w:pPr>
        <w:spacing w:before="0" w:after="0"/>
      </w:pPr>
    </w:p>
    <w:p w:rsidR="00A07D92" w:rsidRDefault="00495E63">
      <w:r>
        <w:t>Raspoložive snage civilne zaštite Grada  Malog Lošinja biti će dostatne za saniranje šteta nastalih kao posljedica industrijskih nesreća.</w:t>
      </w:r>
    </w:p>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w:instrText>
      </w:r>
      <w:r>
        <w:rPr>
          <w:rFonts w:eastAsia="Calibri"/>
          <w:bCs/>
          <w:sz w:val="20"/>
          <w:szCs w:val="18"/>
        </w:rPr>
        <w:instrText xml:space="preserve"> ARABIC</w:instrText>
      </w:r>
      <w:r>
        <w:rPr>
          <w:rFonts w:eastAsia="Calibri"/>
          <w:bCs/>
          <w:sz w:val="20"/>
          <w:szCs w:val="18"/>
        </w:rPr>
        <w:fldChar w:fldCharType="separate"/>
      </w:r>
      <w:r>
        <w:rPr>
          <w:rFonts w:eastAsia="Calibri"/>
          <w:bCs/>
          <w:sz w:val="20"/>
          <w:szCs w:val="18"/>
        </w:rPr>
        <w:t>108</w:t>
      </w:r>
      <w:r>
        <w:rPr>
          <w:rFonts w:eastAsia="Calibri"/>
          <w:bCs/>
          <w:sz w:val="20"/>
          <w:szCs w:val="18"/>
        </w:rPr>
        <w:fldChar w:fldCharType="end"/>
      </w:r>
      <w:r>
        <w:rPr>
          <w:rFonts w:eastAsia="Calibri"/>
          <w:bCs/>
          <w:color w:val="54883D"/>
          <w:sz w:val="20"/>
          <w:szCs w:val="18"/>
          <w:lang w:bidi="en-US"/>
        </w:rPr>
        <w:t>. Spremnost operativnih snaga u slučaju pojave vjetra</w:t>
      </w:r>
    </w:p>
    <w:tbl>
      <w:tblPr>
        <w:tblW w:w="9740" w:type="dxa"/>
        <w:tblInd w:w="-147" w:type="dxa"/>
        <w:tblLook w:val="04A0" w:firstRow="1" w:lastRow="0" w:firstColumn="1" w:lastColumn="0" w:noHBand="0" w:noVBand="1"/>
      </w:tblPr>
      <w:tblGrid>
        <w:gridCol w:w="4398"/>
        <w:gridCol w:w="1276"/>
        <w:gridCol w:w="1276"/>
        <w:gridCol w:w="1416"/>
        <w:gridCol w:w="1374"/>
      </w:tblGrid>
      <w:tr w:rsidR="00A07D92">
        <w:trPr>
          <w:trHeight w:val="352"/>
          <w:tblHeader/>
        </w:trPr>
        <w:tc>
          <w:tcPr>
            <w:tcW w:w="439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POPLAVA</w:t>
            </w:r>
          </w:p>
        </w:tc>
        <w:tc>
          <w:tcPr>
            <w:tcW w:w="1276"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b/>
                <w:color w:val="000000"/>
                <w:sz w:val="20"/>
                <w:szCs w:val="20"/>
              </w:rPr>
            </w:pPr>
            <w:r>
              <w:rPr>
                <w:b/>
                <w:color w:val="000000"/>
                <w:sz w:val="20"/>
                <w:szCs w:val="20"/>
              </w:rPr>
              <w:t>Vrlo niska spremnost</w:t>
            </w:r>
          </w:p>
        </w:tc>
        <w:tc>
          <w:tcPr>
            <w:tcW w:w="1276"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color w:val="000000"/>
                <w:sz w:val="20"/>
                <w:szCs w:val="20"/>
              </w:rPr>
            </w:pPr>
            <w:r>
              <w:rPr>
                <w:b/>
                <w:color w:val="000000"/>
                <w:sz w:val="20"/>
                <w:szCs w:val="20"/>
              </w:rPr>
              <w:t>Niska spremnost</w:t>
            </w:r>
          </w:p>
        </w:tc>
        <w:tc>
          <w:tcPr>
            <w:tcW w:w="1416"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color w:val="000000"/>
                <w:sz w:val="20"/>
                <w:szCs w:val="20"/>
              </w:rPr>
            </w:pPr>
            <w:r>
              <w:rPr>
                <w:b/>
                <w:color w:val="000000"/>
                <w:sz w:val="20"/>
                <w:szCs w:val="20"/>
              </w:rPr>
              <w:t>Visoka spremnost</w:t>
            </w:r>
          </w:p>
        </w:tc>
        <w:tc>
          <w:tcPr>
            <w:tcW w:w="137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color w:val="000000"/>
                <w:sz w:val="20"/>
                <w:szCs w:val="20"/>
              </w:rPr>
            </w:pPr>
            <w:r>
              <w:rPr>
                <w:b/>
                <w:color w:val="000000"/>
                <w:sz w:val="20"/>
                <w:szCs w:val="20"/>
              </w:rPr>
              <w:t>Vrlo visoka spremnost</w:t>
            </w:r>
          </w:p>
        </w:tc>
      </w:tr>
      <w:tr w:rsidR="00A07D92">
        <w:trPr>
          <w:trHeight w:val="278"/>
          <w:tblHeader/>
        </w:trPr>
        <w:tc>
          <w:tcPr>
            <w:tcW w:w="439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4</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3</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2</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1</w:t>
            </w: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Stožer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 xml:space="preserve">Povjerenici i zamjenici povjerenika civilne </w:t>
            </w:r>
            <w:r>
              <w:rPr>
                <w:color w:val="000000"/>
                <w:sz w:val="20"/>
                <w:szCs w:val="20"/>
              </w:rPr>
              <w:t>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Postrojba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Vatrogasne snage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GDCK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HGSS-Stanica Rijeka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 xml:space="preserve">Pravne osobe i udruge od interesa za sustav civilne zaštite Grada Malog </w:t>
            </w:r>
            <w:r>
              <w:rPr>
                <w:color w:val="000000"/>
                <w:sz w:val="20"/>
                <w:szCs w:val="20"/>
              </w:rPr>
              <w:t>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u w:val="single"/>
              </w:rPr>
              <w:t>Područje reagiranja – zbirno</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bl>
    <w:p w:rsidR="00A07D92" w:rsidRDefault="00A07D92">
      <w:pPr>
        <w:spacing w:before="0" w:after="0"/>
      </w:pPr>
    </w:p>
    <w:p w:rsidR="00A07D92" w:rsidRDefault="00495E63">
      <w:r>
        <w:t>Raspoložive snage civilne zaštite Grada  Malog Lošinja biti će dostatne za saniranje šteta nastalih kao posljedica vjetra.</w:t>
      </w:r>
    </w:p>
    <w:p w:rsidR="00A07D92" w:rsidRDefault="00A07D92"/>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109</w:t>
      </w:r>
      <w:r>
        <w:rPr>
          <w:rFonts w:eastAsia="Calibri"/>
          <w:bCs/>
          <w:sz w:val="20"/>
          <w:szCs w:val="18"/>
        </w:rPr>
        <w:fldChar w:fldCharType="end"/>
      </w:r>
      <w:r>
        <w:rPr>
          <w:rFonts w:eastAsia="Calibri"/>
          <w:bCs/>
          <w:color w:val="54883D"/>
          <w:sz w:val="20"/>
          <w:szCs w:val="18"/>
          <w:lang w:bidi="en-US"/>
        </w:rPr>
        <w:t xml:space="preserve">. Spremnost operativnih snaga u slučaju pojave </w:t>
      </w:r>
      <w:r>
        <w:rPr>
          <w:rFonts w:eastAsia="Calibri"/>
          <w:bCs/>
          <w:color w:val="54883D"/>
          <w:sz w:val="20"/>
          <w:szCs w:val="18"/>
          <w:lang w:bidi="en-US"/>
        </w:rPr>
        <w:t>tehničko-tehnološke nesreće u prometu</w:t>
      </w:r>
    </w:p>
    <w:tbl>
      <w:tblPr>
        <w:tblW w:w="9740" w:type="dxa"/>
        <w:tblInd w:w="-147" w:type="dxa"/>
        <w:tblLook w:val="04A0" w:firstRow="1" w:lastRow="0" w:firstColumn="1" w:lastColumn="0" w:noHBand="0" w:noVBand="1"/>
      </w:tblPr>
      <w:tblGrid>
        <w:gridCol w:w="4398"/>
        <w:gridCol w:w="1276"/>
        <w:gridCol w:w="1276"/>
        <w:gridCol w:w="1416"/>
        <w:gridCol w:w="1374"/>
      </w:tblGrid>
      <w:tr w:rsidR="00A07D92">
        <w:trPr>
          <w:trHeight w:val="352"/>
          <w:tblHeader/>
        </w:trPr>
        <w:tc>
          <w:tcPr>
            <w:tcW w:w="439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TEHNIČKO-TEHNOLOŠKE NESREĆE U  PROMETU</w:t>
            </w:r>
          </w:p>
        </w:tc>
        <w:tc>
          <w:tcPr>
            <w:tcW w:w="1276"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b/>
                <w:color w:val="000000"/>
                <w:sz w:val="20"/>
                <w:szCs w:val="20"/>
              </w:rPr>
            </w:pPr>
            <w:r>
              <w:rPr>
                <w:b/>
                <w:color w:val="000000"/>
                <w:sz w:val="20"/>
                <w:szCs w:val="20"/>
              </w:rPr>
              <w:t>Vrlo niska spremnost</w:t>
            </w:r>
          </w:p>
        </w:tc>
        <w:tc>
          <w:tcPr>
            <w:tcW w:w="1276"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color w:val="000000"/>
                <w:sz w:val="20"/>
                <w:szCs w:val="20"/>
              </w:rPr>
            </w:pPr>
            <w:r>
              <w:rPr>
                <w:b/>
                <w:color w:val="000000"/>
                <w:sz w:val="20"/>
                <w:szCs w:val="20"/>
              </w:rPr>
              <w:t>Niska spremnost</w:t>
            </w:r>
          </w:p>
        </w:tc>
        <w:tc>
          <w:tcPr>
            <w:tcW w:w="1416"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color w:val="000000"/>
                <w:sz w:val="20"/>
                <w:szCs w:val="20"/>
              </w:rPr>
            </w:pPr>
            <w:r>
              <w:rPr>
                <w:b/>
                <w:color w:val="000000"/>
                <w:sz w:val="20"/>
                <w:szCs w:val="20"/>
              </w:rPr>
              <w:t>Visoka spremnost</w:t>
            </w:r>
          </w:p>
        </w:tc>
        <w:tc>
          <w:tcPr>
            <w:tcW w:w="137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color w:val="000000"/>
                <w:sz w:val="20"/>
                <w:szCs w:val="20"/>
              </w:rPr>
            </w:pPr>
            <w:r>
              <w:rPr>
                <w:b/>
                <w:color w:val="000000"/>
                <w:sz w:val="20"/>
                <w:szCs w:val="20"/>
              </w:rPr>
              <w:t>Vrlo visoka spremnost</w:t>
            </w:r>
          </w:p>
        </w:tc>
      </w:tr>
      <w:tr w:rsidR="00A07D92">
        <w:trPr>
          <w:trHeight w:val="278"/>
          <w:tblHeader/>
        </w:trPr>
        <w:tc>
          <w:tcPr>
            <w:tcW w:w="439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4</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3</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2</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1</w:t>
            </w: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Stožer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Povjerenici i zamjenici povjerenika civilne</w:t>
            </w:r>
            <w:r>
              <w:rPr>
                <w:color w:val="000000"/>
                <w:sz w:val="20"/>
                <w:szCs w:val="20"/>
              </w:rPr>
              <w:t xml:space="preserv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Postrojba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Vatrogasne snage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jc w:val="center"/>
              <w:rPr>
                <w:b/>
                <w:color w:val="000000"/>
                <w:sz w:val="20"/>
                <w:szCs w:val="20"/>
              </w:rPr>
            </w:pPr>
            <w:r>
              <w:rPr>
                <w:b/>
                <w:color w:val="000000"/>
                <w:sz w:val="20"/>
                <w:szCs w:val="20"/>
              </w:rPr>
              <w:t>x</w:t>
            </w: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lastRenderedPageBreak/>
              <w:t>GDCK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HGSS-Stanica Rijeka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 xml:space="preserve">Pravne osobe i udruge od interesa za sustav civilne zaštite Grada Malog </w:t>
            </w:r>
            <w:r>
              <w:rPr>
                <w:color w:val="000000"/>
                <w:sz w:val="20"/>
                <w:szCs w:val="20"/>
              </w:rPr>
              <w:t>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u w:val="single"/>
              </w:rPr>
              <w:t>Područje reagiranja – zbirno</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bl>
    <w:p w:rsidR="00A07D92" w:rsidRDefault="00A07D92">
      <w:pPr>
        <w:spacing w:before="0" w:after="0"/>
      </w:pPr>
    </w:p>
    <w:p w:rsidR="00A07D92" w:rsidRDefault="00495E63">
      <w:r>
        <w:t>Raspoložive snage civilne zaštite Grada  Malog Lošinja biti će dostatne za saniranje šteta nastalih kao posljedica tehničko-tehnološke nesreće u prometu.</w:t>
      </w:r>
    </w:p>
    <w:p w:rsidR="00A07D92" w:rsidRDefault="00A07D92"/>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110</w:t>
      </w:r>
      <w:r>
        <w:rPr>
          <w:rFonts w:eastAsia="Calibri"/>
          <w:bCs/>
          <w:sz w:val="20"/>
          <w:szCs w:val="18"/>
        </w:rPr>
        <w:fldChar w:fldCharType="end"/>
      </w:r>
      <w:r>
        <w:rPr>
          <w:rFonts w:eastAsia="Calibri"/>
          <w:bCs/>
          <w:color w:val="54883D"/>
          <w:sz w:val="20"/>
          <w:szCs w:val="18"/>
          <w:lang w:bidi="en-US"/>
        </w:rPr>
        <w:t xml:space="preserve">. Spremnost </w:t>
      </w:r>
      <w:r>
        <w:rPr>
          <w:rFonts w:eastAsia="Calibri"/>
          <w:bCs/>
          <w:color w:val="54883D"/>
          <w:sz w:val="20"/>
          <w:szCs w:val="18"/>
          <w:lang w:bidi="en-US"/>
        </w:rPr>
        <w:t>operativnih snaga u slučaju pojave klizišta</w:t>
      </w:r>
    </w:p>
    <w:tbl>
      <w:tblPr>
        <w:tblW w:w="9740" w:type="dxa"/>
        <w:tblInd w:w="-147" w:type="dxa"/>
        <w:tblLook w:val="04A0" w:firstRow="1" w:lastRow="0" w:firstColumn="1" w:lastColumn="0" w:noHBand="0" w:noVBand="1"/>
      </w:tblPr>
      <w:tblGrid>
        <w:gridCol w:w="4398"/>
        <w:gridCol w:w="1276"/>
        <w:gridCol w:w="1276"/>
        <w:gridCol w:w="1416"/>
        <w:gridCol w:w="1374"/>
      </w:tblGrid>
      <w:tr w:rsidR="00A07D92">
        <w:trPr>
          <w:trHeight w:val="352"/>
          <w:tblHeader/>
        </w:trPr>
        <w:tc>
          <w:tcPr>
            <w:tcW w:w="439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POPLAVA</w:t>
            </w:r>
          </w:p>
        </w:tc>
        <w:tc>
          <w:tcPr>
            <w:tcW w:w="1276"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b/>
                <w:color w:val="000000"/>
                <w:sz w:val="20"/>
                <w:szCs w:val="20"/>
              </w:rPr>
            </w:pPr>
            <w:r>
              <w:rPr>
                <w:b/>
                <w:color w:val="000000"/>
                <w:sz w:val="20"/>
                <w:szCs w:val="20"/>
              </w:rPr>
              <w:t>Vrlo niska spremnost</w:t>
            </w:r>
          </w:p>
        </w:tc>
        <w:tc>
          <w:tcPr>
            <w:tcW w:w="1276"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color w:val="000000"/>
                <w:sz w:val="20"/>
                <w:szCs w:val="20"/>
              </w:rPr>
            </w:pPr>
            <w:r>
              <w:rPr>
                <w:b/>
                <w:color w:val="000000"/>
                <w:sz w:val="20"/>
                <w:szCs w:val="20"/>
              </w:rPr>
              <w:t>Niska spremnost</w:t>
            </w:r>
          </w:p>
        </w:tc>
        <w:tc>
          <w:tcPr>
            <w:tcW w:w="1416"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color w:val="000000"/>
                <w:sz w:val="20"/>
                <w:szCs w:val="20"/>
              </w:rPr>
            </w:pPr>
            <w:r>
              <w:rPr>
                <w:b/>
                <w:color w:val="000000"/>
                <w:sz w:val="20"/>
                <w:szCs w:val="20"/>
              </w:rPr>
              <w:t>Visoka spremnost</w:t>
            </w:r>
          </w:p>
        </w:tc>
        <w:tc>
          <w:tcPr>
            <w:tcW w:w="137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color w:val="000000"/>
                <w:sz w:val="20"/>
                <w:szCs w:val="20"/>
              </w:rPr>
            </w:pPr>
            <w:r>
              <w:rPr>
                <w:b/>
                <w:color w:val="000000"/>
                <w:sz w:val="20"/>
                <w:szCs w:val="20"/>
              </w:rPr>
              <w:t>Vrlo visoka spremnost</w:t>
            </w:r>
          </w:p>
        </w:tc>
      </w:tr>
      <w:tr w:rsidR="00A07D92">
        <w:trPr>
          <w:trHeight w:val="278"/>
          <w:tblHeader/>
        </w:trPr>
        <w:tc>
          <w:tcPr>
            <w:tcW w:w="439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4</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3</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2</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1</w:t>
            </w: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Stožer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 xml:space="preserve">Povjerenici i zamjenici povjerenika civilne zaštite Grada Malog </w:t>
            </w:r>
            <w:r>
              <w:rPr>
                <w:color w:val="000000"/>
                <w:sz w:val="20"/>
                <w:szCs w:val="20"/>
              </w:rPr>
              <w:t>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Postrojba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Vatrogasne snage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GDCK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t>HGSS-Stanica Rijeka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Pravne osobe i udruge od interesa za sustav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u w:val="single"/>
              </w:rPr>
              <w:t xml:space="preserve">Područje </w:t>
            </w:r>
            <w:r>
              <w:rPr>
                <w:color w:val="000000"/>
                <w:sz w:val="20"/>
                <w:szCs w:val="20"/>
                <w:u w:val="single"/>
              </w:rPr>
              <w:t>reagiranja – zbirno</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bl>
    <w:p w:rsidR="00A07D92" w:rsidRDefault="00A07D92">
      <w:pPr>
        <w:spacing w:before="0" w:after="0"/>
      </w:pPr>
    </w:p>
    <w:p w:rsidR="00A07D92" w:rsidRDefault="00495E63">
      <w:r>
        <w:t>Raspoložive snage civilne zaštite Grada  Malog Lošinja biti će dostatne za saniranje šteta nastalih kao posljedica degradacije tla - klizišta.</w:t>
      </w:r>
    </w:p>
    <w:p w:rsidR="00A07D92" w:rsidRDefault="00A07D92"/>
    <w:p w:rsidR="00A07D92" w:rsidRDefault="00495E63">
      <w:pPr>
        <w:spacing w:before="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rFonts w:eastAsia="Calibri"/>
          <w:bCs/>
          <w:sz w:val="20"/>
          <w:szCs w:val="18"/>
        </w:rPr>
        <w:instrText>SEQ Tabela \* ARABIC</w:instrText>
      </w:r>
      <w:r>
        <w:rPr>
          <w:rFonts w:eastAsia="Calibri"/>
          <w:bCs/>
          <w:sz w:val="20"/>
          <w:szCs w:val="18"/>
        </w:rPr>
        <w:fldChar w:fldCharType="separate"/>
      </w:r>
      <w:r>
        <w:rPr>
          <w:rFonts w:eastAsia="Calibri"/>
          <w:bCs/>
          <w:sz w:val="20"/>
          <w:szCs w:val="18"/>
        </w:rPr>
        <w:t>111</w:t>
      </w:r>
      <w:r>
        <w:rPr>
          <w:rFonts w:eastAsia="Calibri"/>
          <w:bCs/>
          <w:sz w:val="20"/>
          <w:szCs w:val="18"/>
        </w:rPr>
        <w:fldChar w:fldCharType="end"/>
      </w:r>
      <w:r>
        <w:rPr>
          <w:rFonts w:eastAsia="Calibri"/>
          <w:bCs/>
          <w:color w:val="54883D"/>
          <w:sz w:val="20"/>
          <w:szCs w:val="18"/>
          <w:lang w:bidi="en-US"/>
        </w:rPr>
        <w:t xml:space="preserve">. Spremnost operativnih snaga u slučaju pojave </w:t>
      </w:r>
      <w:r>
        <w:rPr>
          <w:rFonts w:eastAsia="Calibri"/>
          <w:bCs/>
          <w:color w:val="54883D"/>
          <w:sz w:val="20"/>
          <w:szCs w:val="18"/>
          <w:lang w:bidi="en-US"/>
        </w:rPr>
        <w:t>ekstremnih temperatura</w:t>
      </w:r>
    </w:p>
    <w:tbl>
      <w:tblPr>
        <w:tblW w:w="9740" w:type="dxa"/>
        <w:tblInd w:w="-147" w:type="dxa"/>
        <w:tblLook w:val="04A0" w:firstRow="1" w:lastRow="0" w:firstColumn="1" w:lastColumn="0" w:noHBand="0" w:noVBand="1"/>
      </w:tblPr>
      <w:tblGrid>
        <w:gridCol w:w="4398"/>
        <w:gridCol w:w="1276"/>
        <w:gridCol w:w="1276"/>
        <w:gridCol w:w="1416"/>
        <w:gridCol w:w="1374"/>
      </w:tblGrid>
      <w:tr w:rsidR="00A07D92">
        <w:trPr>
          <w:trHeight w:val="352"/>
          <w:tblHeader/>
        </w:trPr>
        <w:tc>
          <w:tcPr>
            <w:tcW w:w="4398"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EPIDEMIJE I PANDEMIJE</w:t>
            </w:r>
          </w:p>
        </w:tc>
        <w:tc>
          <w:tcPr>
            <w:tcW w:w="1276" w:type="dxa"/>
            <w:tcBorders>
              <w:top w:val="single" w:sz="4" w:space="0" w:color="54883D"/>
              <w:left w:val="single" w:sz="4" w:space="0" w:color="54883D"/>
              <w:bottom w:val="single" w:sz="4" w:space="0" w:color="54883D"/>
              <w:right w:val="single" w:sz="4" w:space="0" w:color="54883D"/>
            </w:tcBorders>
            <w:shd w:val="clear" w:color="auto" w:fill="FF0000"/>
            <w:vAlign w:val="center"/>
          </w:tcPr>
          <w:p w:rsidR="00A07D92" w:rsidRDefault="00495E63">
            <w:pPr>
              <w:spacing w:before="0" w:after="0" w:line="240" w:lineRule="auto"/>
              <w:jc w:val="center"/>
              <w:rPr>
                <w:b/>
                <w:color w:val="000000"/>
                <w:sz w:val="20"/>
                <w:szCs w:val="20"/>
              </w:rPr>
            </w:pPr>
            <w:r>
              <w:rPr>
                <w:b/>
                <w:color w:val="000000"/>
                <w:sz w:val="20"/>
                <w:szCs w:val="20"/>
              </w:rPr>
              <w:t>Vrlo niska spremnost</w:t>
            </w:r>
          </w:p>
        </w:tc>
        <w:tc>
          <w:tcPr>
            <w:tcW w:w="1276"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before="0" w:after="0"/>
              <w:jc w:val="center"/>
              <w:rPr>
                <w:b/>
                <w:color w:val="000000"/>
                <w:sz w:val="20"/>
                <w:szCs w:val="20"/>
              </w:rPr>
            </w:pPr>
            <w:r>
              <w:rPr>
                <w:b/>
                <w:color w:val="000000"/>
                <w:sz w:val="20"/>
                <w:szCs w:val="20"/>
              </w:rPr>
              <w:t>Niska spremnost</w:t>
            </w:r>
          </w:p>
        </w:tc>
        <w:tc>
          <w:tcPr>
            <w:tcW w:w="1416"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before="0" w:after="0"/>
              <w:jc w:val="center"/>
              <w:rPr>
                <w:b/>
                <w:color w:val="000000"/>
                <w:sz w:val="20"/>
                <w:szCs w:val="20"/>
              </w:rPr>
            </w:pPr>
            <w:r>
              <w:rPr>
                <w:b/>
                <w:color w:val="000000"/>
                <w:sz w:val="20"/>
                <w:szCs w:val="20"/>
              </w:rPr>
              <w:t>Visoka spremnost</w:t>
            </w:r>
          </w:p>
        </w:tc>
        <w:tc>
          <w:tcPr>
            <w:tcW w:w="1374" w:type="dxa"/>
            <w:tcBorders>
              <w:top w:val="single" w:sz="4" w:space="0" w:color="54883D"/>
              <w:left w:val="single" w:sz="4" w:space="0" w:color="54883D"/>
              <w:bottom w:val="single" w:sz="4" w:space="0" w:color="54883D"/>
              <w:right w:val="single" w:sz="4" w:space="0" w:color="54883D"/>
            </w:tcBorders>
            <w:shd w:val="clear" w:color="auto" w:fill="92D050"/>
            <w:vAlign w:val="center"/>
          </w:tcPr>
          <w:p w:rsidR="00A07D92" w:rsidRDefault="00495E63">
            <w:pPr>
              <w:spacing w:before="0" w:after="0"/>
              <w:jc w:val="center"/>
              <w:rPr>
                <w:b/>
                <w:color w:val="000000"/>
                <w:sz w:val="20"/>
                <w:szCs w:val="20"/>
              </w:rPr>
            </w:pPr>
            <w:r>
              <w:rPr>
                <w:b/>
                <w:color w:val="000000"/>
                <w:sz w:val="20"/>
                <w:szCs w:val="20"/>
              </w:rPr>
              <w:t>Vrlo visoka spremnost</w:t>
            </w:r>
          </w:p>
        </w:tc>
      </w:tr>
      <w:tr w:rsidR="00A07D92">
        <w:trPr>
          <w:trHeight w:val="278"/>
          <w:tblHeader/>
        </w:trPr>
        <w:tc>
          <w:tcPr>
            <w:tcW w:w="4398" w:type="dxa"/>
            <w:vMerge/>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4</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3</w:t>
            </w: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2</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1</w:t>
            </w: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Stožer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Povjerenici i zamjenici povjerenika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Postrojba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Vatrogasne snage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GDCK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u w:val="single"/>
              </w:rPr>
            </w:pPr>
            <w:r>
              <w:rPr>
                <w:color w:val="000000"/>
                <w:sz w:val="20"/>
                <w:szCs w:val="20"/>
              </w:rPr>
              <w:lastRenderedPageBreak/>
              <w:t>HGSS-Stanica Rijeka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5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rPr>
              <w:t>Pravne osobe i udruge od interesa za sustav civilne zaštite Grada Malog Lošinja</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r w:rsidR="00A07D92">
        <w:trPr>
          <w:trHeight w:val="362"/>
        </w:trPr>
        <w:tc>
          <w:tcPr>
            <w:tcW w:w="4398"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rPr>
                <w:color w:val="000000"/>
                <w:sz w:val="20"/>
                <w:szCs w:val="20"/>
              </w:rPr>
            </w:pPr>
            <w:r>
              <w:rPr>
                <w:color w:val="000000"/>
                <w:sz w:val="20"/>
                <w:szCs w:val="20"/>
                <w:u w:val="single"/>
              </w:rPr>
              <w:t>Područje reagiranja –</w:t>
            </w:r>
            <w:r>
              <w:rPr>
                <w:color w:val="000000"/>
                <w:sz w:val="20"/>
                <w:szCs w:val="20"/>
                <w:u w:val="single"/>
              </w:rPr>
              <w:t xml:space="preserve"> zbirno</w:t>
            </w: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c>
          <w:tcPr>
            <w:tcW w:w="127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jc w:val="center"/>
              <w:rPr>
                <w:b/>
                <w:color w:val="000000"/>
                <w:sz w:val="20"/>
                <w:szCs w:val="20"/>
              </w:rPr>
            </w:pPr>
          </w:p>
        </w:tc>
        <w:tc>
          <w:tcPr>
            <w:tcW w:w="1416"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before="0" w:after="0"/>
              <w:jc w:val="center"/>
              <w:rPr>
                <w:b/>
                <w:color w:val="000000"/>
                <w:sz w:val="20"/>
                <w:szCs w:val="20"/>
              </w:rPr>
            </w:pPr>
            <w:r>
              <w:rPr>
                <w:b/>
                <w:color w:val="000000"/>
                <w:sz w:val="20"/>
                <w:szCs w:val="20"/>
              </w:rPr>
              <w:t>x</w:t>
            </w:r>
          </w:p>
        </w:tc>
        <w:tc>
          <w:tcPr>
            <w:tcW w:w="1374"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A07D92">
            <w:pPr>
              <w:spacing w:before="0" w:after="0"/>
              <w:rPr>
                <w:b/>
                <w:color w:val="000000"/>
                <w:sz w:val="20"/>
                <w:szCs w:val="20"/>
              </w:rPr>
            </w:pPr>
          </w:p>
        </w:tc>
      </w:tr>
    </w:tbl>
    <w:p w:rsidR="00A07D92" w:rsidRDefault="00495E63">
      <w:r>
        <w:t>Raspoložive snage civilne zaštite Grada Malog Lošinja biti će dostatne za saniranje šteta nastalih kao posljedica ekstremnih temperatura.</w:t>
      </w:r>
    </w:p>
    <w:p w:rsidR="00A07D92" w:rsidRDefault="00A07D92"/>
    <w:p w:rsidR="00A07D92" w:rsidRDefault="00495E63">
      <w:pPr>
        <w:rPr>
          <w:bCs/>
          <w:color w:val="54883D"/>
          <w:sz w:val="20"/>
          <w:szCs w:val="18"/>
        </w:rPr>
      </w:pPr>
      <w:r>
        <w:t>U nastavku se nalazi zbirna ocjena cjelokupnog sustava civilne zaštite Grada Malog Lošinja.</w:t>
      </w:r>
    </w:p>
    <w:p w:rsidR="00A07D92" w:rsidRDefault="00A07D92">
      <w:pPr>
        <w:jc w:val="center"/>
        <w:rPr>
          <w:bCs/>
          <w:color w:val="54883D"/>
          <w:sz w:val="20"/>
          <w:szCs w:val="18"/>
        </w:rPr>
      </w:pPr>
    </w:p>
    <w:p w:rsidR="00A07D92" w:rsidRDefault="00495E63">
      <w:pPr>
        <w:jc w:val="center"/>
      </w:pPr>
      <w:r>
        <w:rPr>
          <w:bCs/>
          <w:color w:val="54883D"/>
          <w:sz w:val="20"/>
          <w:szCs w:val="18"/>
        </w:rPr>
        <w:t xml:space="preserve">Tablica </w:t>
      </w:r>
      <w:r>
        <w:rPr>
          <w:bCs/>
          <w:color w:val="54883D"/>
          <w:sz w:val="20"/>
          <w:szCs w:val="18"/>
        </w:rPr>
        <w:fldChar w:fldCharType="begin"/>
      </w:r>
      <w:r>
        <w:rPr>
          <w:bCs/>
          <w:sz w:val="20"/>
          <w:szCs w:val="18"/>
        </w:rPr>
        <w:instrText>SEQ Tabela \* ARABIC</w:instrText>
      </w:r>
      <w:r>
        <w:rPr>
          <w:bCs/>
          <w:sz w:val="20"/>
          <w:szCs w:val="18"/>
        </w:rPr>
        <w:fldChar w:fldCharType="separate"/>
      </w:r>
      <w:r>
        <w:rPr>
          <w:bCs/>
          <w:sz w:val="20"/>
          <w:szCs w:val="18"/>
        </w:rPr>
        <w:t>112</w:t>
      </w:r>
      <w:r>
        <w:rPr>
          <w:bCs/>
          <w:sz w:val="20"/>
          <w:szCs w:val="18"/>
        </w:rPr>
        <w:fldChar w:fldCharType="end"/>
      </w:r>
      <w:r>
        <w:rPr>
          <w:bCs/>
          <w:color w:val="54883D"/>
          <w:sz w:val="20"/>
          <w:szCs w:val="18"/>
        </w:rPr>
        <w:t>. Analiza sustava civilne zaštite – sustav civilne zaštite - zbirno</w:t>
      </w:r>
    </w:p>
    <w:tbl>
      <w:tblPr>
        <w:tblW w:w="9245" w:type="dxa"/>
        <w:jc w:val="center"/>
        <w:tblLook w:val="04A0" w:firstRow="1" w:lastRow="0" w:firstColumn="1" w:lastColumn="0" w:noHBand="0" w:noVBand="1"/>
      </w:tblPr>
      <w:tblGrid>
        <w:gridCol w:w="2804"/>
        <w:gridCol w:w="1644"/>
        <w:gridCol w:w="1547"/>
        <w:gridCol w:w="1701"/>
        <w:gridCol w:w="1549"/>
      </w:tblGrid>
      <w:tr w:rsidR="00A07D92">
        <w:trPr>
          <w:trHeight w:val="340"/>
          <w:jc w:val="center"/>
        </w:trPr>
        <w:tc>
          <w:tcPr>
            <w:tcW w:w="2804" w:type="dxa"/>
            <w:vMerge w:val="restart"/>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ANALIZA SUSTAVA CIVILNE ZAŠTITE</w:t>
            </w:r>
          </w:p>
        </w:tc>
        <w:tc>
          <w:tcPr>
            <w:tcW w:w="1644" w:type="dxa"/>
            <w:tcBorders>
              <w:top w:val="single" w:sz="4" w:space="0" w:color="54883D"/>
              <w:left w:val="single" w:sz="4" w:space="0" w:color="54883D"/>
              <w:bottom w:val="single" w:sz="4" w:space="0" w:color="54883D"/>
              <w:right w:val="single" w:sz="4" w:space="0" w:color="54883D"/>
            </w:tcBorders>
            <w:shd w:val="clear" w:color="auto" w:fill="FF0000"/>
          </w:tcPr>
          <w:p w:rsidR="00A07D92" w:rsidRDefault="00495E63">
            <w:pPr>
              <w:spacing w:after="0"/>
              <w:jc w:val="center"/>
              <w:rPr>
                <w:b/>
                <w:sz w:val="20"/>
                <w:szCs w:val="20"/>
              </w:rPr>
            </w:pPr>
            <w:r>
              <w:rPr>
                <w:b/>
                <w:sz w:val="20"/>
                <w:szCs w:val="20"/>
              </w:rPr>
              <w:t>Vrlo niska spremnost</w:t>
            </w:r>
          </w:p>
        </w:tc>
        <w:tc>
          <w:tcPr>
            <w:tcW w:w="1547"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495E63">
            <w:pPr>
              <w:spacing w:after="0"/>
              <w:jc w:val="center"/>
              <w:rPr>
                <w:b/>
                <w:sz w:val="20"/>
                <w:szCs w:val="20"/>
              </w:rPr>
            </w:pPr>
            <w:r>
              <w:rPr>
                <w:b/>
                <w:sz w:val="20"/>
                <w:szCs w:val="20"/>
              </w:rPr>
              <w:t>Niska spremnost</w:t>
            </w:r>
          </w:p>
        </w:tc>
        <w:tc>
          <w:tcPr>
            <w:tcW w:w="1701"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495E63">
            <w:pPr>
              <w:spacing w:after="0"/>
              <w:jc w:val="center"/>
              <w:rPr>
                <w:b/>
                <w:sz w:val="20"/>
                <w:szCs w:val="20"/>
              </w:rPr>
            </w:pPr>
            <w:r>
              <w:rPr>
                <w:b/>
                <w:sz w:val="20"/>
                <w:szCs w:val="20"/>
              </w:rPr>
              <w:t>Visoka spremnost</w:t>
            </w:r>
          </w:p>
        </w:tc>
        <w:tc>
          <w:tcPr>
            <w:tcW w:w="1549" w:type="dxa"/>
            <w:tcBorders>
              <w:top w:val="single" w:sz="4" w:space="0" w:color="54883D"/>
              <w:left w:val="single" w:sz="4" w:space="0" w:color="54883D"/>
              <w:bottom w:val="single" w:sz="4" w:space="0" w:color="54883D"/>
              <w:right w:val="single" w:sz="4" w:space="0" w:color="54883D"/>
            </w:tcBorders>
            <w:shd w:val="clear" w:color="auto" w:fill="92D050"/>
          </w:tcPr>
          <w:p w:rsidR="00A07D92" w:rsidRDefault="00495E63">
            <w:pPr>
              <w:spacing w:after="0"/>
              <w:jc w:val="center"/>
              <w:rPr>
                <w:b/>
                <w:sz w:val="20"/>
                <w:szCs w:val="20"/>
              </w:rPr>
            </w:pPr>
            <w:r>
              <w:rPr>
                <w:b/>
                <w:sz w:val="20"/>
                <w:szCs w:val="20"/>
              </w:rPr>
              <w:t>Vrlo visoka spremnost</w:t>
            </w:r>
          </w:p>
        </w:tc>
      </w:tr>
      <w:tr w:rsidR="00A07D92">
        <w:trPr>
          <w:trHeight w:val="268"/>
          <w:jc w:val="center"/>
        </w:trPr>
        <w:tc>
          <w:tcPr>
            <w:tcW w:w="2804" w:type="dxa"/>
            <w:vMerge/>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spacing w:after="0"/>
              <w:jc w:val="center"/>
              <w:rPr>
                <w:b/>
                <w:sz w:val="20"/>
                <w:szCs w:val="20"/>
              </w:rPr>
            </w:pPr>
          </w:p>
        </w:tc>
        <w:tc>
          <w:tcPr>
            <w:tcW w:w="16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b/>
                <w:sz w:val="20"/>
                <w:szCs w:val="20"/>
              </w:rPr>
            </w:pPr>
            <w:r>
              <w:rPr>
                <w:b/>
                <w:sz w:val="20"/>
                <w:szCs w:val="20"/>
              </w:rPr>
              <w:t>4</w:t>
            </w:r>
          </w:p>
        </w:tc>
        <w:tc>
          <w:tcPr>
            <w:tcW w:w="154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b/>
                <w:sz w:val="20"/>
                <w:szCs w:val="20"/>
              </w:rPr>
            </w:pPr>
            <w:r>
              <w:rPr>
                <w:b/>
                <w:sz w:val="20"/>
                <w:szCs w:val="20"/>
              </w:rPr>
              <w:t>3</w:t>
            </w:r>
          </w:p>
        </w:tc>
        <w:tc>
          <w:tcPr>
            <w:tcW w:w="1701"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b/>
                <w:sz w:val="20"/>
                <w:szCs w:val="20"/>
              </w:rPr>
            </w:pPr>
            <w:r>
              <w:rPr>
                <w:b/>
                <w:sz w:val="20"/>
                <w:szCs w:val="20"/>
              </w:rPr>
              <w:t>2</w:t>
            </w:r>
          </w:p>
        </w:tc>
        <w:tc>
          <w:tcPr>
            <w:tcW w:w="154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b/>
                <w:sz w:val="20"/>
                <w:szCs w:val="20"/>
              </w:rPr>
            </w:pPr>
            <w:r>
              <w:rPr>
                <w:b/>
                <w:sz w:val="20"/>
                <w:szCs w:val="20"/>
              </w:rPr>
              <w:t>1</w:t>
            </w:r>
          </w:p>
        </w:tc>
      </w:tr>
      <w:tr w:rsidR="00A07D92">
        <w:trPr>
          <w:trHeight w:val="340"/>
          <w:jc w:val="center"/>
        </w:trPr>
        <w:tc>
          <w:tcPr>
            <w:tcW w:w="280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b/>
                <w:sz w:val="20"/>
                <w:szCs w:val="20"/>
              </w:rPr>
            </w:pPr>
            <w:r>
              <w:rPr>
                <w:b/>
                <w:sz w:val="20"/>
                <w:szCs w:val="20"/>
              </w:rPr>
              <w:t>Područje preventive - ZBIRNO</w:t>
            </w:r>
          </w:p>
        </w:tc>
        <w:tc>
          <w:tcPr>
            <w:tcW w:w="16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rPr>
                <w:b/>
                <w:sz w:val="20"/>
                <w:szCs w:val="20"/>
              </w:rPr>
            </w:pPr>
          </w:p>
        </w:tc>
        <w:tc>
          <w:tcPr>
            <w:tcW w:w="154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jc w:val="center"/>
              <w:rPr>
                <w:b/>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4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rPr>
                <w:b/>
                <w:sz w:val="20"/>
                <w:szCs w:val="20"/>
              </w:rPr>
            </w:pPr>
          </w:p>
        </w:tc>
      </w:tr>
      <w:tr w:rsidR="00A07D92">
        <w:trPr>
          <w:trHeight w:val="340"/>
          <w:jc w:val="center"/>
        </w:trPr>
        <w:tc>
          <w:tcPr>
            <w:tcW w:w="280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b/>
                <w:sz w:val="20"/>
                <w:szCs w:val="20"/>
              </w:rPr>
            </w:pPr>
            <w:r>
              <w:rPr>
                <w:b/>
                <w:sz w:val="20"/>
                <w:szCs w:val="20"/>
              </w:rPr>
              <w:t>Područje</w:t>
            </w:r>
            <w:r>
              <w:rPr>
                <w:b/>
                <w:sz w:val="20"/>
                <w:szCs w:val="20"/>
              </w:rPr>
              <w:t xml:space="preserve"> reagiranja - ZBIRNO</w:t>
            </w:r>
          </w:p>
        </w:tc>
        <w:tc>
          <w:tcPr>
            <w:tcW w:w="16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rPr>
                <w:b/>
                <w:sz w:val="20"/>
                <w:szCs w:val="20"/>
              </w:rPr>
            </w:pPr>
          </w:p>
        </w:tc>
        <w:tc>
          <w:tcPr>
            <w:tcW w:w="154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jc w:val="center"/>
              <w:rPr>
                <w:b/>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4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rPr>
                <w:b/>
                <w:sz w:val="20"/>
                <w:szCs w:val="20"/>
              </w:rPr>
            </w:pPr>
          </w:p>
        </w:tc>
      </w:tr>
      <w:tr w:rsidR="00A07D92">
        <w:trPr>
          <w:trHeight w:val="486"/>
          <w:jc w:val="center"/>
        </w:trPr>
        <w:tc>
          <w:tcPr>
            <w:tcW w:w="280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495E63">
            <w:pPr>
              <w:spacing w:after="0"/>
              <w:jc w:val="center"/>
              <w:rPr>
                <w:b/>
                <w:sz w:val="20"/>
                <w:szCs w:val="20"/>
                <w:u w:val="single"/>
              </w:rPr>
            </w:pPr>
            <w:r>
              <w:rPr>
                <w:b/>
                <w:sz w:val="20"/>
                <w:szCs w:val="20"/>
                <w:u w:val="single"/>
              </w:rPr>
              <w:t>Sustav civilne zaštite - ZBIRNO</w:t>
            </w:r>
          </w:p>
        </w:tc>
        <w:tc>
          <w:tcPr>
            <w:tcW w:w="1644"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rPr>
                <w:b/>
                <w:sz w:val="20"/>
                <w:szCs w:val="20"/>
              </w:rPr>
            </w:pPr>
          </w:p>
        </w:tc>
        <w:tc>
          <w:tcPr>
            <w:tcW w:w="1547"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jc w:val="center"/>
              <w:rPr>
                <w:b/>
                <w:sz w:val="20"/>
                <w:szCs w:val="20"/>
              </w:rPr>
            </w:pPr>
          </w:p>
        </w:tc>
        <w:tc>
          <w:tcPr>
            <w:tcW w:w="1701"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spacing w:after="0"/>
              <w:jc w:val="center"/>
              <w:rPr>
                <w:b/>
                <w:sz w:val="20"/>
                <w:szCs w:val="20"/>
              </w:rPr>
            </w:pPr>
            <w:r>
              <w:rPr>
                <w:b/>
                <w:sz w:val="20"/>
                <w:szCs w:val="20"/>
              </w:rPr>
              <w:t>x</w:t>
            </w:r>
          </w:p>
        </w:tc>
        <w:tc>
          <w:tcPr>
            <w:tcW w:w="1549" w:type="dxa"/>
            <w:tcBorders>
              <w:top w:val="single" w:sz="4" w:space="0" w:color="54883D"/>
              <w:left w:val="single" w:sz="4" w:space="0" w:color="54883D"/>
              <w:bottom w:val="single" w:sz="4" w:space="0" w:color="54883D"/>
              <w:right w:val="single" w:sz="4" w:space="0" w:color="54883D"/>
            </w:tcBorders>
            <w:shd w:val="clear" w:color="auto" w:fill="auto"/>
          </w:tcPr>
          <w:p w:rsidR="00A07D92" w:rsidRDefault="00A07D92">
            <w:pPr>
              <w:rPr>
                <w:b/>
                <w:sz w:val="20"/>
                <w:szCs w:val="20"/>
              </w:rPr>
            </w:pPr>
          </w:p>
        </w:tc>
      </w:tr>
    </w:tbl>
    <w:p w:rsidR="00A07D92" w:rsidRDefault="00495E63">
      <w:pPr>
        <w:spacing w:before="0" w:after="200"/>
        <w:jc w:val="left"/>
      </w:pPr>
      <w:r>
        <w:br w:type="page"/>
      </w:r>
    </w:p>
    <w:p w:rsidR="00A07D92" w:rsidRDefault="00495E63">
      <w:pPr>
        <w:pStyle w:val="Naslov1"/>
        <w:numPr>
          <w:ilvl w:val="0"/>
          <w:numId w:val="2"/>
        </w:numPr>
      </w:pPr>
      <w:bookmarkStart w:id="481" w:name="_Toc136522915"/>
      <w:bookmarkStart w:id="482" w:name="_Toc9596677"/>
      <w:bookmarkStart w:id="483" w:name="_Toc496856141"/>
      <w:bookmarkStart w:id="484" w:name="_Toc492284994"/>
      <w:r>
        <w:lastRenderedPageBreak/>
        <w:t>VREDNOVNJE RIZIKA</w:t>
      </w:r>
      <w:bookmarkEnd w:id="481"/>
      <w:bookmarkEnd w:id="482"/>
      <w:bookmarkEnd w:id="483"/>
      <w:bookmarkEnd w:id="484"/>
    </w:p>
    <w:p w:rsidR="00A07D92" w:rsidRDefault="00495E63">
      <w:r>
        <w:t xml:space="preserve">Vrednovanje rizika je proces uspoređivanja rezultata analize rizika s kriterijima i provodi se uz primjenu ALARP načela (As </w:t>
      </w:r>
      <w:proofErr w:type="spellStart"/>
      <w:r>
        <w:t>Low</w:t>
      </w:r>
      <w:proofErr w:type="spellEnd"/>
      <w:r>
        <w:t xml:space="preserve"> As </w:t>
      </w:r>
      <w:proofErr w:type="spellStart"/>
      <w:r>
        <w:t>Reasonably</w:t>
      </w:r>
      <w:proofErr w:type="spellEnd"/>
      <w:r>
        <w:t xml:space="preserve"> </w:t>
      </w:r>
      <w:proofErr w:type="spellStart"/>
      <w:r>
        <w:t>Practicable</w:t>
      </w:r>
      <w:proofErr w:type="spellEnd"/>
      <w:r>
        <w:t xml:space="preserve">). Rizici se </w:t>
      </w:r>
      <w:r>
        <w:t>svrstavaju u tri razreda: prihvatljivi, tolerirani i neprihvatljivi. Svrha vrednovanja rizika je određivanje važnosti pojedinog rizika tj. odlučivanje da li će se određeni rizik prihvatiti ili će se poduzimati mjere u cilju njegovog smanjenja.</w:t>
      </w:r>
    </w:p>
    <w:p w:rsidR="00A07D92" w:rsidRDefault="00A07D92">
      <w:pPr>
        <w:rPr>
          <w:lang w:eastAsia="hr-HR"/>
        </w:rPr>
      </w:pPr>
    </w:p>
    <w:p w:rsidR="00A07D92" w:rsidRDefault="00495E63">
      <w:r>
        <w:rPr>
          <w:noProof/>
          <w:lang w:eastAsia="hr-HR"/>
        </w:rPr>
        <w:drawing>
          <wp:inline distT="0" distB="0" distL="0" distR="0">
            <wp:extent cx="5759450" cy="5234940"/>
            <wp:effectExtent l="0" t="0" r="0" b="0"/>
            <wp:docPr id="19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09"/>
                    <pic:cNvPicPr>
                      <a:picLocks noChangeAspect="1" noChangeArrowheads="1"/>
                    </pic:cNvPicPr>
                  </pic:nvPicPr>
                  <pic:blipFill>
                    <a:blip r:embed="rId143"/>
                    <a:stretch>
                      <a:fillRect/>
                    </a:stretch>
                  </pic:blipFill>
                  <pic:spPr bwMode="auto">
                    <a:xfrm>
                      <a:off x="0" y="0"/>
                      <a:ext cx="5759450" cy="5234940"/>
                    </a:xfrm>
                    <a:prstGeom prst="rect">
                      <a:avLst/>
                    </a:prstGeom>
                  </pic:spPr>
                </pic:pic>
              </a:graphicData>
            </a:graphic>
          </wp:inline>
        </w:drawing>
      </w:r>
    </w:p>
    <w:p w:rsidR="00A07D92" w:rsidRDefault="00495E63">
      <w:pPr>
        <w:pStyle w:val="Opisslike"/>
      </w:pPr>
      <w:r>
        <w:t xml:space="preserve">Slika </w:t>
      </w:r>
      <w:r>
        <w:fldChar w:fldCharType="begin"/>
      </w:r>
      <w:r>
        <w:instrText>SEQ</w:instrText>
      </w:r>
      <w:r>
        <w:instrText xml:space="preserve"> Slika \* ARABIC</w:instrText>
      </w:r>
      <w:r>
        <w:fldChar w:fldCharType="separate"/>
      </w:r>
      <w:r>
        <w:t>49</w:t>
      </w:r>
      <w:r>
        <w:fldChar w:fldCharType="end"/>
      </w:r>
      <w:r>
        <w:t>. Vrednovanje rizika – ALARP NAČELA</w:t>
      </w:r>
    </w:p>
    <w:p w:rsidR="00A07D92" w:rsidRDefault="00495E63">
      <w:pPr>
        <w:spacing w:before="0" w:after="0" w:line="240" w:lineRule="auto"/>
        <w:jc w:val="center"/>
        <w:rPr>
          <w:rFonts w:eastAsiaTheme="minorHAnsi"/>
          <w:bCs/>
          <w:color w:val="54883D"/>
          <w:sz w:val="20"/>
          <w:szCs w:val="18"/>
          <w:lang w:bidi="en-US"/>
        </w:rPr>
      </w:pPr>
      <w:r>
        <w:rPr>
          <w:rFonts w:eastAsiaTheme="minorHAnsi"/>
          <w:bCs/>
          <w:color w:val="54883D"/>
          <w:sz w:val="20"/>
          <w:szCs w:val="18"/>
          <w:lang w:bidi="en-US"/>
        </w:rPr>
        <w:t xml:space="preserve">Izvor: Kriteriji za izradu smjernica koje donose čelnici područne (regionalne) samouprave za potrebe izrade procjena rizika od velikih nesreća na razinama jedinica lokalnih i područnih (regionalnih) </w:t>
      </w:r>
      <w:r>
        <w:rPr>
          <w:rFonts w:eastAsiaTheme="minorHAnsi"/>
          <w:bCs/>
          <w:color w:val="54883D"/>
          <w:sz w:val="20"/>
          <w:szCs w:val="18"/>
          <w:lang w:bidi="en-US"/>
        </w:rPr>
        <w:t xml:space="preserve">samouprava </w:t>
      </w:r>
    </w:p>
    <w:p w:rsidR="00A07D92" w:rsidRDefault="00A07D92"/>
    <w:p w:rsidR="00A07D92" w:rsidRDefault="00A07D92"/>
    <w:p w:rsidR="00A07D92" w:rsidRDefault="00A07D92"/>
    <w:p w:rsidR="00A07D92" w:rsidRDefault="00A07D92"/>
    <w:p w:rsidR="00A07D92" w:rsidRDefault="00495E63">
      <w:pPr>
        <w:spacing w:before="120" w:after="120"/>
        <w:rPr>
          <w:szCs w:val="22"/>
          <w:u w:val="single"/>
        </w:rPr>
      </w:pPr>
      <w:r>
        <w:rPr>
          <w:szCs w:val="22"/>
          <w:u w:val="single"/>
        </w:rPr>
        <w:lastRenderedPageBreak/>
        <w:t>Rizici se razvrstavaju u tri razreda:</w:t>
      </w:r>
    </w:p>
    <w:p w:rsidR="00A07D92" w:rsidRDefault="00495E63">
      <w:pPr>
        <w:numPr>
          <w:ilvl w:val="0"/>
          <w:numId w:val="7"/>
        </w:numPr>
        <w:tabs>
          <w:tab w:val="left" w:pos="2445"/>
        </w:tabs>
        <w:spacing w:before="120" w:after="120"/>
        <w:ind w:left="426"/>
        <w:contextualSpacing/>
        <w:rPr>
          <w:color w:val="auto"/>
          <w:szCs w:val="22"/>
        </w:rPr>
      </w:pPr>
      <w:r>
        <w:rPr>
          <w:color w:val="auto"/>
          <w:szCs w:val="22"/>
        </w:rPr>
        <w:t>Prihvatljivi rizik – svi su niski za koje uz uobičajene nije potrebno planirati  poduzimanje dodatnih mjera.</w:t>
      </w:r>
    </w:p>
    <w:p w:rsidR="00A07D92" w:rsidRDefault="00495E63">
      <w:pPr>
        <w:numPr>
          <w:ilvl w:val="0"/>
          <w:numId w:val="7"/>
        </w:numPr>
        <w:tabs>
          <w:tab w:val="left" w:pos="2445"/>
        </w:tabs>
        <w:spacing w:before="120" w:after="120"/>
        <w:ind w:left="426"/>
        <w:contextualSpacing/>
        <w:rPr>
          <w:color w:val="auto"/>
          <w:szCs w:val="22"/>
        </w:rPr>
      </w:pPr>
      <w:r>
        <w:rPr>
          <w:color w:val="auto"/>
          <w:szCs w:val="22"/>
        </w:rPr>
        <w:t xml:space="preserve">Tolerirani rizik - umjereni koji se mogu prihvatiti iz razloga što troškovi smanjenja rizika </w:t>
      </w:r>
      <w:r>
        <w:rPr>
          <w:color w:val="auto"/>
          <w:szCs w:val="22"/>
        </w:rPr>
        <w:t>premašuju korist/dobit, i visoki koji se mogu prihvatiti iz razloga što je njihovo umanjivanje nepraktično ili troškovi uvelike premašuju korist/dobit.</w:t>
      </w:r>
    </w:p>
    <w:p w:rsidR="00A07D92" w:rsidRDefault="00495E63">
      <w:pPr>
        <w:numPr>
          <w:ilvl w:val="0"/>
          <w:numId w:val="7"/>
        </w:numPr>
        <w:tabs>
          <w:tab w:val="left" w:pos="2445"/>
        </w:tabs>
        <w:spacing w:before="120" w:after="120"/>
        <w:ind w:left="426"/>
        <w:contextualSpacing/>
        <w:rPr>
          <w:color w:val="auto"/>
          <w:szCs w:val="22"/>
        </w:rPr>
      </w:pPr>
      <w:r>
        <w:rPr>
          <w:color w:val="auto"/>
          <w:szCs w:val="22"/>
        </w:rPr>
        <w:t>Neprihvatljivi rizik - su svi vrlo visoki koji se ne mogu prihvatiti, izuzev u iznimnim situacijama.</w:t>
      </w:r>
    </w:p>
    <w:p w:rsidR="00A07D92" w:rsidRDefault="00A07D92">
      <w:pPr>
        <w:tabs>
          <w:tab w:val="left" w:pos="2445"/>
        </w:tabs>
        <w:spacing w:before="120" w:after="120" w:line="360" w:lineRule="auto"/>
        <w:contextualSpacing/>
        <w:rPr>
          <w:color w:val="auto"/>
          <w:szCs w:val="22"/>
        </w:rPr>
      </w:pPr>
    </w:p>
    <w:p w:rsidR="00A07D92" w:rsidRDefault="00495E63">
      <w:pPr>
        <w:spacing w:before="120" w:after="120"/>
        <w:rPr>
          <w:szCs w:val="22"/>
        </w:rPr>
      </w:pPr>
      <w:r>
        <w:rPr>
          <w:szCs w:val="22"/>
        </w:rPr>
        <w:t>Sv</w:t>
      </w:r>
      <w:r>
        <w:rPr>
          <w:szCs w:val="22"/>
        </w:rPr>
        <w:t>rha vrednovanja rizika je priprema podloga za odlučivanje o važnosti pojedinih rizika, odnosno da li će se rizik prihvatiti ili će trebati poduzimati određene mjere kako bi se sukcesivno smanjio. U procesu odlučivanja o daljim aktivnostima po specifičnim r</w:t>
      </w:r>
      <w:r>
        <w:rPr>
          <w:szCs w:val="22"/>
        </w:rPr>
        <w:t>izicima koriste se analize rizika i scenariji koji su sastavni dio procjene.</w:t>
      </w:r>
    </w:p>
    <w:p w:rsidR="00A07D92" w:rsidRDefault="00495E63">
      <w:pPr>
        <w:spacing w:before="120" w:after="120"/>
      </w:pPr>
      <w:r>
        <w:rPr>
          <w:szCs w:val="22"/>
        </w:rPr>
        <w:t>Kod vrednovanja treba,</w:t>
      </w:r>
      <w:r>
        <w:t xml:space="preserve"> sukladno prethodnoj slici, podijeliti rizike u tri područja i unijeti ih u tablicu rizika, s tim da vrlo visok rizik najvjerojatnije ulazi u neprihvatljivo </w:t>
      </w:r>
      <w:r>
        <w:t xml:space="preserve">područje, a nizak rizik </w:t>
      </w:r>
      <w:r>
        <w:rPr>
          <w:szCs w:val="22"/>
        </w:rPr>
        <w:t xml:space="preserve">u prihvatljivo. Mogućnost smanjenja rizika očituje se iz opisa scenarija i same analize. </w:t>
      </w:r>
      <w:r>
        <w:t>Polje vrednovanja potrebno je označiti sljedećim bojama:</w:t>
      </w:r>
    </w:p>
    <w:p w:rsidR="00A07D92" w:rsidRDefault="00495E63">
      <w:pPr>
        <w:numPr>
          <w:ilvl w:val="0"/>
          <w:numId w:val="17"/>
        </w:numPr>
        <w:tabs>
          <w:tab w:val="left" w:pos="426"/>
          <w:tab w:val="left" w:pos="2445"/>
          <w:tab w:val="left" w:pos="4536"/>
          <w:tab w:val="left" w:pos="7920"/>
        </w:tabs>
        <w:spacing w:before="120" w:after="120"/>
        <w:contextualSpacing/>
        <w:rPr>
          <w:color w:val="auto"/>
          <w:szCs w:val="22"/>
          <w:highlight w:val="white"/>
          <w:lang w:eastAsia="hr-HR"/>
        </w:rPr>
      </w:pPr>
      <w:r>
        <w:rPr>
          <w:color w:val="auto"/>
          <w:szCs w:val="22"/>
          <w:shd w:val="clear" w:color="auto" w:fill="FFFFFF"/>
          <w:lang w:eastAsia="hr-HR"/>
        </w:rPr>
        <w:t>crveno – neprihvatljivi rizici,</w:t>
      </w:r>
    </w:p>
    <w:p w:rsidR="00A07D92" w:rsidRDefault="00495E63">
      <w:pPr>
        <w:numPr>
          <w:ilvl w:val="0"/>
          <w:numId w:val="17"/>
        </w:numPr>
        <w:tabs>
          <w:tab w:val="left" w:pos="426"/>
          <w:tab w:val="left" w:pos="2445"/>
          <w:tab w:val="left" w:pos="4536"/>
          <w:tab w:val="left" w:pos="7920"/>
        </w:tabs>
        <w:spacing w:before="120" w:after="120"/>
        <w:contextualSpacing/>
        <w:rPr>
          <w:color w:val="auto"/>
          <w:szCs w:val="22"/>
          <w:highlight w:val="white"/>
          <w:lang w:eastAsia="hr-HR"/>
        </w:rPr>
      </w:pPr>
      <w:r>
        <w:rPr>
          <w:color w:val="auto"/>
          <w:szCs w:val="22"/>
          <w:shd w:val="clear" w:color="auto" w:fill="FFFFFF"/>
          <w:lang w:eastAsia="hr-HR"/>
        </w:rPr>
        <w:t>narančasto i žuto – tolerantni rizici,</w:t>
      </w:r>
    </w:p>
    <w:p w:rsidR="00A07D92" w:rsidRDefault="00495E63">
      <w:pPr>
        <w:numPr>
          <w:ilvl w:val="0"/>
          <w:numId w:val="17"/>
        </w:numPr>
        <w:tabs>
          <w:tab w:val="left" w:pos="426"/>
          <w:tab w:val="left" w:pos="2445"/>
          <w:tab w:val="left" w:pos="4536"/>
          <w:tab w:val="left" w:pos="7920"/>
        </w:tabs>
        <w:spacing w:before="120" w:after="120"/>
        <w:contextualSpacing/>
        <w:rPr>
          <w:color w:val="auto"/>
          <w:szCs w:val="22"/>
          <w:highlight w:val="white"/>
          <w:lang w:eastAsia="hr-HR"/>
        </w:rPr>
      </w:pPr>
      <w:r>
        <w:rPr>
          <w:color w:val="auto"/>
          <w:szCs w:val="22"/>
          <w:shd w:val="clear" w:color="auto" w:fill="FFFFFF"/>
          <w:lang w:eastAsia="hr-HR"/>
        </w:rPr>
        <w:t>zeleno – prihva</w:t>
      </w:r>
      <w:r>
        <w:rPr>
          <w:color w:val="auto"/>
          <w:szCs w:val="22"/>
          <w:shd w:val="clear" w:color="auto" w:fill="FFFFFF"/>
          <w:lang w:eastAsia="hr-HR"/>
        </w:rPr>
        <w:t>tljivi rizici.</w:t>
      </w:r>
    </w:p>
    <w:p w:rsidR="00A07D92" w:rsidRDefault="00495E63">
      <w:pPr>
        <w:pStyle w:val="Opisslike"/>
      </w:pPr>
      <w:r>
        <w:t xml:space="preserve">Tablica </w:t>
      </w:r>
      <w:r>
        <w:fldChar w:fldCharType="begin"/>
      </w:r>
      <w:r>
        <w:instrText>SEQ Tabela \* ARABIC</w:instrText>
      </w:r>
      <w:r>
        <w:fldChar w:fldCharType="separate"/>
      </w:r>
      <w:r>
        <w:t>113</w:t>
      </w:r>
      <w:r>
        <w:fldChar w:fldCharType="end"/>
      </w:r>
      <w:r>
        <w:t>. Vrednovanje rizika</w:t>
      </w:r>
    </w:p>
    <w:tbl>
      <w:tblPr>
        <w:tblW w:w="3800" w:type="pct"/>
        <w:jc w:val="center"/>
        <w:tblLook w:val="00A0" w:firstRow="1" w:lastRow="0" w:firstColumn="1" w:lastColumn="0" w:noHBand="0" w:noVBand="0"/>
      </w:tblPr>
      <w:tblGrid>
        <w:gridCol w:w="4743"/>
        <w:gridCol w:w="2314"/>
      </w:tblGrid>
      <w:tr w:rsidR="00A07D92">
        <w:trPr>
          <w:trHeight w:val="340"/>
          <w:tblHeader/>
          <w:jc w:val="center"/>
        </w:trPr>
        <w:tc>
          <w:tcPr>
            <w:tcW w:w="4632"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rsidR="00A07D92" w:rsidRDefault="00495E63">
            <w:pPr>
              <w:jc w:val="center"/>
              <w:rPr>
                <w:b/>
                <w:sz w:val="20"/>
              </w:rPr>
            </w:pPr>
            <w:r>
              <w:rPr>
                <w:b/>
                <w:sz w:val="20"/>
              </w:rPr>
              <w:t>SCENARIJ</w:t>
            </w:r>
          </w:p>
        </w:tc>
        <w:tc>
          <w:tcPr>
            <w:tcW w:w="2260"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rsidR="00A07D92" w:rsidRDefault="00495E63">
            <w:pPr>
              <w:jc w:val="center"/>
              <w:rPr>
                <w:b/>
                <w:sz w:val="20"/>
              </w:rPr>
            </w:pPr>
            <w:r>
              <w:rPr>
                <w:b/>
                <w:sz w:val="20"/>
              </w:rPr>
              <w:t>VREDNOVANJE</w:t>
            </w:r>
          </w:p>
        </w:tc>
      </w:tr>
      <w:tr w:rsidR="00A07D92">
        <w:trPr>
          <w:trHeight w:val="459"/>
          <w:jc w:val="center"/>
        </w:trPr>
        <w:tc>
          <w:tcPr>
            <w:tcW w:w="46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jc w:val="left"/>
              <w:rPr>
                <w:sz w:val="20"/>
              </w:rPr>
            </w:pPr>
            <w:r>
              <w:rPr>
                <w:sz w:val="20"/>
              </w:rPr>
              <w:t xml:space="preserve">Potres </w:t>
            </w:r>
          </w:p>
        </w:tc>
        <w:tc>
          <w:tcPr>
            <w:tcW w:w="226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A07D92">
            <w:pPr>
              <w:pStyle w:val="Bezproreda"/>
            </w:pPr>
          </w:p>
        </w:tc>
      </w:tr>
      <w:tr w:rsidR="00A07D92">
        <w:trPr>
          <w:trHeight w:val="459"/>
          <w:jc w:val="center"/>
        </w:trPr>
        <w:tc>
          <w:tcPr>
            <w:tcW w:w="46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jc w:val="left"/>
              <w:rPr>
                <w:sz w:val="20"/>
              </w:rPr>
            </w:pPr>
            <w:r>
              <w:rPr>
                <w:sz w:val="20"/>
              </w:rPr>
              <w:t xml:space="preserve">Epidemija i </w:t>
            </w:r>
            <w:proofErr w:type="spellStart"/>
            <w:r>
              <w:rPr>
                <w:sz w:val="20"/>
              </w:rPr>
              <w:t>pandemija</w:t>
            </w:r>
            <w:proofErr w:type="spellEnd"/>
          </w:p>
        </w:tc>
        <w:tc>
          <w:tcPr>
            <w:tcW w:w="226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A07D92">
            <w:pPr>
              <w:pStyle w:val="Bezproreda"/>
            </w:pPr>
          </w:p>
        </w:tc>
      </w:tr>
      <w:tr w:rsidR="00A07D92">
        <w:trPr>
          <w:trHeight w:val="459"/>
          <w:jc w:val="center"/>
        </w:trPr>
        <w:tc>
          <w:tcPr>
            <w:tcW w:w="46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jc w:val="left"/>
              <w:rPr>
                <w:sz w:val="20"/>
              </w:rPr>
            </w:pPr>
            <w:r>
              <w:rPr>
                <w:sz w:val="20"/>
              </w:rPr>
              <w:t>Požari otvorenog tipa</w:t>
            </w:r>
          </w:p>
        </w:tc>
        <w:tc>
          <w:tcPr>
            <w:tcW w:w="2260" w:type="dxa"/>
            <w:tcBorders>
              <w:top w:val="single" w:sz="4" w:space="0" w:color="54883D"/>
              <w:left w:val="single" w:sz="4" w:space="0" w:color="54883D"/>
              <w:bottom w:val="single" w:sz="4" w:space="0" w:color="54883D"/>
              <w:right w:val="single" w:sz="4" w:space="0" w:color="54883D"/>
            </w:tcBorders>
            <w:shd w:val="clear" w:color="auto" w:fill="FFC000"/>
            <w:vAlign w:val="center"/>
          </w:tcPr>
          <w:p w:rsidR="00A07D92" w:rsidRDefault="00A07D92">
            <w:pPr>
              <w:pStyle w:val="Bezproreda"/>
            </w:pPr>
          </w:p>
        </w:tc>
      </w:tr>
      <w:tr w:rsidR="00A07D92">
        <w:trPr>
          <w:trHeight w:val="459"/>
          <w:jc w:val="center"/>
        </w:trPr>
        <w:tc>
          <w:tcPr>
            <w:tcW w:w="46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jc w:val="left"/>
              <w:rPr>
                <w:sz w:val="20"/>
              </w:rPr>
            </w:pPr>
            <w:r>
              <w:rPr>
                <w:sz w:val="20"/>
              </w:rPr>
              <w:t>Poplava – plimni val</w:t>
            </w:r>
          </w:p>
        </w:tc>
        <w:tc>
          <w:tcPr>
            <w:tcW w:w="226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A07D92">
            <w:pPr>
              <w:pStyle w:val="Bezproreda"/>
            </w:pPr>
          </w:p>
        </w:tc>
      </w:tr>
      <w:tr w:rsidR="00A07D92">
        <w:trPr>
          <w:trHeight w:val="459"/>
          <w:jc w:val="center"/>
        </w:trPr>
        <w:tc>
          <w:tcPr>
            <w:tcW w:w="46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jc w:val="left"/>
              <w:rPr>
                <w:sz w:val="20"/>
              </w:rPr>
            </w:pPr>
            <w:r>
              <w:rPr>
                <w:sz w:val="20"/>
              </w:rPr>
              <w:t xml:space="preserve">Vjetar </w:t>
            </w:r>
          </w:p>
        </w:tc>
        <w:tc>
          <w:tcPr>
            <w:tcW w:w="226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A07D92">
            <w:pPr>
              <w:pStyle w:val="Bezproreda"/>
            </w:pPr>
          </w:p>
        </w:tc>
      </w:tr>
      <w:tr w:rsidR="00A07D92">
        <w:trPr>
          <w:trHeight w:val="459"/>
          <w:jc w:val="center"/>
        </w:trPr>
        <w:tc>
          <w:tcPr>
            <w:tcW w:w="46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jc w:val="left"/>
              <w:rPr>
                <w:sz w:val="20"/>
              </w:rPr>
            </w:pPr>
            <w:r>
              <w:rPr>
                <w:sz w:val="20"/>
              </w:rPr>
              <w:t>Degradacija tla - klizišta</w:t>
            </w:r>
          </w:p>
        </w:tc>
        <w:tc>
          <w:tcPr>
            <w:tcW w:w="226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A07D92">
            <w:pPr>
              <w:pStyle w:val="Bezproreda"/>
            </w:pPr>
          </w:p>
        </w:tc>
      </w:tr>
      <w:tr w:rsidR="00A07D92">
        <w:trPr>
          <w:trHeight w:val="459"/>
          <w:jc w:val="center"/>
        </w:trPr>
        <w:tc>
          <w:tcPr>
            <w:tcW w:w="46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jc w:val="left"/>
              <w:rPr>
                <w:sz w:val="20"/>
              </w:rPr>
            </w:pPr>
            <w:r>
              <w:rPr>
                <w:sz w:val="20"/>
              </w:rPr>
              <w:t>Industrijske nesreće</w:t>
            </w:r>
          </w:p>
        </w:tc>
        <w:tc>
          <w:tcPr>
            <w:tcW w:w="226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A07D92">
            <w:pPr>
              <w:pStyle w:val="Bezproreda"/>
            </w:pPr>
          </w:p>
        </w:tc>
      </w:tr>
      <w:tr w:rsidR="00A07D92">
        <w:trPr>
          <w:trHeight w:val="459"/>
          <w:jc w:val="center"/>
        </w:trPr>
        <w:tc>
          <w:tcPr>
            <w:tcW w:w="46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jc w:val="left"/>
              <w:rPr>
                <w:sz w:val="20"/>
              </w:rPr>
            </w:pPr>
            <w:r>
              <w:rPr>
                <w:sz w:val="20"/>
              </w:rPr>
              <w:t>Ekstremne temperature</w:t>
            </w:r>
          </w:p>
        </w:tc>
        <w:tc>
          <w:tcPr>
            <w:tcW w:w="226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A07D92">
            <w:pPr>
              <w:pStyle w:val="Bezproreda"/>
            </w:pPr>
          </w:p>
        </w:tc>
      </w:tr>
      <w:tr w:rsidR="00A07D92">
        <w:trPr>
          <w:trHeight w:val="459"/>
          <w:jc w:val="center"/>
        </w:trPr>
        <w:tc>
          <w:tcPr>
            <w:tcW w:w="4632" w:type="dxa"/>
            <w:tcBorders>
              <w:top w:val="single" w:sz="4" w:space="0" w:color="54883D"/>
              <w:left w:val="single" w:sz="4" w:space="0" w:color="54883D"/>
              <w:bottom w:val="single" w:sz="4" w:space="0" w:color="54883D"/>
              <w:right w:val="single" w:sz="4" w:space="0" w:color="54883D"/>
            </w:tcBorders>
            <w:shd w:val="clear" w:color="auto" w:fill="auto"/>
            <w:vAlign w:val="center"/>
          </w:tcPr>
          <w:p w:rsidR="00A07D92" w:rsidRDefault="00495E63">
            <w:pPr>
              <w:jc w:val="left"/>
              <w:rPr>
                <w:sz w:val="20"/>
              </w:rPr>
            </w:pPr>
            <w:r>
              <w:rPr>
                <w:sz w:val="20"/>
              </w:rPr>
              <w:t>Tehničko-tehnološke i druge nesreće u prometu</w:t>
            </w:r>
          </w:p>
        </w:tc>
        <w:tc>
          <w:tcPr>
            <w:tcW w:w="2260" w:type="dxa"/>
            <w:tcBorders>
              <w:top w:val="single" w:sz="4" w:space="0" w:color="54883D"/>
              <w:left w:val="single" w:sz="4" w:space="0" w:color="54883D"/>
              <w:bottom w:val="single" w:sz="4" w:space="0" w:color="54883D"/>
              <w:right w:val="single" w:sz="4" w:space="0" w:color="54883D"/>
            </w:tcBorders>
            <w:shd w:val="clear" w:color="auto" w:fill="FFFF00"/>
            <w:vAlign w:val="center"/>
          </w:tcPr>
          <w:p w:rsidR="00A07D92" w:rsidRDefault="00A07D92">
            <w:pPr>
              <w:pStyle w:val="Bezproreda"/>
            </w:pPr>
          </w:p>
        </w:tc>
      </w:tr>
    </w:tbl>
    <w:p w:rsidR="00A07D92" w:rsidRDefault="00A07D92">
      <w:pPr>
        <w:spacing w:after="0"/>
        <w:rPr>
          <w:szCs w:val="22"/>
          <w:highlight w:val="yellow"/>
        </w:rPr>
      </w:pPr>
    </w:p>
    <w:p w:rsidR="00A07D92" w:rsidRDefault="00495E63">
      <w:pPr>
        <w:rPr>
          <w:szCs w:val="22"/>
        </w:rPr>
      </w:pPr>
      <w:r>
        <w:rPr>
          <w:szCs w:val="22"/>
        </w:rPr>
        <w:t xml:space="preserve">Tolerirani rizici: </w:t>
      </w:r>
    </w:p>
    <w:p w:rsidR="00A07D92" w:rsidRDefault="00495E63">
      <w:pPr>
        <w:pStyle w:val="Odlomakpopisa"/>
        <w:numPr>
          <w:ilvl w:val="0"/>
          <w:numId w:val="20"/>
        </w:numPr>
        <w:spacing w:line="276" w:lineRule="auto"/>
        <w:rPr>
          <w:sz w:val="22"/>
        </w:rPr>
      </w:pPr>
      <w:r>
        <w:rPr>
          <w:sz w:val="22"/>
        </w:rPr>
        <w:t xml:space="preserve">Potres je u pravilu netolerantan rizik, no zbog vrlo male vjerojatnosti nastanka  velike nesreće uzrokovane VI° MSC svrstavamo ga u tolerantne rizike. Propisane su tehničke mjere za </w:t>
      </w:r>
      <w:r>
        <w:rPr>
          <w:sz w:val="22"/>
        </w:rPr>
        <w:t>osiguranje otpornosti građevina na potres.</w:t>
      </w:r>
    </w:p>
    <w:p w:rsidR="00A07D92" w:rsidRDefault="00495E63">
      <w:pPr>
        <w:pStyle w:val="Odlomakpopisa"/>
        <w:numPr>
          <w:ilvl w:val="0"/>
          <w:numId w:val="20"/>
        </w:numPr>
        <w:spacing w:line="276" w:lineRule="auto"/>
        <w:rPr>
          <w:sz w:val="22"/>
        </w:rPr>
      </w:pPr>
      <w:r>
        <w:rPr>
          <w:sz w:val="22"/>
        </w:rPr>
        <w:lastRenderedPageBreak/>
        <w:t xml:space="preserve">Epidemija i </w:t>
      </w:r>
      <w:proofErr w:type="spellStart"/>
      <w:r>
        <w:rPr>
          <w:sz w:val="22"/>
        </w:rPr>
        <w:t>pandemija</w:t>
      </w:r>
      <w:proofErr w:type="spellEnd"/>
      <w:r>
        <w:rPr>
          <w:sz w:val="22"/>
        </w:rPr>
        <w:t xml:space="preserve"> – rizik je tolerantan pošto je ugroženo cijelo područje Republike Hrvatske, mjere prevencije i intervencije nisu na razini grada pa je područje tolerantno. Izdaju se upozorenja stanovništvu </w:t>
      </w:r>
      <w:r>
        <w:rPr>
          <w:sz w:val="22"/>
        </w:rPr>
        <w:t>od strane Hrvatskog Zavoda za javno zdravstvo.</w:t>
      </w:r>
    </w:p>
    <w:p w:rsidR="00A07D92" w:rsidRDefault="00495E63">
      <w:pPr>
        <w:pStyle w:val="Odlomakpopisa"/>
        <w:numPr>
          <w:ilvl w:val="0"/>
          <w:numId w:val="20"/>
        </w:numPr>
        <w:spacing w:line="276" w:lineRule="auto"/>
        <w:rPr>
          <w:sz w:val="22"/>
        </w:rPr>
      </w:pPr>
      <w:r>
        <w:rPr>
          <w:sz w:val="22"/>
        </w:rPr>
        <w:t>Poplava – rizik je prihvatljiv zbog malih posljedica. Potrebno je provoditi preventivne mjere obrane od poplava. Na samu pojavu poplava ne može se utjecati ali se može utjecajni na provedbu mjera obrane od pop</w:t>
      </w:r>
      <w:r>
        <w:rPr>
          <w:sz w:val="22"/>
        </w:rPr>
        <w:t xml:space="preserve">lava. </w:t>
      </w:r>
    </w:p>
    <w:p w:rsidR="00A07D92" w:rsidRDefault="00495E63">
      <w:pPr>
        <w:pStyle w:val="Odlomakpopisa"/>
        <w:numPr>
          <w:ilvl w:val="0"/>
          <w:numId w:val="20"/>
        </w:numPr>
        <w:spacing w:line="276" w:lineRule="auto"/>
        <w:rPr>
          <w:sz w:val="22"/>
        </w:rPr>
      </w:pPr>
      <w:r>
        <w:rPr>
          <w:color w:val="auto"/>
          <w:sz w:val="22"/>
        </w:rPr>
        <w:t xml:space="preserve">Požari </w:t>
      </w:r>
      <w:r>
        <w:rPr>
          <w:sz w:val="22"/>
        </w:rPr>
        <w:t>otvorenog prostora - rizik je tolerantan zbog dobre organizacije vatrogasne zajednice i podignute svijesti o ugroženosti od požara. Na području grada Malog Lošinja strogo se primjenjuje Odluka o zabrani spaljivanja i loženja vatre na otvoreno</w:t>
      </w:r>
      <w:r>
        <w:rPr>
          <w:sz w:val="22"/>
        </w:rPr>
        <w:t>m. Potrebno je dodatno educirati stanovništvo o mogućim opasnostima od požara otvorenog tipa.</w:t>
      </w:r>
    </w:p>
    <w:p w:rsidR="00A07D92" w:rsidRDefault="00495E63">
      <w:pPr>
        <w:pStyle w:val="Odlomakpopisa"/>
        <w:numPr>
          <w:ilvl w:val="0"/>
          <w:numId w:val="20"/>
        </w:numPr>
        <w:spacing w:line="276" w:lineRule="auto"/>
        <w:rPr>
          <w:sz w:val="22"/>
        </w:rPr>
      </w:pPr>
      <w:r>
        <w:rPr>
          <w:sz w:val="22"/>
        </w:rPr>
        <w:t>Industrijske nesreće – rizik je tolerantan zbog mala je vjerojatnost pojavljivanja velike nesreće. Mjere smanjenja rizika su na razini pravnih osoba koje su dužne</w:t>
      </w:r>
      <w:r>
        <w:rPr>
          <w:sz w:val="22"/>
        </w:rPr>
        <w:t xml:space="preserve"> poštovati zakonska pravila i propise za slučaju velikih nesreća.</w:t>
      </w:r>
    </w:p>
    <w:p w:rsidR="00A07D92" w:rsidRDefault="00495E63">
      <w:pPr>
        <w:pStyle w:val="Odlomakpopisa"/>
        <w:numPr>
          <w:ilvl w:val="0"/>
          <w:numId w:val="20"/>
        </w:numPr>
        <w:tabs>
          <w:tab w:val="clear" w:pos="360"/>
        </w:tabs>
        <w:spacing w:line="276" w:lineRule="auto"/>
        <w:rPr>
          <w:sz w:val="22"/>
        </w:rPr>
      </w:pPr>
      <w:r>
        <w:rPr>
          <w:sz w:val="22"/>
        </w:rPr>
        <w:t>Vjetar - rizik je tolerantan pošto je ugroženo cijelo područje Grada te zbog brzog razvoja vremenske nepogode mjere reagiranja neće biti učinkovite. Izdaju se upozorenja stanovništvu od stra</w:t>
      </w:r>
      <w:r>
        <w:rPr>
          <w:sz w:val="22"/>
        </w:rPr>
        <w:t>ne DHMZ-a.</w:t>
      </w:r>
    </w:p>
    <w:p w:rsidR="00A07D92" w:rsidRDefault="00495E63">
      <w:pPr>
        <w:pStyle w:val="Odlomakpopisa"/>
        <w:numPr>
          <w:ilvl w:val="0"/>
          <w:numId w:val="20"/>
        </w:numPr>
        <w:tabs>
          <w:tab w:val="clear" w:pos="360"/>
        </w:tabs>
        <w:spacing w:line="276" w:lineRule="auto"/>
        <w:rPr>
          <w:sz w:val="22"/>
        </w:rPr>
      </w:pPr>
      <w:r>
        <w:rPr>
          <w:bCs/>
          <w:sz w:val="22"/>
        </w:rPr>
        <w:t>Klizišta</w:t>
      </w:r>
      <w:r>
        <w:rPr>
          <w:sz w:val="22"/>
        </w:rPr>
        <w:t xml:space="preserve"> – rizik je prihvatljiv zbog toga što na prostoru Unija, Suska, Male i Vele </w:t>
      </w:r>
      <w:proofErr w:type="spellStart"/>
      <w:r>
        <w:rPr>
          <w:sz w:val="22"/>
        </w:rPr>
        <w:t>Srakane</w:t>
      </w:r>
      <w:proofErr w:type="spellEnd"/>
      <w:r>
        <w:rPr>
          <w:sz w:val="22"/>
        </w:rPr>
        <w:t xml:space="preserve"> ima nekoliko klizišta koja predstavljaju opasnost, ali ne i životno </w:t>
      </w:r>
      <w:proofErr w:type="spellStart"/>
      <w:r>
        <w:rPr>
          <w:sz w:val="22"/>
        </w:rPr>
        <w:t>ugoženo</w:t>
      </w:r>
      <w:proofErr w:type="spellEnd"/>
      <w:r>
        <w:rPr>
          <w:sz w:val="22"/>
        </w:rPr>
        <w:t xml:space="preserve"> područje. Potrebno je pridržavati se tehničkih mjera zaštite od klizišta pril</w:t>
      </w:r>
      <w:r>
        <w:rPr>
          <w:sz w:val="22"/>
        </w:rPr>
        <w:t>ikom izgradnje objekata</w:t>
      </w:r>
    </w:p>
    <w:p w:rsidR="00A07D92" w:rsidRDefault="00495E63">
      <w:pPr>
        <w:pStyle w:val="Odlomakpopisa"/>
        <w:numPr>
          <w:ilvl w:val="0"/>
          <w:numId w:val="20"/>
        </w:numPr>
        <w:tabs>
          <w:tab w:val="clear" w:pos="360"/>
        </w:tabs>
        <w:spacing w:line="276" w:lineRule="auto"/>
        <w:rPr>
          <w:sz w:val="22"/>
        </w:rPr>
      </w:pPr>
      <w:r>
        <w:rPr>
          <w:sz w:val="22"/>
        </w:rPr>
        <w:t>Ekstremne temperature – ovaj rizik ima veliku vjerojatnost od pojavljivanja gdje je ugroženo cijelo područje Grada. Državni hidrometeorološki zavod izdaje upozorenja stanovništvu</w:t>
      </w:r>
    </w:p>
    <w:p w:rsidR="00A07D92" w:rsidRDefault="00495E63">
      <w:pPr>
        <w:pStyle w:val="Odlomakpopisa"/>
        <w:numPr>
          <w:ilvl w:val="0"/>
          <w:numId w:val="20"/>
        </w:numPr>
        <w:tabs>
          <w:tab w:val="clear" w:pos="360"/>
        </w:tabs>
        <w:spacing w:line="276" w:lineRule="auto"/>
        <w:rPr>
          <w:sz w:val="22"/>
        </w:rPr>
      </w:pPr>
      <w:r>
        <w:rPr>
          <w:sz w:val="22"/>
        </w:rPr>
        <w:t>Nesreće u cestovnom prometu - Mala je vjerojatnost po</w:t>
      </w:r>
      <w:r>
        <w:rPr>
          <w:sz w:val="22"/>
        </w:rPr>
        <w:t>javljivanja velike nesreće u cestovnom prometu. Mjere smanjenja rizika su na razini pravne osobe koja je dužna poštovati zakonska pravila i propise u slučaju velike nesreće.</w:t>
      </w:r>
    </w:p>
    <w:p w:rsidR="00A07D92" w:rsidRDefault="00A07D92">
      <w:pPr>
        <w:ind w:left="720"/>
      </w:pPr>
    </w:p>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A07D92"/>
    <w:p w:rsidR="00A07D92" w:rsidRDefault="00495E63">
      <w:pPr>
        <w:pStyle w:val="Naslov1"/>
        <w:numPr>
          <w:ilvl w:val="0"/>
          <w:numId w:val="2"/>
        </w:numPr>
      </w:pPr>
      <w:bookmarkStart w:id="485" w:name="_Toc136522916"/>
      <w:bookmarkStart w:id="486" w:name="_Toc9596678"/>
      <w:bookmarkStart w:id="487" w:name="_Toc496856142"/>
      <w:bookmarkStart w:id="488" w:name="_Toc492284995"/>
      <w:r>
        <w:t>POPIS SUDIONIKA U IZRADI PROCJENE RIZIKA</w:t>
      </w:r>
      <w:bookmarkEnd w:id="485"/>
      <w:bookmarkEnd w:id="486"/>
      <w:bookmarkEnd w:id="487"/>
      <w:bookmarkEnd w:id="488"/>
    </w:p>
    <w:tbl>
      <w:tblPr>
        <w:tblStyle w:val="ivopisnatablicareetke6-isticanje38"/>
        <w:tblW w:w="9060" w:type="dxa"/>
        <w:shd w:val="clear" w:color="auto" w:fill="FFFFFF"/>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hemeFill="background1"/>
          </w:tcPr>
          <w:p w:rsidR="00A07D92" w:rsidRDefault="00495E63">
            <w:pPr>
              <w:spacing w:after="0" w:line="240" w:lineRule="auto"/>
              <w:rPr>
                <w:bCs w:val="0"/>
              </w:rPr>
            </w:pPr>
            <w:r>
              <w:rPr>
                <w:bCs w:val="0"/>
                <w:color w:val="76923C" w:themeColor="accent3" w:themeShade="BF"/>
              </w:rPr>
              <w:t>RIZIK: Potres</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bCs w:val="0"/>
              </w:rPr>
            </w:pPr>
            <w:r>
              <w:rPr>
                <w:color w:val="76923C" w:themeColor="accent3" w:themeShade="BF"/>
              </w:rPr>
              <w:t xml:space="preserve">Radna </w:t>
            </w:r>
            <w:r>
              <w:rPr>
                <w:color w:val="76923C" w:themeColor="accent3" w:themeShade="BF"/>
              </w:rPr>
              <w:t>skupina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color w:val="76923C" w:themeColor="accent3" w:themeShade="BF"/>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Grada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w:t>
            </w:r>
            <w:r>
              <w:rPr>
                <w:b w:val="0"/>
                <w:color w:val="76923C" w:themeColor="accent3" w:themeShade="BF"/>
              </w:rPr>
              <w:t xml:space="preserve"> izgradnju i zaštitu okoliša</w:t>
            </w:r>
          </w:p>
        </w:tc>
      </w:tr>
    </w:tbl>
    <w:p w:rsidR="00A07D92" w:rsidRDefault="00A07D92">
      <w:pPr>
        <w:rPr>
          <w:color w:val="auto"/>
          <w:szCs w:val="22"/>
        </w:rPr>
      </w:pPr>
    </w:p>
    <w:tbl>
      <w:tblPr>
        <w:tblStyle w:val="ivopisnatablicareetke6-isticanje38"/>
        <w:tblW w:w="9060" w:type="dxa"/>
        <w:shd w:val="clear" w:color="auto" w:fill="FFFFFF"/>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hemeFill="background1"/>
          </w:tcPr>
          <w:p w:rsidR="00A07D92" w:rsidRDefault="00495E63">
            <w:pPr>
              <w:spacing w:after="0" w:line="240" w:lineRule="auto"/>
              <w:rPr>
                <w:bCs w:val="0"/>
              </w:rPr>
            </w:pPr>
            <w:r>
              <w:rPr>
                <w:bCs w:val="0"/>
                <w:color w:val="76923C" w:themeColor="accent3" w:themeShade="BF"/>
              </w:rPr>
              <w:t>RIZIK: Ekstremne temperature</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bCs w:val="0"/>
              </w:rPr>
            </w:pPr>
            <w:r>
              <w:rPr>
                <w:color w:val="76923C" w:themeColor="accent3" w:themeShade="BF"/>
              </w:rPr>
              <w:t>Radna skupina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color w:val="76923C" w:themeColor="accent3" w:themeShade="BF"/>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Grada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w:t>
            </w:r>
            <w:r>
              <w:rPr>
                <w:b w:val="0"/>
                <w:bCs w:val="0"/>
                <w:color w:val="76923C" w:themeColor="accent3" w:themeShade="BF"/>
              </w:rPr>
              <w:t>zapovjednik JVP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A07D92">
      <w:pPr>
        <w:spacing w:before="0" w:after="200"/>
        <w:jc w:val="left"/>
        <w:rPr>
          <w:color w:val="FF0000"/>
          <w:szCs w:val="22"/>
        </w:rPr>
      </w:pPr>
    </w:p>
    <w:tbl>
      <w:tblPr>
        <w:tblStyle w:val="ivopisnatablicareetke6-isticanje38"/>
        <w:tblW w:w="9060" w:type="dxa"/>
        <w:shd w:val="clear" w:color="auto" w:fill="FFFFFF"/>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hemeFill="background1"/>
          </w:tcPr>
          <w:p w:rsidR="00A07D92" w:rsidRDefault="00495E63">
            <w:pPr>
              <w:spacing w:after="0" w:line="240" w:lineRule="auto"/>
              <w:rPr>
                <w:bCs w:val="0"/>
              </w:rPr>
            </w:pPr>
            <w:r>
              <w:rPr>
                <w:bCs w:val="0"/>
                <w:color w:val="76923C" w:themeColor="accent3" w:themeShade="BF"/>
              </w:rPr>
              <w:t>RIZIK:Epidemija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bCs w:val="0"/>
              </w:rPr>
            </w:pPr>
            <w:r>
              <w:rPr>
                <w:color w:val="76923C" w:themeColor="accent3" w:themeShade="BF"/>
              </w:rPr>
              <w:t>Radna skupina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color w:val="76923C" w:themeColor="accent3" w:themeShade="BF"/>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w:t>
            </w:r>
            <w:r>
              <w:rPr>
                <w:b w:val="0"/>
                <w:color w:val="76923C" w:themeColor="accent3" w:themeShade="BF"/>
              </w:rPr>
              <w:t>Grada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A07D92">
      <w:pPr>
        <w:spacing w:before="0" w:after="200"/>
        <w:jc w:val="left"/>
        <w:rPr>
          <w:color w:val="FF0000"/>
          <w:szCs w:val="22"/>
        </w:rPr>
      </w:pPr>
    </w:p>
    <w:tbl>
      <w:tblPr>
        <w:tblStyle w:val="ivopisnatablicareetke6-isticanje38"/>
        <w:tblW w:w="9060" w:type="dxa"/>
        <w:shd w:val="clear" w:color="auto" w:fill="FFFFFF"/>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hemeFill="background1"/>
          </w:tcPr>
          <w:p w:rsidR="00A07D92" w:rsidRDefault="00495E63">
            <w:pPr>
              <w:spacing w:after="0" w:line="240" w:lineRule="auto"/>
              <w:rPr>
                <w:bCs w:val="0"/>
              </w:rPr>
            </w:pPr>
            <w:r>
              <w:rPr>
                <w:bCs w:val="0"/>
                <w:color w:val="76923C" w:themeColor="accent3" w:themeShade="BF"/>
              </w:rPr>
              <w:t>RIZIK: Industrijske nesreće</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bCs w:val="0"/>
              </w:rPr>
            </w:pPr>
            <w:r>
              <w:rPr>
                <w:color w:val="76923C" w:themeColor="accent3" w:themeShade="BF"/>
              </w:rPr>
              <w:t>Radna skupina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color w:val="76923C" w:themeColor="accent3" w:themeShade="BF"/>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w:t>
            </w:r>
            <w:r>
              <w:rPr>
                <w:b w:val="0"/>
                <w:color w:val="76923C" w:themeColor="accent3" w:themeShade="BF"/>
              </w:rPr>
              <w:t xml:space="preserve"> predsjednik Povjerenstva za procjenu šteta od prirodnih nepogoda Grada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A07D92">
      <w:pPr>
        <w:spacing w:before="0" w:after="200"/>
        <w:jc w:val="left"/>
        <w:rPr>
          <w:color w:val="FF0000"/>
          <w:szCs w:val="22"/>
        </w:rPr>
      </w:pPr>
    </w:p>
    <w:tbl>
      <w:tblPr>
        <w:tblStyle w:val="ivopisnatablicareetke6-isticanje38"/>
        <w:tblW w:w="9060" w:type="dxa"/>
        <w:shd w:val="clear" w:color="auto" w:fill="FFFFFF"/>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hemeFill="background1"/>
          </w:tcPr>
          <w:p w:rsidR="00A07D92" w:rsidRDefault="00495E63">
            <w:pPr>
              <w:spacing w:after="0" w:line="240" w:lineRule="auto"/>
              <w:rPr>
                <w:bCs w:val="0"/>
              </w:rPr>
            </w:pPr>
            <w:r>
              <w:rPr>
                <w:bCs w:val="0"/>
                <w:color w:val="76923C" w:themeColor="accent3" w:themeShade="BF"/>
              </w:rPr>
              <w:t>RIZIK: Tehničko-tehnološke</w:t>
            </w:r>
            <w:r>
              <w:rPr>
                <w:bCs w:val="0"/>
                <w:color w:val="76923C" w:themeColor="accent3" w:themeShade="BF"/>
              </w:rPr>
              <w:t xml:space="preserve"> nesreće u prometu</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bCs w:val="0"/>
              </w:rPr>
            </w:pPr>
            <w:r>
              <w:rPr>
                <w:color w:val="76923C" w:themeColor="accent3" w:themeShade="BF"/>
              </w:rPr>
              <w:t>Radna skupina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color w:val="76923C" w:themeColor="accent3" w:themeShade="BF"/>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Grada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w:t>
            </w:r>
            <w:r>
              <w:rPr>
                <w:b w:val="0"/>
                <w:color w:val="76923C" w:themeColor="accent3" w:themeShade="BF"/>
              </w:rPr>
              <w:t>Radne skupine – savjetnik za izgradnju i zaštitu okoliša</w:t>
            </w:r>
          </w:p>
        </w:tc>
      </w:tr>
    </w:tbl>
    <w:p w:rsidR="00A07D92" w:rsidRDefault="00A07D92">
      <w:pPr>
        <w:spacing w:before="0" w:after="200"/>
        <w:jc w:val="left"/>
        <w:rPr>
          <w:color w:val="FF0000"/>
          <w:szCs w:val="22"/>
        </w:rPr>
      </w:pPr>
    </w:p>
    <w:tbl>
      <w:tblPr>
        <w:tblStyle w:val="ivopisnatablicareetke6-isticanje38"/>
        <w:tblW w:w="9060" w:type="dxa"/>
        <w:shd w:val="clear" w:color="auto" w:fill="FFFFFF"/>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hemeFill="background1"/>
          </w:tcPr>
          <w:p w:rsidR="00A07D92" w:rsidRDefault="00495E63">
            <w:pPr>
              <w:spacing w:after="0" w:line="240" w:lineRule="auto"/>
              <w:rPr>
                <w:bCs w:val="0"/>
              </w:rPr>
            </w:pPr>
            <w:r>
              <w:rPr>
                <w:bCs w:val="0"/>
                <w:color w:val="76923C" w:themeColor="accent3" w:themeShade="BF"/>
              </w:rPr>
              <w:t>RIZIK: Požar</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bCs w:val="0"/>
              </w:rPr>
            </w:pPr>
            <w:r>
              <w:rPr>
                <w:color w:val="76923C" w:themeColor="accent3" w:themeShade="BF"/>
              </w:rPr>
              <w:lastRenderedPageBreak/>
              <w:t>Radna skupina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color w:val="76923C" w:themeColor="accent3" w:themeShade="BF"/>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Grada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w:t>
            </w:r>
            <w:r>
              <w:rPr>
                <w:b w:val="0"/>
                <w:bCs w:val="0"/>
                <w:color w:val="76923C" w:themeColor="accent3" w:themeShade="BF"/>
              </w:rPr>
              <w:t>– zapovjednik JVP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A07D92">
      <w:pPr>
        <w:spacing w:before="0" w:after="200"/>
        <w:jc w:val="left"/>
        <w:rPr>
          <w:color w:val="FF0000"/>
          <w:szCs w:val="22"/>
        </w:rPr>
      </w:pPr>
    </w:p>
    <w:tbl>
      <w:tblPr>
        <w:tblStyle w:val="ivopisnatablicareetke6-isticanje38"/>
        <w:tblW w:w="9060" w:type="dxa"/>
        <w:shd w:val="clear" w:color="auto" w:fill="FFFFFF"/>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hemeFill="background1"/>
          </w:tcPr>
          <w:p w:rsidR="00A07D92" w:rsidRDefault="00495E63">
            <w:pPr>
              <w:spacing w:after="0" w:line="240" w:lineRule="auto"/>
              <w:rPr>
                <w:bCs w:val="0"/>
              </w:rPr>
            </w:pPr>
            <w:r>
              <w:rPr>
                <w:bCs w:val="0"/>
                <w:color w:val="76923C" w:themeColor="accent3" w:themeShade="BF"/>
              </w:rPr>
              <w:t>RIZIK: Vjetar</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bCs w:val="0"/>
              </w:rPr>
            </w:pPr>
            <w:r>
              <w:rPr>
                <w:color w:val="76923C" w:themeColor="accent3" w:themeShade="BF"/>
              </w:rPr>
              <w:t>Radna skupina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color w:val="76923C" w:themeColor="accent3" w:themeShade="BF"/>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w:t>
            </w:r>
            <w:r>
              <w:rPr>
                <w:b w:val="0"/>
                <w:color w:val="76923C" w:themeColor="accent3" w:themeShade="BF"/>
              </w:rPr>
              <w:t>ada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A07D92">
      <w:pPr>
        <w:spacing w:before="0" w:after="200"/>
        <w:jc w:val="left"/>
        <w:rPr>
          <w:color w:val="FF0000"/>
          <w:szCs w:val="22"/>
        </w:rPr>
      </w:pPr>
    </w:p>
    <w:tbl>
      <w:tblPr>
        <w:tblStyle w:val="ivopisnatablicareetke6-isticanje38"/>
        <w:tblW w:w="9060" w:type="dxa"/>
        <w:shd w:val="clear" w:color="auto" w:fill="FFFFFF"/>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hemeFill="background1"/>
          </w:tcPr>
          <w:p w:rsidR="00A07D92" w:rsidRDefault="00495E63">
            <w:pPr>
              <w:spacing w:after="0" w:line="240" w:lineRule="auto"/>
              <w:rPr>
                <w:bCs w:val="0"/>
              </w:rPr>
            </w:pPr>
            <w:r>
              <w:rPr>
                <w:bCs w:val="0"/>
                <w:color w:val="76923C" w:themeColor="accent3" w:themeShade="BF"/>
              </w:rPr>
              <w:t>RIZIK: Poplava – plimni val</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bCs w:val="0"/>
              </w:rPr>
            </w:pPr>
            <w:r>
              <w:rPr>
                <w:color w:val="76923C" w:themeColor="accent3" w:themeShade="BF"/>
              </w:rPr>
              <w:t>Radna skupina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color w:val="76923C" w:themeColor="accent3" w:themeShade="BF"/>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w:t>
            </w:r>
            <w:r>
              <w:rPr>
                <w:b w:val="0"/>
                <w:color w:val="76923C" w:themeColor="accent3" w:themeShade="BF"/>
              </w:rPr>
              <w:t>predsjednik Povjerenstva za procjenu šteta od prirodnih nepogoda Grada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 savjetnik za izgradnju i zaštitu okoliša</w:t>
            </w:r>
          </w:p>
        </w:tc>
      </w:tr>
    </w:tbl>
    <w:p w:rsidR="00A07D92" w:rsidRDefault="00A07D92">
      <w:pPr>
        <w:spacing w:before="0" w:after="200"/>
        <w:jc w:val="left"/>
        <w:rPr>
          <w:color w:val="FF0000"/>
          <w:szCs w:val="22"/>
        </w:rPr>
      </w:pPr>
    </w:p>
    <w:tbl>
      <w:tblPr>
        <w:tblStyle w:val="ivopisnatablicareetke6-isticanje38"/>
        <w:tblW w:w="9060" w:type="dxa"/>
        <w:shd w:val="clear" w:color="auto" w:fill="FFFFFF"/>
        <w:tblLook w:val="04A0" w:firstRow="1" w:lastRow="0" w:firstColumn="1" w:lastColumn="0" w:noHBand="0" w:noVBand="1"/>
      </w:tblPr>
      <w:tblGrid>
        <w:gridCol w:w="9060"/>
      </w:tblGrid>
      <w:tr w:rsidR="00A07D92" w:rsidTr="00A07D92">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hemeFill="background1"/>
          </w:tcPr>
          <w:p w:rsidR="00A07D92" w:rsidRDefault="00495E63">
            <w:pPr>
              <w:spacing w:after="0" w:line="240" w:lineRule="auto"/>
              <w:rPr>
                <w:bCs w:val="0"/>
              </w:rPr>
            </w:pPr>
            <w:r>
              <w:rPr>
                <w:bCs w:val="0"/>
                <w:color w:val="76923C" w:themeColor="accent3" w:themeShade="BF"/>
              </w:rPr>
              <w:t>RIZIK: Degradacija tla - kl</w:t>
            </w:r>
            <w:r>
              <w:rPr>
                <w:bCs w:val="0"/>
                <w:color w:val="76923C" w:themeColor="accent3" w:themeShade="BF"/>
              </w:rPr>
              <w:t>izišta</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bCs w:val="0"/>
              </w:rPr>
            </w:pPr>
            <w:r>
              <w:rPr>
                <w:color w:val="76923C" w:themeColor="accent3" w:themeShade="BF"/>
              </w:rPr>
              <w:t>Radna skupina</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color w:val="76923C" w:themeColor="accent3" w:themeShade="BF"/>
              </w:rPr>
            </w:pPr>
            <w:proofErr w:type="spellStart"/>
            <w:r>
              <w:rPr>
                <w:b w:val="0"/>
                <w:color w:val="76923C" w:themeColor="accent3" w:themeShade="BF"/>
              </w:rPr>
              <w:t>Andrea</w:t>
            </w:r>
            <w:proofErr w:type="spellEnd"/>
            <w:r>
              <w:rPr>
                <w:b w:val="0"/>
                <w:color w:val="76923C" w:themeColor="accent3" w:themeShade="BF"/>
              </w:rPr>
              <w:t xml:space="preserve"> </w:t>
            </w:r>
            <w:proofErr w:type="spellStart"/>
            <w:r>
              <w:rPr>
                <w:b w:val="0"/>
                <w:color w:val="76923C" w:themeColor="accent3" w:themeShade="BF"/>
              </w:rPr>
              <w:t>Molnar</w:t>
            </w:r>
            <w:proofErr w:type="spellEnd"/>
            <w:r>
              <w:rPr>
                <w:b w:val="0"/>
                <w:color w:val="76923C" w:themeColor="accent3" w:themeShade="BF"/>
              </w:rPr>
              <w:t xml:space="preserve"> Živković– voditelj Radne skupine – predsjednik Povjerenstva za procjenu šteta od prirodnih nepogoda Grada Mali Lošinj</w:t>
            </w:r>
          </w:p>
        </w:tc>
      </w:tr>
      <w:tr w:rsidR="00A07D92" w:rsidTr="00A07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bCs w:val="0"/>
                <w:color w:val="76923C" w:themeColor="accent3" w:themeShade="BF"/>
              </w:rPr>
              <w:t xml:space="preserve">Mirko </w:t>
            </w:r>
            <w:proofErr w:type="spellStart"/>
            <w:r>
              <w:rPr>
                <w:b w:val="0"/>
                <w:bCs w:val="0"/>
                <w:color w:val="76923C" w:themeColor="accent3" w:themeShade="BF"/>
              </w:rPr>
              <w:t>Kajkara</w:t>
            </w:r>
            <w:proofErr w:type="spellEnd"/>
            <w:r>
              <w:rPr>
                <w:b w:val="0"/>
                <w:bCs w:val="0"/>
                <w:color w:val="76923C" w:themeColor="accent3" w:themeShade="BF"/>
              </w:rPr>
              <w:t xml:space="preserve"> – član Radne skupine – zapovjednik JVP Mali Lošinj</w:t>
            </w:r>
          </w:p>
        </w:tc>
      </w:tr>
      <w:tr w:rsidR="00A07D92" w:rsidTr="00A07D92">
        <w:tc>
          <w:tcPr>
            <w:cnfStyle w:val="001000000000" w:firstRow="0" w:lastRow="0" w:firstColumn="1" w:lastColumn="0" w:oddVBand="0" w:evenVBand="0" w:oddHBand="0" w:evenHBand="0" w:firstRowFirstColumn="0" w:firstRowLastColumn="0" w:lastRowFirstColumn="0" w:lastRowLastColumn="0"/>
            <w:tcW w:w="9060" w:type="dxa"/>
            <w:tcBorders>
              <w:top w:val="single" w:sz="4" w:space="0" w:color="54883D"/>
              <w:left w:val="single" w:sz="4" w:space="0" w:color="54883D"/>
              <w:bottom w:val="single" w:sz="4" w:space="0" w:color="54883D"/>
              <w:right w:val="single" w:sz="4" w:space="0" w:color="54883D"/>
            </w:tcBorders>
            <w:shd w:val="clear" w:color="auto" w:fill="FFFFFF"/>
          </w:tcPr>
          <w:p w:rsidR="00A07D92" w:rsidRDefault="00495E63">
            <w:pPr>
              <w:spacing w:after="0" w:line="240" w:lineRule="auto"/>
              <w:rPr>
                <w:b w:val="0"/>
              </w:rPr>
            </w:pPr>
            <w:r>
              <w:rPr>
                <w:b w:val="0"/>
                <w:color w:val="76923C" w:themeColor="accent3" w:themeShade="BF"/>
              </w:rPr>
              <w:t xml:space="preserve">Matija </w:t>
            </w:r>
            <w:proofErr w:type="spellStart"/>
            <w:r>
              <w:rPr>
                <w:b w:val="0"/>
                <w:color w:val="76923C" w:themeColor="accent3" w:themeShade="BF"/>
              </w:rPr>
              <w:t>Basta</w:t>
            </w:r>
            <w:proofErr w:type="spellEnd"/>
            <w:r>
              <w:rPr>
                <w:b w:val="0"/>
                <w:color w:val="76923C" w:themeColor="accent3" w:themeShade="BF"/>
              </w:rPr>
              <w:t xml:space="preserve"> – član Radne skupine </w:t>
            </w:r>
            <w:r>
              <w:rPr>
                <w:b w:val="0"/>
                <w:color w:val="76923C" w:themeColor="accent3" w:themeShade="BF"/>
              </w:rPr>
              <w:t>– savjetnik za izgradnju i zaštitu okoliša</w:t>
            </w:r>
          </w:p>
        </w:tc>
      </w:tr>
    </w:tbl>
    <w:p w:rsidR="00A07D92" w:rsidRDefault="00495E63">
      <w:pPr>
        <w:spacing w:before="0" w:after="200"/>
        <w:jc w:val="left"/>
        <w:rPr>
          <w:color w:val="auto"/>
          <w:szCs w:val="22"/>
        </w:rPr>
      </w:pPr>
      <w:r>
        <w:br w:type="page"/>
      </w:r>
    </w:p>
    <w:p w:rsidR="00A07D92" w:rsidRDefault="00495E63">
      <w:pPr>
        <w:pStyle w:val="Naslov1"/>
        <w:numPr>
          <w:ilvl w:val="0"/>
          <w:numId w:val="2"/>
        </w:numPr>
      </w:pPr>
      <w:bookmarkStart w:id="489" w:name="_Toc136522917"/>
      <w:bookmarkStart w:id="490" w:name="_Toc9596679"/>
      <w:r>
        <w:lastRenderedPageBreak/>
        <w:t>PRILOZI</w:t>
      </w:r>
      <w:bookmarkEnd w:id="489"/>
      <w:bookmarkEnd w:id="490"/>
    </w:p>
    <w:p w:rsidR="00A07D92" w:rsidRDefault="00495E63">
      <w:pPr>
        <w:pStyle w:val="Naslov2"/>
      </w:pPr>
      <w:bookmarkStart w:id="491" w:name="_Toc9596684"/>
      <w:bookmarkStart w:id="492" w:name="_Toc136522918"/>
      <w:r>
        <w:t xml:space="preserve">11.1 PRILOG 1. Odluka o izradi Procjene rizika od velikih nesreća </w:t>
      </w:r>
      <w:bookmarkEnd w:id="491"/>
      <w:r>
        <w:t>za Grad Mali Lošinj</w:t>
      </w:r>
      <w:bookmarkEnd w:id="492"/>
    </w:p>
    <w:p w:rsidR="00A07D92" w:rsidRDefault="00495E63">
      <w:pPr>
        <w:jc w:val="center"/>
      </w:pPr>
      <w:r>
        <w:rPr>
          <w:noProof/>
          <w:lang w:eastAsia="hr-HR"/>
        </w:rPr>
        <w:drawing>
          <wp:inline distT="0" distB="0" distL="0" distR="0">
            <wp:extent cx="5349875" cy="6188075"/>
            <wp:effectExtent l="0" t="0" r="0" b="0"/>
            <wp:docPr id="195" name="Slik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lika32"/>
                    <pic:cNvPicPr>
                      <a:picLocks noChangeAspect="1" noChangeArrowheads="1"/>
                    </pic:cNvPicPr>
                  </pic:nvPicPr>
                  <pic:blipFill>
                    <a:blip r:embed="rId144"/>
                    <a:stretch>
                      <a:fillRect/>
                    </a:stretch>
                  </pic:blipFill>
                  <pic:spPr bwMode="auto">
                    <a:xfrm>
                      <a:off x="0" y="0"/>
                      <a:ext cx="5349875" cy="6188075"/>
                    </a:xfrm>
                    <a:prstGeom prst="rect">
                      <a:avLst/>
                    </a:prstGeom>
                  </pic:spPr>
                </pic:pic>
              </a:graphicData>
            </a:graphic>
          </wp:inline>
        </w:drawing>
      </w:r>
    </w:p>
    <w:p w:rsidR="00A07D92" w:rsidRDefault="00495E63">
      <w:pPr>
        <w:jc w:val="center"/>
      </w:pPr>
      <w:r>
        <w:rPr>
          <w:noProof/>
          <w:lang w:eastAsia="hr-HR"/>
        </w:rPr>
        <w:lastRenderedPageBreak/>
        <w:drawing>
          <wp:inline distT="0" distB="0" distL="0" distR="0">
            <wp:extent cx="5387975" cy="6287135"/>
            <wp:effectExtent l="0" t="0" r="0" b="0"/>
            <wp:docPr id="196" name="Slika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Slika33"/>
                    <pic:cNvPicPr>
                      <a:picLocks noChangeAspect="1" noChangeArrowheads="1"/>
                    </pic:cNvPicPr>
                  </pic:nvPicPr>
                  <pic:blipFill>
                    <a:blip r:embed="rId145"/>
                    <a:stretch>
                      <a:fillRect/>
                    </a:stretch>
                  </pic:blipFill>
                  <pic:spPr bwMode="auto">
                    <a:xfrm>
                      <a:off x="0" y="0"/>
                      <a:ext cx="5387975" cy="6287135"/>
                    </a:xfrm>
                    <a:prstGeom prst="rect">
                      <a:avLst/>
                    </a:prstGeom>
                  </pic:spPr>
                </pic:pic>
              </a:graphicData>
            </a:graphic>
          </wp:inline>
        </w:drawing>
      </w:r>
    </w:p>
    <w:p w:rsidR="00A07D92" w:rsidRDefault="00495E63">
      <w:pPr>
        <w:pStyle w:val="Naslov2"/>
      </w:pPr>
      <w:bookmarkStart w:id="493" w:name="_Toc136522919"/>
      <w:bookmarkStart w:id="494" w:name="_Toc9596685"/>
      <w:r>
        <w:lastRenderedPageBreak/>
        <w:t>11.2 PRILOG 2. Ovlaštenje</w:t>
      </w:r>
      <w:bookmarkEnd w:id="493"/>
      <w:bookmarkEnd w:id="494"/>
    </w:p>
    <w:p w:rsidR="00A07D92" w:rsidRDefault="00495E63">
      <w:pPr>
        <w:jc w:val="center"/>
      </w:pPr>
      <w:r>
        <w:rPr>
          <w:noProof/>
          <w:lang w:eastAsia="hr-HR"/>
        </w:rPr>
        <w:drawing>
          <wp:inline distT="0" distB="0" distL="0" distR="0">
            <wp:extent cx="3939540" cy="5471795"/>
            <wp:effectExtent l="0" t="0" r="0" b="0"/>
            <wp:docPr id="19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36"/>
                    <pic:cNvPicPr>
                      <a:picLocks noChangeAspect="1" noChangeArrowheads="1"/>
                    </pic:cNvPicPr>
                  </pic:nvPicPr>
                  <pic:blipFill>
                    <a:blip r:embed="rId146"/>
                    <a:stretch>
                      <a:fillRect/>
                    </a:stretch>
                  </pic:blipFill>
                  <pic:spPr bwMode="auto">
                    <a:xfrm>
                      <a:off x="0" y="0"/>
                      <a:ext cx="3939540" cy="5471795"/>
                    </a:xfrm>
                    <a:prstGeom prst="rect">
                      <a:avLst/>
                    </a:prstGeom>
                  </pic:spPr>
                </pic:pic>
              </a:graphicData>
            </a:graphic>
          </wp:inline>
        </w:drawing>
      </w:r>
    </w:p>
    <w:p w:rsidR="00A07D92" w:rsidRDefault="00495E63">
      <w:pPr>
        <w:jc w:val="center"/>
      </w:pPr>
      <w:r>
        <w:rPr>
          <w:noProof/>
          <w:lang w:eastAsia="hr-HR"/>
        </w:rPr>
        <w:lastRenderedPageBreak/>
        <w:drawing>
          <wp:inline distT="0" distB="0" distL="0" distR="0">
            <wp:extent cx="3787775" cy="5182235"/>
            <wp:effectExtent l="0" t="0" r="0" b="0"/>
            <wp:docPr id="19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53"/>
                    <pic:cNvPicPr>
                      <a:picLocks noChangeAspect="1" noChangeArrowheads="1"/>
                    </pic:cNvPicPr>
                  </pic:nvPicPr>
                  <pic:blipFill>
                    <a:blip r:embed="rId147"/>
                    <a:stretch>
                      <a:fillRect/>
                    </a:stretch>
                  </pic:blipFill>
                  <pic:spPr bwMode="auto">
                    <a:xfrm>
                      <a:off x="0" y="0"/>
                      <a:ext cx="3787775" cy="5182235"/>
                    </a:xfrm>
                    <a:prstGeom prst="rect">
                      <a:avLst/>
                    </a:prstGeom>
                  </pic:spPr>
                </pic:pic>
              </a:graphicData>
            </a:graphic>
          </wp:inline>
        </w:drawing>
      </w:r>
    </w:p>
    <w:p w:rsidR="00A07D92" w:rsidRDefault="00A07D92">
      <w:pPr>
        <w:jc w:val="center"/>
      </w:pPr>
    </w:p>
    <w:p w:rsidR="00A07D92" w:rsidRDefault="00A07D92">
      <w:pPr>
        <w:jc w:val="center"/>
      </w:pPr>
    </w:p>
    <w:p w:rsidR="00A07D92" w:rsidRDefault="00A07D92">
      <w:pPr>
        <w:jc w:val="center"/>
      </w:pPr>
    </w:p>
    <w:p w:rsidR="00A07D92" w:rsidRDefault="00A07D92">
      <w:pPr>
        <w:jc w:val="center"/>
      </w:pPr>
    </w:p>
    <w:p w:rsidR="00A07D92" w:rsidRDefault="00A07D92">
      <w:pPr>
        <w:jc w:val="center"/>
      </w:pPr>
    </w:p>
    <w:p w:rsidR="00A07D92" w:rsidRDefault="00A07D92">
      <w:pPr>
        <w:jc w:val="center"/>
      </w:pPr>
    </w:p>
    <w:p w:rsidR="00A07D92" w:rsidRDefault="00A07D92">
      <w:pPr>
        <w:jc w:val="center"/>
      </w:pPr>
    </w:p>
    <w:p w:rsidR="00A07D92" w:rsidRDefault="00A07D92">
      <w:pPr>
        <w:jc w:val="center"/>
      </w:pPr>
    </w:p>
    <w:p w:rsidR="00A07D92" w:rsidRDefault="00A07D92">
      <w:pPr>
        <w:jc w:val="center"/>
      </w:pPr>
    </w:p>
    <w:p w:rsidR="00A07D92" w:rsidRDefault="00495E63">
      <w:pPr>
        <w:pStyle w:val="Naslov2"/>
      </w:pPr>
      <w:bookmarkStart w:id="495" w:name="_Toc136522920"/>
      <w:r>
        <w:t xml:space="preserve">11.3 PRILOG 3. Karta prijetnji - pregledna karta opasnosti od poplava po </w:t>
      </w:r>
      <w:r>
        <w:t>vjerojatnosti pojavljivanja (Plan upravljanja vodnim područjima 2022.-2027., Hrvatske vode, prosinac, 2019.)</w:t>
      </w:r>
      <w:bookmarkEnd w:id="495"/>
    </w:p>
    <w:p w:rsidR="00A07D92" w:rsidRDefault="00A07D92">
      <w:pPr>
        <w:rPr>
          <w:lang w:bidi="en-US"/>
        </w:rPr>
        <w:sectPr w:rsidR="00A07D92">
          <w:pgSz w:w="11906" w:h="16838"/>
          <w:pgMar w:top="1418" w:right="1418" w:bottom="1418" w:left="1418" w:header="567" w:footer="0" w:gutter="0"/>
          <w:cols w:space="720"/>
          <w:formProt w:val="0"/>
          <w:titlePg/>
          <w:docGrid w:linePitch="360" w:charSpace="4096"/>
        </w:sectPr>
      </w:pPr>
    </w:p>
    <w:p w:rsidR="00A07D92" w:rsidRDefault="00A07D92">
      <w:pPr>
        <w:rPr>
          <w:lang w:bidi="en-US"/>
        </w:rPr>
        <w:sectPr w:rsidR="00A07D92">
          <w:headerReference w:type="default" r:id="rId152"/>
          <w:footerReference w:type="default" r:id="rId153"/>
          <w:pgSz w:w="16838" w:h="11906" w:orient="landscape"/>
          <w:pgMar w:top="1418" w:right="1418" w:bottom="1418" w:left="1418" w:header="567" w:footer="0" w:gutter="0"/>
          <w:cols w:space="720"/>
          <w:formProt w:val="0"/>
          <w:docGrid w:linePitch="360" w:charSpace="4096"/>
        </w:sectPr>
      </w:pPr>
    </w:p>
    <w:p w:rsidR="00A07D92" w:rsidRDefault="00495E63">
      <w:pPr>
        <w:pStyle w:val="Naslov2"/>
      </w:pPr>
      <w:r>
        <w:rPr>
          <w:noProof/>
          <w:lang w:eastAsia="hr-HR" w:bidi="ar-SA"/>
        </w:rPr>
        <w:lastRenderedPageBreak/>
        <w:drawing>
          <wp:inline distT="0" distB="0" distL="0" distR="0">
            <wp:extent cx="7712075" cy="5159375"/>
            <wp:effectExtent l="0" t="0" r="0" b="0"/>
            <wp:docPr id="202" name="Slika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lika34"/>
                    <pic:cNvPicPr>
                      <a:picLocks noChangeAspect="1" noChangeArrowheads="1"/>
                    </pic:cNvPicPr>
                  </pic:nvPicPr>
                  <pic:blipFill>
                    <a:blip r:embed="rId154"/>
                    <a:stretch>
                      <a:fillRect/>
                    </a:stretch>
                  </pic:blipFill>
                  <pic:spPr bwMode="auto">
                    <a:xfrm>
                      <a:off x="0" y="0"/>
                      <a:ext cx="7712075" cy="5159375"/>
                    </a:xfrm>
                    <a:prstGeom prst="rect">
                      <a:avLst/>
                    </a:prstGeom>
                  </pic:spPr>
                </pic:pic>
              </a:graphicData>
            </a:graphic>
          </wp:inline>
        </w:drawing>
      </w:r>
      <w:bookmarkStart w:id="496" w:name="_Toc136522921"/>
      <w:r>
        <w:t>11.4 PRILOG 4. Karta prijetnji - pregledna karta rizika od poplava za malu vjerojatnosti pojavlji</w:t>
      </w:r>
      <w:r>
        <w:t>vanja (Plan upravljanja vodnim područjima 2022.-2027., Hrvatske vode, prosinac, 2019.)</w:t>
      </w:r>
      <w:bookmarkEnd w:id="496"/>
    </w:p>
    <w:p w:rsidR="00A07D92" w:rsidRDefault="00A07D92">
      <w:pPr>
        <w:spacing w:before="0" w:after="200"/>
        <w:jc w:val="left"/>
        <w:sectPr w:rsidR="00A07D92">
          <w:headerReference w:type="default" r:id="rId155"/>
          <w:footerReference w:type="default" r:id="rId156"/>
          <w:pgSz w:w="11906" w:h="16838"/>
          <w:pgMar w:top="1418" w:right="1418" w:bottom="1418" w:left="1418" w:header="567" w:footer="0" w:gutter="0"/>
          <w:cols w:space="720"/>
          <w:formProt w:val="0"/>
          <w:docGrid w:linePitch="360" w:charSpace="4096"/>
        </w:sectPr>
      </w:pPr>
    </w:p>
    <w:p w:rsidR="00A07D92" w:rsidRDefault="00495E63">
      <w:pPr>
        <w:pStyle w:val="Naslov2"/>
        <w:rPr>
          <w:iCs/>
        </w:rPr>
      </w:pPr>
      <w:r>
        <w:rPr>
          <w:noProof/>
          <w:lang w:eastAsia="hr-HR" w:bidi="ar-SA"/>
        </w:rPr>
        <w:lastRenderedPageBreak/>
        <w:drawing>
          <wp:inline distT="0" distB="0" distL="0" distR="0">
            <wp:extent cx="4885055" cy="6630035"/>
            <wp:effectExtent l="0" t="0" r="0" b="0"/>
            <wp:docPr id="203" name="Slika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lika35"/>
                    <pic:cNvPicPr>
                      <a:picLocks noChangeAspect="1" noChangeArrowheads="1"/>
                    </pic:cNvPicPr>
                  </pic:nvPicPr>
                  <pic:blipFill>
                    <a:blip r:embed="rId157"/>
                    <a:stretch>
                      <a:fillRect/>
                    </a:stretch>
                  </pic:blipFill>
                  <pic:spPr bwMode="auto">
                    <a:xfrm>
                      <a:off x="0" y="0"/>
                      <a:ext cx="4885055" cy="6630035"/>
                    </a:xfrm>
                    <a:prstGeom prst="rect">
                      <a:avLst/>
                    </a:prstGeom>
                  </pic:spPr>
                </pic:pic>
              </a:graphicData>
            </a:graphic>
          </wp:inline>
        </w:drawing>
      </w:r>
      <w:bookmarkStart w:id="497" w:name="_Toc136522922"/>
      <w:r>
        <w:t xml:space="preserve">11.5 PRILOG 5. </w:t>
      </w:r>
      <w:r>
        <w:rPr>
          <w:iCs/>
        </w:rPr>
        <w:t>Karta prijetnji – Karta prijetnji – tehničko – tehnološke nesreće na području Grada Malog Lošinja</w:t>
      </w:r>
      <w:bookmarkEnd w:id="497"/>
    </w:p>
    <w:p w:rsidR="00A07D92" w:rsidRDefault="00A07D92">
      <w:pPr>
        <w:rPr>
          <w:lang w:bidi="en-US"/>
        </w:rPr>
        <w:sectPr w:rsidR="00A07D92">
          <w:headerReference w:type="default" r:id="rId158"/>
          <w:footerReference w:type="default" r:id="rId159"/>
          <w:pgSz w:w="11906" w:h="16838"/>
          <w:pgMar w:top="1418" w:right="1418" w:bottom="1418" w:left="1418" w:header="567" w:footer="0" w:gutter="0"/>
          <w:cols w:space="720"/>
          <w:formProt w:val="0"/>
          <w:docGrid w:linePitch="360" w:charSpace="4096"/>
        </w:sectPr>
      </w:pPr>
    </w:p>
    <w:p w:rsidR="00A07D92" w:rsidRDefault="00495E63">
      <w:r>
        <w:rPr>
          <w:noProof/>
          <w:lang w:eastAsia="hr-HR"/>
        </w:rPr>
        <w:lastRenderedPageBreak/>
        <w:drawing>
          <wp:inline distT="0" distB="0" distL="0" distR="0">
            <wp:extent cx="6104255" cy="4535170"/>
            <wp:effectExtent l="0" t="0" r="0" b="0"/>
            <wp:docPr id="204" name="Slika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lika36"/>
                    <pic:cNvPicPr>
                      <a:picLocks noChangeAspect="1" noChangeArrowheads="1"/>
                    </pic:cNvPicPr>
                  </pic:nvPicPr>
                  <pic:blipFill>
                    <a:blip r:embed="rId160"/>
                    <a:stretch>
                      <a:fillRect/>
                    </a:stretch>
                  </pic:blipFill>
                  <pic:spPr bwMode="auto">
                    <a:xfrm>
                      <a:off x="0" y="0"/>
                      <a:ext cx="6104255" cy="4535170"/>
                    </a:xfrm>
                    <a:prstGeom prst="rect">
                      <a:avLst/>
                    </a:prstGeom>
                  </pic:spPr>
                </pic:pic>
              </a:graphicData>
            </a:graphic>
          </wp:inline>
        </w:drawing>
      </w:r>
    </w:p>
    <w:sectPr w:rsidR="00A07D92">
      <w:headerReference w:type="default" r:id="rId161"/>
      <w:footerReference w:type="default" r:id="rId162"/>
      <w:headerReference w:type="first" r:id="rId163"/>
      <w:footerReference w:type="first" r:id="rId164"/>
      <w:pgSz w:w="11906" w:h="16838"/>
      <w:pgMar w:top="1418" w:right="1418" w:bottom="1418" w:left="1418" w:header="567" w:footer="0" w:gutter="0"/>
      <w:cols w:space="720"/>
      <w:formProt w:val="0"/>
      <w:titlePg/>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5E63" w:rsidRDefault="00495E63">
      <w:pPr>
        <w:spacing w:before="0" w:after="0" w:line="240" w:lineRule="auto"/>
      </w:pPr>
      <w:r>
        <w:separator/>
      </w:r>
    </w:p>
  </w:endnote>
  <w:endnote w:type="continuationSeparator" w:id="0">
    <w:p w:rsidR="00495E63" w:rsidRDefault="00495E6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dviso OTF Std">
    <w:altName w:val="Times New Roman"/>
    <w:charset w:val="EE"/>
    <w:family w:val="roman"/>
    <w:pitch w:val="variable"/>
  </w:font>
  <w:font w:name="TimesNewRomanPSMT">
    <w:panose1 w:val="00000000000000000000"/>
    <w:charset w:val="00"/>
    <w:family w:val="roman"/>
    <w:notTrueType/>
    <w:pitch w:val="default"/>
  </w:font>
  <w:font w:name="Liberation Sans">
    <w:altName w:val="Arial"/>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CRO_Korinna">
    <w:charset w:val="EE"/>
    <w:family w:val="roman"/>
    <w:pitch w:val="variable"/>
  </w:font>
  <w:font w:name="Aldine401 BT">
    <w:charset w:val="EE"/>
    <w:family w:val="roman"/>
    <w:pitch w:val="variable"/>
  </w:font>
  <w:font w:name="ArialNarrow">
    <w:panose1 w:val="00000000000000000000"/>
    <w:charset w:val="00"/>
    <w:family w:val="roman"/>
    <w:notTrueType/>
    <w:pitch w:val="default"/>
  </w:font>
  <w:font w:name="TimesNew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A07D92">
    <w:pPr>
      <w:pStyle w:val="Podnoj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A07D92">
    <w:pPr>
      <w:pStyle w:val="Podnoj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A07D92">
    <w:pPr>
      <w:pStyle w:val="Podnoje"/>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A07D92">
    <w:pPr>
      <w:pStyle w:val="Podnoj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A07D92">
    <w:pPr>
      <w:pStyle w:val="Podnoj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A07D92">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5E63" w:rsidRDefault="00495E63">
      <w:r>
        <w:separator/>
      </w:r>
    </w:p>
  </w:footnote>
  <w:footnote w:type="continuationSeparator" w:id="0">
    <w:p w:rsidR="00495E63" w:rsidRDefault="00495E63">
      <w:r>
        <w:continuationSeparator/>
      </w:r>
    </w:p>
  </w:footnote>
  <w:footnote w:id="1">
    <w:p w:rsidR="00A07D92" w:rsidRDefault="00495E63">
      <w:pPr>
        <w:pStyle w:val="Tekstfusnote"/>
      </w:pPr>
      <w:r>
        <w:rPr>
          <w:rStyle w:val="Znakovifusnote"/>
        </w:rPr>
        <w:footnoteRef/>
      </w:r>
      <w:r>
        <w:t xml:space="preserve"> Izvor: </w:t>
      </w:r>
      <w:bookmarkStart w:id="15" w:name="_Hlk135726956"/>
      <w:r>
        <w:t>Plan ukupnog razvoja Grada Malog Lošinja 2013.- 2020., siječanj 2013.</w:t>
      </w:r>
      <w:bookmarkEnd w:id="15"/>
    </w:p>
  </w:footnote>
  <w:footnote w:id="2">
    <w:p w:rsidR="00A07D92" w:rsidRDefault="00495E63">
      <w:pPr>
        <w:pStyle w:val="Tekstfusnote"/>
      </w:pPr>
      <w:r>
        <w:rPr>
          <w:rStyle w:val="Znakovifusnote"/>
        </w:rPr>
        <w:footnoteRef/>
      </w:r>
      <w:r>
        <w:t xml:space="preserve"> Izvor: </w:t>
      </w:r>
      <w:bookmarkStart w:id="28" w:name="_Hlk135127472"/>
      <w:r>
        <w:t>Plan ukupnog razvoja Grada Malog Lošinja 2013.- 2020., siječanj 2013.</w:t>
      </w:r>
      <w:bookmarkEnd w:id="28"/>
    </w:p>
  </w:footnote>
  <w:footnote w:id="3">
    <w:p w:rsidR="00A07D92" w:rsidRDefault="00495E63">
      <w:pPr>
        <w:pStyle w:val="Tekstfusnote"/>
      </w:pPr>
      <w:r>
        <w:rPr>
          <w:rStyle w:val="Znakovifusnote"/>
        </w:rPr>
        <w:footnoteRef/>
      </w:r>
      <w:r>
        <w:t>Izvor: DZS, Popis stanovništva 2021.</w:t>
      </w:r>
    </w:p>
  </w:footnote>
  <w:footnote w:id="4">
    <w:p w:rsidR="00A07D92" w:rsidRDefault="00495E63">
      <w:pPr>
        <w:pStyle w:val="Tekstfusnote"/>
      </w:pPr>
      <w:r>
        <w:rPr>
          <w:rStyle w:val="Znakovifusnote"/>
        </w:rPr>
        <w:footnoteRef/>
      </w:r>
      <w:r>
        <w:t xml:space="preserve"> Izvor: Plan ukupnog razvoja</w:t>
      </w:r>
      <w:r>
        <w:t xml:space="preserve"> Grada Malog Lošinja 2013.- 2020., siječanj 2013.</w:t>
      </w:r>
    </w:p>
  </w:footnote>
  <w:footnote w:id="5">
    <w:p w:rsidR="00A07D92" w:rsidRDefault="00495E63">
      <w:pPr>
        <w:pStyle w:val="Tekstfusnote"/>
      </w:pPr>
      <w:r>
        <w:rPr>
          <w:rStyle w:val="Znakovifusnote"/>
        </w:rPr>
        <w:footnoteRef/>
      </w:r>
      <w:r>
        <w:t xml:space="preserve"> Izvor: Procjena ugroženosti od požara i tehnoloških eksplozija Grada Malog Lošinja, prosinac 2020.</w:t>
      </w:r>
    </w:p>
  </w:footnote>
  <w:footnote w:id="6">
    <w:p w:rsidR="00A07D92" w:rsidRDefault="00495E63">
      <w:pPr>
        <w:pStyle w:val="Tekstfusnote"/>
      </w:pPr>
      <w:r>
        <w:rPr>
          <w:rStyle w:val="Znakovifusnote"/>
        </w:rPr>
        <w:footnoteRef/>
      </w:r>
      <w:r>
        <w:t xml:space="preserve"> Izvor: Plan ukupnog razvoja Grada Malog Lošinja 2013.- 2020., siječanj 2013.</w:t>
      </w:r>
    </w:p>
  </w:footnote>
  <w:footnote w:id="7">
    <w:p w:rsidR="00A07D92" w:rsidRDefault="00495E63">
      <w:pPr>
        <w:pStyle w:val="Tekstfusnote"/>
      </w:pPr>
      <w:r>
        <w:rPr>
          <w:rStyle w:val="Znakovifusnote"/>
        </w:rPr>
        <w:footnoteRef/>
      </w:r>
      <w:r>
        <w:t xml:space="preserve"> Izvor: Plan gospodarenja</w:t>
      </w:r>
      <w:r>
        <w:t xml:space="preserve"> otpadom Grada Mali Lošinj za razdoblje 2017.-2022. godine</w:t>
      </w:r>
    </w:p>
  </w:footnote>
  <w:footnote w:id="8">
    <w:p w:rsidR="00A07D92" w:rsidRDefault="00495E63">
      <w:pPr>
        <w:pStyle w:val="Tekstfusnote"/>
      </w:pPr>
      <w:r>
        <w:rPr>
          <w:rStyle w:val="Znakovifusnote"/>
        </w:rPr>
        <w:footnoteRef/>
      </w:r>
      <w:r>
        <w:t xml:space="preserve">  U ovu kategoriju ulaze posljedice prema kojima je stradala ili ugrožena minimalno jedna osoba do 0,001% stanovnika grada </w:t>
      </w:r>
    </w:p>
  </w:footnote>
  <w:footnote w:id="9">
    <w:p w:rsidR="00A07D92" w:rsidRDefault="00495E63">
      <w:pPr>
        <w:pStyle w:val="Tekstfusnote"/>
      </w:pPr>
      <w:r>
        <w:rPr>
          <w:rStyle w:val="Znakovifusnote"/>
        </w:rPr>
        <w:footnoteRef/>
      </w:r>
      <w:r>
        <w:t xml:space="preserve"> Izvor: https://www.ecdc.europa.eu/en/geographical-distribution-2019-nc</w:t>
      </w:r>
      <w:r>
        <w:t>ov-cases</w:t>
      </w:r>
    </w:p>
  </w:footnote>
  <w:footnote w:id="10">
    <w:p w:rsidR="00A07D92" w:rsidRDefault="00495E63">
      <w:pPr>
        <w:pStyle w:val="Tekstfusnote"/>
      </w:pPr>
      <w:r>
        <w:rPr>
          <w:rStyle w:val="Znakovifusnote"/>
        </w:rPr>
        <w:footnoteRef/>
      </w:r>
    </w:p>
  </w:footnote>
  <w:footnote w:id="11">
    <w:p w:rsidR="00A07D92" w:rsidRDefault="00495E63">
      <w:pPr>
        <w:pStyle w:val="Tekstfusnote"/>
      </w:pPr>
      <w:r>
        <w:rPr>
          <w:rStyle w:val="Znakovifusnote"/>
        </w:rPr>
        <w:footnoteRef/>
      </w:r>
      <w:r>
        <w:t xml:space="preserve"> </w:t>
      </w:r>
      <w:proofErr w:type="spellStart"/>
      <w:r>
        <w:t>Immediately</w:t>
      </w:r>
      <w:proofErr w:type="spellEnd"/>
      <w:r>
        <w:t xml:space="preserve"> </w:t>
      </w:r>
      <w:proofErr w:type="spellStart"/>
      <w:r>
        <w:t>Dangerous</w:t>
      </w:r>
      <w:proofErr w:type="spellEnd"/>
      <w:r>
        <w:t xml:space="preserve"> to Life or Health – trenutačna opasnost po život i zdravlje definirana Nacionalnim institutom za zaštitu na radu (National Institute for </w:t>
      </w:r>
      <w:proofErr w:type="spellStart"/>
      <w:r>
        <w:t>Occupational</w:t>
      </w:r>
      <w:proofErr w:type="spellEnd"/>
      <w:r>
        <w:t xml:space="preserve"> </w:t>
      </w:r>
      <w:proofErr w:type="spellStart"/>
      <w:r>
        <w:t>Safetyand</w:t>
      </w:r>
      <w:proofErr w:type="spellEnd"/>
      <w:r>
        <w:t xml:space="preserve"> Health (NIOSH))</w:t>
      </w:r>
    </w:p>
  </w:footnote>
  <w:footnote w:id="12">
    <w:p w:rsidR="00A07D92" w:rsidRDefault="00495E63">
      <w:pPr>
        <w:pStyle w:val="Tekstfusnote"/>
      </w:pPr>
      <w:r>
        <w:rPr>
          <w:rStyle w:val="Znakovifusnote"/>
        </w:rPr>
        <w:footnoteRef/>
      </w:r>
      <w:r>
        <w:t xml:space="preserve"> Izvor: https://meteo.hr/klima.php?section=k</w:t>
      </w:r>
      <w:r>
        <w:t>lima_modeli&amp;param=klima_promjene#sec1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495E63">
    <w:pPr>
      <w:pStyle w:val="Zaglavlje"/>
    </w:pPr>
    <w:r>
      <w:rPr>
        <w:noProof/>
        <w:lang w:eastAsia="hr-HR"/>
      </w:rPr>
      <w:drawing>
        <wp:anchor distT="0" distB="0" distL="0" distR="0" simplePos="0" relativeHeight="8" behindDoc="1" locked="0" layoutInCell="1" allowOverlap="1">
          <wp:simplePos x="0" y="0"/>
          <wp:positionH relativeFrom="page">
            <wp:posOffset>0</wp:posOffset>
          </wp:positionH>
          <wp:positionV relativeFrom="page">
            <wp:posOffset>-41910</wp:posOffset>
          </wp:positionV>
          <wp:extent cx="7534275" cy="10655935"/>
          <wp:effectExtent l="0" t="0" r="0" b="0"/>
          <wp:wrapNone/>
          <wp:docPr id="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1"/>
                  <pic:cNvPicPr>
                    <a:picLocks noChangeAspect="1" noChangeArrowheads="1"/>
                  </pic:cNvPicPr>
                </pic:nvPicPr>
                <pic:blipFill>
                  <a:blip r:embed="rId1"/>
                  <a:stretch>
                    <a:fillRect/>
                  </a:stretch>
                </pic:blipFill>
                <pic:spPr bwMode="auto">
                  <a:xfrm>
                    <a:off x="0" y="0"/>
                    <a:ext cx="7534275" cy="10655935"/>
                  </a:xfrm>
                  <a:prstGeom prst="rect">
                    <a:avLst/>
                  </a:prstGeom>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A07D92">
    <w:pPr>
      <w:pStyle w:val="Zaglavlj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A07D92">
    <w:pPr>
      <w:pStyle w:val="Zaglavlj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495E63">
    <w:pPr>
      <w:pStyle w:val="Zaglavlje"/>
    </w:pPr>
    <w:r>
      <w:rPr>
        <w:noProof/>
        <w:lang w:eastAsia="hr-HR"/>
      </w:rPr>
      <mc:AlternateContent>
        <mc:Choice Requires="wpg">
          <w:drawing>
            <wp:anchor distT="0" distB="0" distL="0" distR="0" simplePos="0" relativeHeight="443" behindDoc="1" locked="0" layoutInCell="1" allowOverlap="1" wp14:anchorId="2A41DBAA">
              <wp:simplePos x="0" y="0"/>
              <wp:positionH relativeFrom="page">
                <wp:align>center</wp:align>
              </wp:positionH>
              <wp:positionV relativeFrom="page">
                <wp:posOffset>0</wp:posOffset>
              </wp:positionV>
              <wp:extent cx="5821680" cy="467995"/>
              <wp:effectExtent l="0" t="0" r="27305" b="8890"/>
              <wp:wrapNone/>
              <wp:docPr id="205" name="Grupa 9"/>
              <wp:cNvGraphicFramePr/>
              <a:graphic xmlns:a="http://schemas.openxmlformats.org/drawingml/2006/main">
                <a:graphicData uri="http://schemas.microsoft.com/office/word/2010/wordprocessingGroup">
                  <wpg:wgp>
                    <wpg:cNvGrpSpPr/>
                    <wpg:grpSpPr>
                      <a:xfrm>
                        <a:off x="0" y="0"/>
                        <a:ext cx="5821200" cy="467280"/>
                        <a:chOff x="0" y="0"/>
                        <a:chExt cx="0" cy="0"/>
                      </a:xfrm>
                    </wpg:grpSpPr>
                    <wps:wsp>
                      <wps:cNvPr id="209" name="Pravokutnik 209"/>
                      <wps:cNvSpPr/>
                      <wps:spPr>
                        <a:xfrm>
                          <a:off x="9360" y="55800"/>
                          <a:ext cx="3341520" cy="411480"/>
                        </a:xfrm>
                        <a:prstGeom prst="rect">
                          <a:avLst/>
                        </a:prstGeom>
                        <a:noFill/>
                        <a:ln w="6480">
                          <a:noFill/>
                        </a:ln>
                      </wps:spPr>
                      <wps:style>
                        <a:lnRef idx="0">
                          <a:schemeClr val="accent1"/>
                        </a:lnRef>
                        <a:fillRef idx="0">
                          <a:schemeClr val="accent1"/>
                        </a:fillRef>
                        <a:effectRef idx="0">
                          <a:schemeClr val="accent1"/>
                        </a:effectRef>
                        <a:fontRef idx="minor"/>
                      </wps:style>
                      <wps:bodyPr/>
                    </wps:wsp>
                    <wps:wsp>
                      <wps:cNvPr id="210" name="Pravokutnik 210"/>
                      <wps:cNvSpPr/>
                      <wps:spPr>
                        <a:xfrm>
                          <a:off x="4095000" y="55800"/>
                          <a:ext cx="1432440" cy="410760"/>
                        </a:xfrm>
                        <a:prstGeom prst="rect">
                          <a:avLst/>
                        </a:prstGeom>
                        <a:noFill/>
                        <a:ln w="9360">
                          <a:noFill/>
                        </a:ln>
                      </wps:spPr>
                      <wps:style>
                        <a:lnRef idx="0">
                          <a:scrgbClr r="0" g="0" b="0"/>
                        </a:lnRef>
                        <a:fillRef idx="0">
                          <a:scrgbClr r="0" g="0" b="0"/>
                        </a:fillRef>
                        <a:effectRef idx="0">
                          <a:scrgbClr r="0" g="0" b="0"/>
                        </a:effectRef>
                        <a:fontRef idx="minor"/>
                      </wps:style>
                      <wps:txbx>
                        <w:txbxContent>
                          <w:p w:rsidR="00A07D92" w:rsidRDefault="00495E63">
                            <w:pPr>
                              <w:overflowPunct w:val="0"/>
                              <w:spacing w:before="0" w:after="0" w:line="240" w:lineRule="auto"/>
                              <w:jc w:val="left"/>
                            </w:pPr>
                            <w:r>
                              <w:rPr>
                                <w:rFonts w:asciiTheme="minorHAnsi" w:eastAsiaTheme="minorHAnsi" w:hAnsiTheme="minorHAnsi" w:cstheme="minorBidi"/>
                                <w:color w:val="auto"/>
                                <w:sz w:val="20"/>
                                <w:szCs w:val="20"/>
                              </w:rPr>
                              <w:t>Grad Mali Lošinj</w:t>
                            </w:r>
                          </w:p>
                          <w:p w:rsidR="00A07D92" w:rsidRDefault="00A07D92">
                            <w:pPr>
                              <w:overflowPunct w:val="0"/>
                              <w:spacing w:before="0" w:after="0" w:line="240" w:lineRule="auto"/>
                              <w:jc w:val="left"/>
                            </w:pPr>
                          </w:p>
                        </w:txbxContent>
                      </wps:txbx>
                      <wps:bodyPr>
                        <a:noAutofit/>
                      </wps:bodyPr>
                    </wps:wsp>
                    <pic:pic xmlns:pic="http://schemas.openxmlformats.org/drawingml/2006/picture">
                      <pic:nvPicPr>
                        <pic:cNvPr id="211" name="Slika 2"/>
                        <pic:cNvPicPr/>
                      </pic:nvPicPr>
                      <pic:blipFill>
                        <a:blip r:embed="rId1"/>
                        <a:stretch/>
                      </pic:blipFill>
                      <pic:spPr>
                        <a:xfrm>
                          <a:off x="5533920" y="119520"/>
                          <a:ext cx="286920" cy="237600"/>
                        </a:xfrm>
                        <a:prstGeom prst="rect">
                          <a:avLst/>
                        </a:prstGeom>
                        <a:ln>
                          <a:noFill/>
                        </a:ln>
                      </pic:spPr>
                    </pic:pic>
                    <wps:wsp>
                      <wps:cNvPr id="212" name="Ravni poveznik 212"/>
                      <wps:cNvCnPr/>
                      <wps:spPr>
                        <a:xfrm>
                          <a:off x="0" y="201960"/>
                          <a:ext cx="332352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s:wsp>
                      <wps:cNvPr id="213" name="Ravni poveznik 213"/>
                      <wps:cNvCnPr/>
                      <wps:spPr>
                        <a:xfrm>
                          <a:off x="2283480" y="0"/>
                          <a:ext cx="0" cy="16956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9" style="position:absolute;margin-left:0pt;margin-top:11.25pt;width:458.35pt;height:36.85pt" coordorigin="0,225" coordsize="9167,737">
              <v:rect id="shape_0" ID="Text Box 19" stroked="f" style="position:absolute;left:15;top:313;width:5261;height:647;mso-position-horizontal:center;mso-position-horizontal-relative:page;mso-position-vertical-relative:page">
                <w10:wrap type="none"/>
                <v:fill o:detectmouseclick="t" on="false"/>
                <v:stroke color="#3465a4" weight="6480" joinstyle="round" endcap="flat"/>
              </v:rect>
              <v:rect id="shape_0" ID="Text Box 2" stroked="f" style="position:absolute;left:6449;top:313;width:2255;height:646;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Calibri" w:hAnsi="Calibri" w:eastAsia="Calibri" w:cs="" w:asciiTheme="minorHAnsi" w:cstheme="minorBidi" w:eastAsiaTheme="minorHAnsi" w:hAnsiTheme="minorHAnsi"/>
                          <w:color w:val="auto"/>
                        </w:rPr>
                        <w:t>Grad Mali Lošinj</w:t>
                      </w:r>
                    </w:p>
                    <w:p>
                      <w:pPr>
                        <w:overflowPunct w:val="false"/>
                        <w:spacing w:before="0" w:after="0" w:lineRule="auto" w:line="240"/>
                        <w:jc w:val="left"/>
                        <w:rPr/>
                      </w:pPr>
                      <w:r>
                        <w:rPr>
                          <w:szCs w:val="22"/>
                          <w:rFonts w:ascii="Calibri" w:hAnsi="Calibri" w:eastAsia="Calibri" w:cs="" w:asciiTheme="minorHAnsi" w:cstheme="minorBidi" w:eastAsiaTheme="minorHAnsi" w:hAnsiTheme="minorHAnsi"/>
                          <w:color w:val="auto"/>
                        </w:rPr>
                      </w:r>
                    </w:p>
                  </w:txbxContent>
                </v:textbox>
                <w10:wrap type="square"/>
                <v:fill o:detectmouseclick="t" on="false"/>
                <v:stroke color="#3465a4" weight="9360" joinstyle="miter" endcap="flat"/>
              </v:rect>
              <v:shape id="shape_0" ID="Slika 2" stroked="f" style="position:absolute;left:8715;top:413;width:451;height:373;mso-position-horizontal:center;mso-position-horizontal-relative:page;mso-position-vertical-relative:page" type="shapetype_75">
                <v:imagedata r:id="rId2" o:detectmouseclick="t"/>
                <w10:wrap type="none"/>
                <v:stroke color="#3465a4" joinstyle="round" endcap="flat"/>
              </v:shape>
              <v:line id="shape_0" from="0,543" to="5233,543" ID="Ravni poveznik 4" stroked="t" style="position:absolute;mso-position-horizontal:center;mso-position-horizontal-relative:page;mso-position-vertical-relative:page">
                <v:stroke color="#00b050" weight="19080" joinstyle="round" endcap="flat"/>
                <v:fill o:detectmouseclick="t" on="false"/>
              </v:line>
              <v:line id="shape_0" from="3596,225" to="3596,491" ID="Ravni poveznik 8" stroked="t" style="position:absolute;mso-position-horizontal:center;mso-position-horizontal-relative:page;mso-position-vertical-relative:page">
                <v:stroke color="#00b050" weight="19080" joinstyle="round" endcap="flat"/>
                <v:fill o:detectmouseclick="t" on="false"/>
              </v:line>
            </v:group>
          </w:pict>
        </mc:Fallback>
      </mc:AlternateContent>
    </w:r>
  </w:p>
  <w:p w:rsidR="00A07D92" w:rsidRDefault="00A07D92">
    <w:pPr>
      <w:pStyle w:val="Zaglavlj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A07D92">
    <w:pPr>
      <w:pStyle w:val="Zaglavlj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495E63">
    <w:pPr>
      <w:pStyle w:val="Zaglavlje"/>
    </w:pPr>
    <w:r>
      <w:rPr>
        <w:noProof/>
        <w:lang w:eastAsia="hr-HR"/>
      </w:rPr>
      <mc:AlternateContent>
        <mc:Choice Requires="wpg">
          <w:drawing>
            <wp:anchor distT="0" distB="0" distL="0" distR="0" simplePos="0" relativeHeight="99" behindDoc="1" locked="0" layoutInCell="1" allowOverlap="1" wp14:anchorId="2A41DBAA">
              <wp:simplePos x="0" y="0"/>
              <wp:positionH relativeFrom="page">
                <wp:align>center</wp:align>
              </wp:positionH>
              <wp:positionV relativeFrom="page">
                <wp:posOffset>142875</wp:posOffset>
              </wp:positionV>
              <wp:extent cx="5821680" cy="467995"/>
              <wp:effectExtent l="0" t="0" r="27305" b="8890"/>
              <wp:wrapNone/>
              <wp:docPr id="24" name="Grupa 9"/>
              <wp:cNvGraphicFramePr/>
              <a:graphic xmlns:a="http://schemas.openxmlformats.org/drawingml/2006/main">
                <a:graphicData uri="http://schemas.microsoft.com/office/word/2010/wordprocessingGroup">
                  <wpg:wgp>
                    <wpg:cNvGrpSpPr/>
                    <wpg:grpSpPr>
                      <a:xfrm>
                        <a:off x="0" y="0"/>
                        <a:ext cx="5821200" cy="467280"/>
                        <a:chOff x="0" y="0"/>
                        <a:chExt cx="0" cy="0"/>
                      </a:xfrm>
                    </wpg:grpSpPr>
                    <wps:wsp>
                      <wps:cNvPr id="2" name="Pravokutnik 2"/>
                      <wps:cNvSpPr/>
                      <wps:spPr>
                        <a:xfrm>
                          <a:off x="9360" y="55800"/>
                          <a:ext cx="3341520" cy="411480"/>
                        </a:xfrm>
                        <a:prstGeom prst="rect">
                          <a:avLst/>
                        </a:prstGeom>
                        <a:noFill/>
                        <a:ln w="6480">
                          <a:noFill/>
                        </a:ln>
                      </wps:spPr>
                      <wps:style>
                        <a:lnRef idx="0">
                          <a:schemeClr val="accent1"/>
                        </a:lnRef>
                        <a:fillRef idx="0">
                          <a:schemeClr val="accent1"/>
                        </a:fillRef>
                        <a:effectRef idx="0">
                          <a:schemeClr val="accent1"/>
                        </a:effectRef>
                        <a:fontRef idx="minor"/>
                      </wps:style>
                      <wps:bodyPr/>
                    </wps:wsp>
                    <wps:wsp>
                      <wps:cNvPr id="4" name="Pravokutnik 4"/>
                      <wps:cNvSpPr/>
                      <wps:spPr>
                        <a:xfrm>
                          <a:off x="4095000" y="55800"/>
                          <a:ext cx="1432440" cy="410760"/>
                        </a:xfrm>
                        <a:prstGeom prst="rect">
                          <a:avLst/>
                        </a:prstGeom>
                        <a:noFill/>
                        <a:ln w="9360">
                          <a:noFill/>
                        </a:ln>
                      </wps:spPr>
                      <wps:style>
                        <a:lnRef idx="0">
                          <a:scrgbClr r="0" g="0" b="0"/>
                        </a:lnRef>
                        <a:fillRef idx="0">
                          <a:scrgbClr r="0" g="0" b="0"/>
                        </a:fillRef>
                        <a:effectRef idx="0">
                          <a:scrgbClr r="0" g="0" b="0"/>
                        </a:effectRef>
                        <a:fontRef idx="minor"/>
                      </wps:style>
                      <wps:txbx>
                        <w:txbxContent>
                          <w:p w:rsidR="00A07D92" w:rsidRDefault="00495E63">
                            <w:pPr>
                              <w:overflowPunct w:val="0"/>
                              <w:spacing w:before="0" w:after="0" w:line="240" w:lineRule="auto"/>
                              <w:jc w:val="left"/>
                            </w:pPr>
                            <w:r>
                              <w:rPr>
                                <w:rFonts w:asciiTheme="minorHAnsi" w:eastAsiaTheme="minorHAnsi" w:hAnsiTheme="minorHAnsi" w:cstheme="minorBidi"/>
                                <w:color w:val="auto"/>
                                <w:sz w:val="20"/>
                                <w:szCs w:val="20"/>
                              </w:rPr>
                              <w:t>Grad Mali Lošinj</w:t>
                            </w:r>
                          </w:p>
                          <w:p w:rsidR="00A07D92" w:rsidRDefault="00A07D92">
                            <w:pPr>
                              <w:overflowPunct w:val="0"/>
                              <w:spacing w:before="0" w:after="0" w:line="240" w:lineRule="auto"/>
                              <w:jc w:val="left"/>
                            </w:pPr>
                          </w:p>
                        </w:txbxContent>
                      </wps:txbx>
                      <wps:bodyPr>
                        <a:noAutofit/>
                      </wps:bodyPr>
                    </wps:wsp>
                    <pic:pic xmlns:pic="http://schemas.openxmlformats.org/drawingml/2006/picture">
                      <pic:nvPicPr>
                        <pic:cNvPr id="6" name="Slika 2"/>
                        <pic:cNvPicPr/>
                      </pic:nvPicPr>
                      <pic:blipFill>
                        <a:blip r:embed="rId1"/>
                        <a:stretch/>
                      </pic:blipFill>
                      <pic:spPr>
                        <a:xfrm>
                          <a:off x="5533920" y="119520"/>
                          <a:ext cx="286920" cy="237600"/>
                        </a:xfrm>
                        <a:prstGeom prst="rect">
                          <a:avLst/>
                        </a:prstGeom>
                        <a:ln>
                          <a:noFill/>
                        </a:ln>
                      </pic:spPr>
                    </pic:pic>
                    <wps:wsp>
                      <wps:cNvPr id="8" name="Ravni poveznik 8"/>
                      <wps:cNvCnPr/>
                      <wps:spPr>
                        <a:xfrm>
                          <a:off x="0" y="201960"/>
                          <a:ext cx="332352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s:wsp>
                      <wps:cNvPr id="25" name="Ravni poveznik 25"/>
                      <wps:cNvCnPr/>
                      <wps:spPr>
                        <a:xfrm>
                          <a:off x="2283480" y="0"/>
                          <a:ext cx="0" cy="16956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9" style="position:absolute;margin-left:68.45pt;margin-top:11.25pt;width:458.35pt;height:36.85pt" coordorigin="1369,225" coordsize="9167,737">
              <v:rect id="shape_0" ID="Text Box 19" stroked="f" style="position:absolute;left:1384;top:313;width:5261;height:647;mso-position-horizontal:center;mso-position-horizontal-relative:page;mso-position-vertical-relative:page">
                <w10:wrap type="none"/>
                <v:fill o:detectmouseclick="t" on="false"/>
                <v:stroke color="#3465a4" weight="6480" joinstyle="round" endcap="flat"/>
              </v:rect>
              <v:rect id="shape_0" ID="Text Box 2" stroked="f" style="position:absolute;left:7818;top:313;width:2255;height:646;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Calibri" w:hAnsi="Calibri" w:eastAsia="Calibri" w:cs="" w:asciiTheme="minorHAnsi" w:cstheme="minorBidi" w:eastAsiaTheme="minorHAnsi" w:hAnsiTheme="minorHAnsi"/>
                          <w:color w:val="auto"/>
                        </w:rPr>
                        <w:t>Grad Mali Lošinj</w:t>
                      </w:r>
                    </w:p>
                    <w:p>
                      <w:pPr>
                        <w:overflowPunct w:val="false"/>
                        <w:spacing w:before="0" w:after="0" w:lineRule="auto" w:line="240"/>
                        <w:jc w:val="left"/>
                        <w:rPr/>
                      </w:pPr>
                      <w:r>
                        <w:rPr>
                          <w:szCs w:val="22"/>
                          <w:rFonts w:ascii="Calibri" w:hAnsi="Calibri" w:eastAsia="Calibri" w:cs="" w:asciiTheme="minorHAnsi" w:cstheme="minorBidi" w:eastAsiaTheme="minorHAnsi" w:hAnsiTheme="minorHAnsi"/>
                          <w:color w:val="auto"/>
                        </w:rPr>
                      </w:r>
                    </w:p>
                  </w:txbxContent>
                </v:textbox>
                <w10:wrap type="square"/>
                <v:fill o:detectmouseclick="t" on="false"/>
                <v:stroke color="#3465a4" weight="9360" joinstyle="miter" endcap="flat"/>
              </v:re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Slika 2" stroked="f" style="position:absolute;left:10084;top:413;width:451;height:373;mso-position-horizontal:center;mso-position-horizontal-relative:page;mso-position-vertical-relative:page" type="shapetype_75">
                <v:imagedata r:id="rId2" o:detectmouseclick="t"/>
                <w10:wrap type="none"/>
                <v:stroke color="#3465a4" joinstyle="round" endcap="flat"/>
              </v:shape>
              <v:line id="shape_0" from="1369,543" to="6602,543" ID="Ravni poveznik 4" stroked="t" style="position:absolute;mso-position-horizontal:center;mso-position-horizontal-relative:page;mso-position-vertical-relative:page">
                <v:stroke color="#00b050" weight="19080" joinstyle="round" endcap="flat"/>
                <v:fill o:detectmouseclick="t" on="false"/>
              </v:line>
              <v:line id="shape_0" from="4965,225" to="4965,491" ID="Ravni poveznik 8" stroked="t" style="position:absolute;mso-position-horizontal:center;mso-position-horizontal-relative:page;mso-position-vertical-relative:page">
                <v:stroke color="#00b050" weight="19080" joinstyle="round" endcap="flat"/>
                <v:fill o:detectmouseclick="t" on="false"/>
              </v:line>
            </v:group>
          </w:pict>
        </mc:Fallback>
      </mc:AlternateContent>
    </w:r>
  </w:p>
  <w:p w:rsidR="00A07D92" w:rsidRDefault="00A07D92">
    <w:pPr>
      <w:pStyle w:val="Zaglavlj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495E63">
    <w:pPr>
      <w:pStyle w:val="Zaglavlje"/>
    </w:pPr>
    <w:r>
      <w:rPr>
        <w:noProof/>
        <w:lang w:eastAsia="hr-HR"/>
      </w:rPr>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495E63">
    <w:pPr>
      <w:pStyle w:val="Zaglavlje"/>
    </w:pPr>
    <w:r>
      <w:rPr>
        <w:noProof/>
        <w:lang w:eastAsia="hr-HR"/>
      </w:rPr>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495E63">
    <w:pPr>
      <w:pStyle w:val="Zaglavlje"/>
    </w:pPr>
    <w:r>
      <w:rPr>
        <w:noProof/>
        <w:lang w:eastAsia="hr-HR"/>
      </w:rPr>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495E63">
    <w:pPr>
      <w:pStyle w:val="Zaglavlje"/>
    </w:pPr>
    <w:r>
      <w:rPr>
        <w:noProof/>
        <w:lang w:eastAsia="hr-HR"/>
      </w:rPr>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495E63">
    <w:pPr>
      <w:pStyle w:val="Zaglavlje"/>
    </w:pPr>
    <w:r>
      <w:rPr>
        <w:noProof/>
        <w:lang w:eastAsia="hr-HR"/>
      </w:rPr>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D92" w:rsidRDefault="00A07D92">
    <w:pPr>
      <w:pStyle w:val="Zaglavlj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D72BE"/>
    <w:multiLevelType w:val="multilevel"/>
    <w:tmpl w:val="4B56711E"/>
    <w:lvl w:ilvl="0">
      <w:start w:val="13"/>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nsid w:val="066E52E3"/>
    <w:multiLevelType w:val="multilevel"/>
    <w:tmpl w:val="1138CF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BDB0A6F"/>
    <w:multiLevelType w:val="multilevel"/>
    <w:tmpl w:val="CE94A76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nsid w:val="1016515A"/>
    <w:multiLevelType w:val="multilevel"/>
    <w:tmpl w:val="6E86A190"/>
    <w:lvl w:ilvl="0">
      <w:start w:val="13"/>
      <w:numFmt w:val="bullet"/>
      <w:lvlText w:val="-"/>
      <w:lvlJc w:val="left"/>
      <w:pPr>
        <w:ind w:left="720" w:hanging="360"/>
      </w:pPr>
      <w:rPr>
        <w:rFonts w:ascii="Calibri" w:hAnsi="Calibri" w:cs="Calibri"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nsid w:val="10A0751A"/>
    <w:multiLevelType w:val="multilevel"/>
    <w:tmpl w:val="7F0A1736"/>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vanish w:val="0"/>
        <w:color w:val="54883D"/>
        <w:spacing w:val="0"/>
        <w:kern w:val="0"/>
        <w:position w:val="0"/>
        <w:sz w:val="22"/>
        <w:u w:val="none"/>
        <w:effect w:val="none"/>
        <w:vertAlign w:val="baseline"/>
        <w:em w:val="none"/>
      </w:rPr>
    </w:lvl>
    <w:lvl w:ilvl="2">
      <w:start w:val="1"/>
      <w:numFmt w:val="decimal"/>
      <w:lvlText w:val="%1.%2.%3"/>
      <w:lvlJc w:val="left"/>
      <w:pPr>
        <w:ind w:left="3839"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nsid w:val="118605B6"/>
    <w:multiLevelType w:val="multilevel"/>
    <w:tmpl w:val="A1B077FA"/>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
    <w:nsid w:val="1A2F2D27"/>
    <w:multiLevelType w:val="multilevel"/>
    <w:tmpl w:val="B5C83654"/>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nsid w:val="1B90299F"/>
    <w:multiLevelType w:val="multilevel"/>
    <w:tmpl w:val="C492B7A6"/>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nsid w:val="22FC5AA5"/>
    <w:multiLevelType w:val="multilevel"/>
    <w:tmpl w:val="7B40E630"/>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nsid w:val="236D539F"/>
    <w:multiLevelType w:val="multilevel"/>
    <w:tmpl w:val="80F23690"/>
    <w:lvl w:ilvl="0">
      <w:start w:val="11"/>
      <w:numFmt w:val="bullet"/>
      <w:lvlText w:val="-"/>
      <w:lvlJc w:val="left"/>
      <w:pPr>
        <w:ind w:left="720" w:hanging="360"/>
      </w:pPr>
      <w:rPr>
        <w:rFonts w:ascii="Calibri" w:hAnsi="Calibri"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nsid w:val="247254ED"/>
    <w:multiLevelType w:val="multilevel"/>
    <w:tmpl w:val="C1486A1E"/>
    <w:lvl w:ilvl="0">
      <w:start w:val="6"/>
      <w:numFmt w:val="decimal"/>
      <w:lvlText w:val="%1"/>
      <w:lvlJc w:val="left"/>
      <w:pPr>
        <w:ind w:left="432" w:hanging="432"/>
      </w:pPr>
    </w:lvl>
    <w:lvl w:ilvl="1">
      <w:start w:val="8"/>
      <w:numFmt w:val="decimal"/>
      <w:lvlText w:val="%1.%2"/>
      <w:lvlJc w:val="left"/>
      <w:pPr>
        <w:ind w:left="576" w:hanging="576"/>
      </w:pPr>
      <w:rPr>
        <w:b w:val="0"/>
        <w:bCs w:val="0"/>
        <w:i w:val="0"/>
        <w:iCs w:val="0"/>
        <w:caps w:val="0"/>
        <w:smallCaps w:val="0"/>
        <w:strike w:val="0"/>
        <w:dstrike w:val="0"/>
        <w:vanish w:val="0"/>
        <w:color w:val="54883D"/>
        <w:spacing w:val="0"/>
        <w:kern w:val="0"/>
        <w:position w:val="0"/>
        <w:sz w:val="22"/>
        <w:u w:val="none"/>
        <w:effect w:val="none"/>
        <w:vertAlign w:val="baseline"/>
        <w:em w:val="none"/>
      </w:rPr>
    </w:lvl>
    <w:lvl w:ilvl="2">
      <w:start w:val="1"/>
      <w:numFmt w:val="decimal"/>
      <w:lvlText w:val="%1.%2.%3"/>
      <w:lvlJc w:val="left"/>
      <w:pPr>
        <w:ind w:left="3839"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39A111A4"/>
    <w:multiLevelType w:val="multilevel"/>
    <w:tmpl w:val="CEFE7BD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nsid w:val="3CBD67B9"/>
    <w:multiLevelType w:val="multilevel"/>
    <w:tmpl w:val="D5DE3D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nsid w:val="3F833D40"/>
    <w:multiLevelType w:val="multilevel"/>
    <w:tmpl w:val="0F42B91A"/>
    <w:lvl w:ilvl="0">
      <w:start w:val="11"/>
      <w:numFmt w:val="bullet"/>
      <w:lvlText w:val="-"/>
      <w:lvlJc w:val="left"/>
      <w:pPr>
        <w:ind w:left="720" w:hanging="360"/>
      </w:pPr>
      <w:rPr>
        <w:rFonts w:ascii="Calibri" w:hAnsi="Calibri"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nsid w:val="417C628A"/>
    <w:multiLevelType w:val="multilevel"/>
    <w:tmpl w:val="01C065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43C763EF"/>
    <w:multiLevelType w:val="multilevel"/>
    <w:tmpl w:val="08D29E70"/>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nsid w:val="46544AC9"/>
    <w:multiLevelType w:val="multilevel"/>
    <w:tmpl w:val="94983412"/>
    <w:lvl w:ilvl="0">
      <w:start w:val="6"/>
      <w:numFmt w:val="decimal"/>
      <w:pStyle w:val="Naslov1"/>
      <w:lvlText w:val="%1"/>
      <w:lvlJc w:val="left"/>
      <w:pPr>
        <w:ind w:left="432" w:hanging="432"/>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decimal"/>
      <w:pStyle w:val="Naslov5"/>
      <w:lvlText w:val="%1.%5"/>
      <w:lvlJc w:val="left"/>
      <w:pPr>
        <w:ind w:left="1008" w:hanging="1008"/>
      </w:pPr>
    </w:lvl>
    <w:lvl w:ilvl="5">
      <w:start w:val="1"/>
      <w:numFmt w:val="decimal"/>
      <w:pStyle w:val="Naslov6"/>
      <w:lvlText w:val="%1.%5.%6"/>
      <w:lvlJc w:val="left"/>
      <w:pPr>
        <w:ind w:left="1152" w:hanging="1152"/>
      </w:pPr>
    </w:lvl>
    <w:lvl w:ilvl="6">
      <w:start w:val="1"/>
      <w:numFmt w:val="decimal"/>
      <w:pStyle w:val="Naslov7"/>
      <w:lvlText w:val="%1.%5.%6.%7"/>
      <w:lvlJc w:val="left"/>
      <w:pPr>
        <w:ind w:left="1296" w:hanging="1296"/>
      </w:pPr>
    </w:lvl>
    <w:lvl w:ilvl="7">
      <w:start w:val="1"/>
      <w:numFmt w:val="decimal"/>
      <w:pStyle w:val="Naslov8"/>
      <w:lvlText w:val="%1.%5.%6.%7.%8"/>
      <w:lvlJc w:val="left"/>
      <w:pPr>
        <w:ind w:left="1440" w:hanging="1440"/>
      </w:pPr>
    </w:lvl>
    <w:lvl w:ilvl="8">
      <w:start w:val="1"/>
      <w:numFmt w:val="decimal"/>
      <w:pStyle w:val="Naslov9"/>
      <w:lvlText w:val="%1.%5.%6.%7.%8.%9"/>
      <w:lvlJc w:val="left"/>
      <w:pPr>
        <w:ind w:left="1584" w:hanging="1584"/>
      </w:pPr>
    </w:lvl>
  </w:abstractNum>
  <w:abstractNum w:abstractNumId="17">
    <w:nsid w:val="482D3007"/>
    <w:multiLevelType w:val="multilevel"/>
    <w:tmpl w:val="96386BFC"/>
    <w:lvl w:ilvl="0">
      <w:start w:val="1"/>
      <w:numFmt w:val="bullet"/>
      <w:lvlText w:val="-"/>
      <w:lvlJc w:val="left"/>
      <w:pPr>
        <w:ind w:left="720" w:hanging="360"/>
      </w:pPr>
      <w:rPr>
        <w:rFonts w:ascii="Courier New" w:hAnsi="Courier New" w:cs="Times New Roman"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
    <w:nsid w:val="49A63AE1"/>
    <w:multiLevelType w:val="multilevel"/>
    <w:tmpl w:val="2A6A868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nsid w:val="50D667CD"/>
    <w:multiLevelType w:val="multilevel"/>
    <w:tmpl w:val="BB66BB00"/>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nsid w:val="547302F4"/>
    <w:multiLevelType w:val="multilevel"/>
    <w:tmpl w:val="F56852A4"/>
    <w:lvl w:ilvl="0">
      <w:start w:val="1"/>
      <w:numFmt w:val="bullet"/>
      <w:lvlText w:val="-"/>
      <w:lvlJc w:val="left"/>
      <w:pPr>
        <w:ind w:left="720" w:hanging="360"/>
      </w:pPr>
      <w:rPr>
        <w:rFonts w:ascii="Calibri" w:hAnsi="Calibri" w:cs="Calibri"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1">
    <w:nsid w:val="56FD7C1D"/>
    <w:multiLevelType w:val="multilevel"/>
    <w:tmpl w:val="5A803E90"/>
    <w:lvl w:ilvl="0">
      <w:start w:val="11"/>
      <w:numFmt w:val="bullet"/>
      <w:lvlText w:val="-"/>
      <w:lvlJc w:val="left"/>
      <w:pPr>
        <w:ind w:left="720" w:hanging="360"/>
      </w:pPr>
      <w:rPr>
        <w:rFonts w:ascii="Calibri" w:hAnsi="Calibri"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2">
    <w:nsid w:val="59362CBB"/>
    <w:multiLevelType w:val="multilevel"/>
    <w:tmpl w:val="71F658D4"/>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3">
    <w:nsid w:val="5DBD6355"/>
    <w:multiLevelType w:val="multilevel"/>
    <w:tmpl w:val="0D2CB260"/>
    <w:lvl w:ilvl="0">
      <w:start w:val="11"/>
      <w:numFmt w:val="bullet"/>
      <w:lvlText w:val="-"/>
      <w:lvlJc w:val="left"/>
      <w:pPr>
        <w:ind w:left="720" w:hanging="360"/>
      </w:pPr>
      <w:rPr>
        <w:rFonts w:ascii="Calibri" w:hAnsi="Calibri"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nsid w:val="60DB78C5"/>
    <w:multiLevelType w:val="multilevel"/>
    <w:tmpl w:val="E9064118"/>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5">
    <w:nsid w:val="658A1CC6"/>
    <w:multiLevelType w:val="multilevel"/>
    <w:tmpl w:val="FC6C4B0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nsid w:val="6654036A"/>
    <w:multiLevelType w:val="multilevel"/>
    <w:tmpl w:val="39C49FB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nsid w:val="67A91408"/>
    <w:multiLevelType w:val="multilevel"/>
    <w:tmpl w:val="53F07ED8"/>
    <w:lvl w:ilvl="0">
      <w:start w:val="11"/>
      <w:numFmt w:val="bullet"/>
      <w:lvlText w:val="-"/>
      <w:lvlJc w:val="left"/>
      <w:pPr>
        <w:ind w:left="720" w:hanging="360"/>
      </w:pPr>
      <w:rPr>
        <w:rFonts w:ascii="Calibri" w:hAnsi="Calibri" w:cs="Times New Roman" w:hint="default"/>
        <w:b/>
      </w:rPr>
    </w:lvl>
    <w:lvl w:ilvl="1">
      <w:start w:val="1"/>
      <w:numFmt w:val="bullet"/>
      <w:lvlText w:val="•"/>
      <w:lvlJc w:val="left"/>
      <w:pPr>
        <w:ind w:left="1785" w:hanging="705"/>
      </w:pPr>
      <w:rPr>
        <w:rFonts w:ascii="Arial" w:hAnsi="Arial" w:cs="Arial"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nsid w:val="751D3BB9"/>
    <w:multiLevelType w:val="multilevel"/>
    <w:tmpl w:val="D856D80E"/>
    <w:lvl w:ilvl="0">
      <w:start w:val="1"/>
      <w:numFmt w:val="lowerLetter"/>
      <w:lvlText w:val="%1)"/>
      <w:lvlJc w:val="left"/>
      <w:pPr>
        <w:ind w:left="780" w:hanging="360"/>
      </w:p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num w:numId="1">
    <w:abstractNumId w:val="16"/>
  </w:num>
  <w:num w:numId="2">
    <w:abstractNumId w:val="4"/>
  </w:num>
  <w:num w:numId="3">
    <w:abstractNumId w:val="28"/>
  </w:num>
  <w:num w:numId="4">
    <w:abstractNumId w:val="6"/>
  </w:num>
  <w:num w:numId="5">
    <w:abstractNumId w:val="20"/>
  </w:num>
  <w:num w:numId="6">
    <w:abstractNumId w:val="24"/>
  </w:num>
  <w:num w:numId="7">
    <w:abstractNumId w:val="14"/>
  </w:num>
  <w:num w:numId="8">
    <w:abstractNumId w:val="26"/>
  </w:num>
  <w:num w:numId="9">
    <w:abstractNumId w:val="17"/>
  </w:num>
  <w:num w:numId="10">
    <w:abstractNumId w:val="3"/>
  </w:num>
  <w:num w:numId="11">
    <w:abstractNumId w:val="18"/>
  </w:num>
  <w:num w:numId="12">
    <w:abstractNumId w:val="23"/>
  </w:num>
  <w:num w:numId="13">
    <w:abstractNumId w:val="13"/>
  </w:num>
  <w:num w:numId="14">
    <w:abstractNumId w:val="27"/>
  </w:num>
  <w:num w:numId="15">
    <w:abstractNumId w:val="21"/>
  </w:num>
  <w:num w:numId="16">
    <w:abstractNumId w:val="11"/>
  </w:num>
  <w:num w:numId="17">
    <w:abstractNumId w:val="25"/>
  </w:num>
  <w:num w:numId="18">
    <w:abstractNumId w:val="9"/>
  </w:num>
  <w:num w:numId="19">
    <w:abstractNumId w:val="15"/>
  </w:num>
  <w:num w:numId="20">
    <w:abstractNumId w:val="22"/>
  </w:num>
  <w:num w:numId="21">
    <w:abstractNumId w:val="7"/>
  </w:num>
  <w:num w:numId="22">
    <w:abstractNumId w:val="1"/>
  </w:num>
  <w:num w:numId="23">
    <w:abstractNumId w:val="12"/>
  </w:num>
  <w:num w:numId="24">
    <w:abstractNumId w:val="0"/>
  </w:num>
  <w:num w:numId="25">
    <w:abstractNumId w:val="2"/>
  </w:num>
  <w:num w:numId="26">
    <w:abstractNumId w:val="5"/>
  </w:num>
  <w:num w:numId="27">
    <w:abstractNumId w:val="8"/>
  </w:num>
  <w:num w:numId="28">
    <w:abstractNumId w:val="10"/>
  </w:num>
  <w:num w:numId="2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7D92"/>
    <w:rsid w:val="00264A13"/>
    <w:rsid w:val="00495E63"/>
    <w:rsid w:val="00A07D92"/>
  </w:rsids>
  <m:mathPr>
    <m:mathFont m:val="Cambria Math"/>
    <m:brkBin m:val="before"/>
    <m:brkBinSub m:val="--"/>
    <m:smallFrac m:val="0"/>
    <m:dispDef/>
    <m:lMargin m:val="0"/>
    <m:rMargin m:val="0"/>
    <m:defJc m:val="centerGroup"/>
    <m:wrapIndent m:val="1440"/>
    <m:intLim m:val="subSup"/>
    <m:naryLim m:val="undOvr"/>
  </m:mathPr>
  <w:themeFontLang w:val="hr-H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r-H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w:uiPriority="0"/>
    <w:lsdException w:name="List 4" w:uiPriority="0"/>
    <w:lsdException w:name="List 5"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alutation" w:uiPriority="0"/>
    <w:lsdException w:name="Date" w:uiPriority="0"/>
    <w:lsdException w:name="Body Text First Indent" w:uiPriority="0"/>
    <w:lsdException w:name="Followed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42D6"/>
    <w:pPr>
      <w:spacing w:before="80" w:after="160" w:line="276" w:lineRule="auto"/>
      <w:jc w:val="both"/>
    </w:pPr>
    <w:rPr>
      <w:rFonts w:ascii="Arial" w:eastAsia="Times New Roman" w:hAnsi="Arial" w:cs="Arial"/>
      <w:color w:val="000000" w:themeColor="text1"/>
      <w:szCs w:val="24"/>
    </w:rPr>
  </w:style>
  <w:style w:type="paragraph" w:styleId="Naslov1">
    <w:name w:val="heading 1"/>
    <w:basedOn w:val="Normal"/>
    <w:next w:val="Normal"/>
    <w:link w:val="Naslov1Char"/>
    <w:autoRedefine/>
    <w:qFormat/>
    <w:rsid w:val="00324335"/>
    <w:pPr>
      <w:keepNext/>
      <w:keepLines/>
      <w:numPr>
        <w:numId w:val="1"/>
      </w:numPr>
      <w:spacing w:before="240"/>
      <w:outlineLvl w:val="0"/>
    </w:pPr>
    <w:rPr>
      <w:rFonts w:eastAsiaTheme="majorEastAsia"/>
      <w:b/>
      <w:color w:val="auto"/>
      <w:sz w:val="32"/>
      <w:szCs w:val="32"/>
    </w:rPr>
  </w:style>
  <w:style w:type="paragraph" w:styleId="Naslov2">
    <w:name w:val="heading 2"/>
    <w:basedOn w:val="Normal"/>
    <w:next w:val="Normal"/>
    <w:link w:val="Naslov2Char"/>
    <w:autoRedefine/>
    <w:qFormat/>
    <w:rsid w:val="00266B12"/>
    <w:pPr>
      <w:keepNext/>
      <w:outlineLvl w:val="1"/>
    </w:pPr>
    <w:rPr>
      <w:bCs/>
      <w:color w:val="54883D"/>
      <w:sz w:val="32"/>
      <w:lang w:bidi="en-US"/>
    </w:rPr>
  </w:style>
  <w:style w:type="paragraph" w:styleId="Naslov3">
    <w:name w:val="heading 3"/>
    <w:basedOn w:val="Normal"/>
    <w:next w:val="Normal"/>
    <w:link w:val="Naslov3Char"/>
    <w:autoRedefine/>
    <w:qFormat/>
    <w:rsid w:val="00CC45B3"/>
    <w:pPr>
      <w:keepNext/>
      <w:keepLines/>
      <w:spacing w:before="40"/>
      <w:outlineLvl w:val="2"/>
    </w:pPr>
    <w:rPr>
      <w:rFonts w:cstheme="majorBidi"/>
      <w:color w:val="54883D"/>
      <w:sz w:val="28"/>
      <w:lang w:bidi="en-US"/>
    </w:rPr>
  </w:style>
  <w:style w:type="paragraph" w:styleId="Naslov4">
    <w:name w:val="heading 4"/>
    <w:basedOn w:val="Normal"/>
    <w:next w:val="Normal"/>
    <w:link w:val="Naslov4Char"/>
    <w:autoRedefine/>
    <w:uiPriority w:val="9"/>
    <w:qFormat/>
    <w:rsid w:val="00F3374A"/>
    <w:pPr>
      <w:keepNext/>
      <w:keepLines/>
      <w:spacing w:before="40"/>
      <w:ind w:left="864" w:hanging="864"/>
      <w:outlineLvl w:val="3"/>
    </w:pPr>
    <w:rPr>
      <w:rFonts w:eastAsiaTheme="majorEastAsia" w:cstheme="majorBidi"/>
      <w:iCs/>
      <w:color w:val="54883D"/>
      <w:lang w:bidi="en-US"/>
    </w:rPr>
  </w:style>
  <w:style w:type="paragraph" w:styleId="Naslov5">
    <w:name w:val="heading 5"/>
    <w:basedOn w:val="Normal"/>
    <w:next w:val="Normal"/>
    <w:link w:val="Naslov5Char"/>
    <w:autoRedefine/>
    <w:qFormat/>
    <w:rsid w:val="00E23981"/>
    <w:pPr>
      <w:keepNext/>
      <w:keepLines/>
      <w:numPr>
        <w:ilvl w:val="4"/>
        <w:numId w:val="1"/>
      </w:numPr>
      <w:spacing w:before="40"/>
      <w:outlineLvl w:val="4"/>
    </w:pPr>
    <w:rPr>
      <w:rFonts w:eastAsiaTheme="majorEastAsia" w:cstheme="majorBidi"/>
      <w:color w:val="54883D"/>
    </w:rPr>
  </w:style>
  <w:style w:type="paragraph" w:styleId="Naslov6">
    <w:name w:val="heading 6"/>
    <w:basedOn w:val="Normal"/>
    <w:next w:val="Normal"/>
    <w:link w:val="Naslov6Char"/>
    <w:autoRedefine/>
    <w:qFormat/>
    <w:rsid w:val="00E23981"/>
    <w:pPr>
      <w:keepNext/>
      <w:keepLines/>
      <w:numPr>
        <w:ilvl w:val="5"/>
        <w:numId w:val="1"/>
      </w:numPr>
      <w:spacing w:before="40"/>
      <w:outlineLvl w:val="5"/>
    </w:pPr>
    <w:rPr>
      <w:rFonts w:eastAsiaTheme="majorEastAsia" w:cstheme="majorBidi"/>
      <w:color w:val="54883D"/>
    </w:rPr>
  </w:style>
  <w:style w:type="paragraph" w:styleId="Naslov7">
    <w:name w:val="heading 7"/>
    <w:basedOn w:val="Normal"/>
    <w:next w:val="Normal"/>
    <w:link w:val="Naslov7Char"/>
    <w:autoRedefine/>
    <w:unhideWhenUsed/>
    <w:qFormat/>
    <w:rsid w:val="00E23981"/>
    <w:pPr>
      <w:keepNext/>
      <w:keepLines/>
      <w:numPr>
        <w:ilvl w:val="6"/>
        <w:numId w:val="1"/>
      </w:numPr>
      <w:spacing w:before="40"/>
      <w:outlineLvl w:val="6"/>
    </w:pPr>
    <w:rPr>
      <w:rFonts w:eastAsiaTheme="majorEastAsia" w:cstheme="majorBidi"/>
      <w:i/>
      <w:iCs/>
      <w:color w:val="54883D"/>
    </w:rPr>
  </w:style>
  <w:style w:type="paragraph" w:styleId="Naslov8">
    <w:name w:val="heading 8"/>
    <w:basedOn w:val="Normal"/>
    <w:next w:val="Normal"/>
    <w:link w:val="Naslov8Char"/>
    <w:uiPriority w:val="9"/>
    <w:unhideWhenUsed/>
    <w:qFormat/>
    <w:rsid w:val="00C578E3"/>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ormal"/>
    <w:next w:val="Normal"/>
    <w:link w:val="Naslov9Char"/>
    <w:uiPriority w:val="9"/>
    <w:unhideWhenUsed/>
    <w:qFormat/>
    <w:rsid w:val="00C578E3"/>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TekstbaloniaChar">
    <w:name w:val="Tekst balončića Char"/>
    <w:basedOn w:val="Zadanifontodlomka"/>
    <w:link w:val="Tekstbalonia"/>
    <w:uiPriority w:val="99"/>
    <w:semiHidden/>
    <w:qFormat/>
    <w:rsid w:val="00E23981"/>
    <w:rPr>
      <w:rFonts w:ascii="Tahoma" w:eastAsia="Times New Roman" w:hAnsi="Tahoma" w:cs="Tahoma"/>
      <w:sz w:val="16"/>
      <w:szCs w:val="16"/>
    </w:rPr>
  </w:style>
  <w:style w:type="character" w:customStyle="1" w:styleId="ZaglavljeChar">
    <w:name w:val="Zaglavlje Char"/>
    <w:basedOn w:val="Zadanifontodlomka"/>
    <w:link w:val="Zaglavlje"/>
    <w:uiPriority w:val="99"/>
    <w:qFormat/>
    <w:rsid w:val="000B54BF"/>
    <w:rPr>
      <w:rFonts w:ascii="Adviso OTF Std" w:eastAsia="Times New Roman" w:hAnsi="Adviso OTF Std" w:cs="Times New Roman"/>
      <w:color w:val="595959" w:themeColor="text1" w:themeTint="A6"/>
      <w:sz w:val="24"/>
      <w:szCs w:val="24"/>
    </w:rPr>
  </w:style>
  <w:style w:type="character" w:customStyle="1" w:styleId="PodnojeChar">
    <w:name w:val="Podnožje Char"/>
    <w:basedOn w:val="Zadanifontodlomka"/>
    <w:link w:val="Podnoje"/>
    <w:uiPriority w:val="99"/>
    <w:qFormat/>
    <w:rsid w:val="00E03BF5"/>
    <w:rPr>
      <w:rFonts w:ascii="Adviso OTF Std" w:eastAsia="Times New Roman" w:hAnsi="Adviso OTF Std" w:cs="Times New Roman"/>
      <w:sz w:val="24"/>
      <w:szCs w:val="24"/>
    </w:rPr>
  </w:style>
  <w:style w:type="character" w:customStyle="1" w:styleId="Internetskapoveznica">
    <w:name w:val="Internetska poveznica"/>
    <w:basedOn w:val="Zadanifontodlomka"/>
    <w:uiPriority w:val="99"/>
    <w:rsid w:val="001F1D2A"/>
    <w:rPr>
      <w:rFonts w:ascii="Arial" w:hAnsi="Arial"/>
      <w:color w:val="0000FF"/>
      <w:u w:val="single"/>
    </w:rPr>
  </w:style>
  <w:style w:type="character" w:customStyle="1" w:styleId="Naslov1Char">
    <w:name w:val="Naslov 1 Char"/>
    <w:basedOn w:val="Zadanifontodlomka"/>
    <w:link w:val="Naslov1"/>
    <w:qFormat/>
    <w:rsid w:val="00324335"/>
    <w:rPr>
      <w:rFonts w:ascii="Arial" w:eastAsiaTheme="majorEastAsia" w:hAnsi="Arial" w:cs="Arial"/>
      <w:b/>
      <w:sz w:val="32"/>
      <w:szCs w:val="32"/>
    </w:rPr>
  </w:style>
  <w:style w:type="character" w:customStyle="1" w:styleId="NaglaencitatChar">
    <w:name w:val="Naglašen citat Char"/>
    <w:basedOn w:val="Zadanifontodlomka"/>
    <w:link w:val="Naglaencitat"/>
    <w:qFormat/>
    <w:rsid w:val="00FE73E7"/>
    <w:rPr>
      <w:rFonts w:ascii="Adviso OTF Std" w:eastAsia="Times New Roman" w:hAnsi="Adviso OTF Std" w:cs="Arial"/>
      <w:i/>
      <w:iCs/>
      <w:color w:val="54883D"/>
      <w:szCs w:val="24"/>
    </w:rPr>
  </w:style>
  <w:style w:type="character" w:customStyle="1" w:styleId="Naslov2Char">
    <w:name w:val="Naslov 2 Char"/>
    <w:basedOn w:val="Zadanifontodlomka"/>
    <w:link w:val="Naslov2"/>
    <w:qFormat/>
    <w:rsid w:val="00266B12"/>
    <w:rPr>
      <w:rFonts w:ascii="Arial" w:eastAsia="Times New Roman" w:hAnsi="Arial" w:cs="Arial"/>
      <w:bCs/>
      <w:color w:val="54883D"/>
      <w:sz w:val="32"/>
      <w:szCs w:val="24"/>
      <w:lang w:bidi="en-US"/>
    </w:rPr>
  </w:style>
  <w:style w:type="character" w:customStyle="1" w:styleId="Naslov3Char">
    <w:name w:val="Naslov 3 Char"/>
    <w:basedOn w:val="Zadanifontodlomka"/>
    <w:link w:val="Naslov3"/>
    <w:qFormat/>
    <w:rsid w:val="00CC45B3"/>
    <w:rPr>
      <w:rFonts w:ascii="Arial" w:eastAsia="Times New Roman" w:hAnsi="Arial" w:cstheme="majorBidi"/>
      <w:color w:val="54883D"/>
      <w:sz w:val="28"/>
      <w:szCs w:val="24"/>
      <w:lang w:bidi="en-US"/>
    </w:rPr>
  </w:style>
  <w:style w:type="character" w:styleId="Naglaeno">
    <w:name w:val="Strong"/>
    <w:basedOn w:val="Zadanifontodlomka"/>
    <w:uiPriority w:val="22"/>
    <w:qFormat/>
    <w:rsid w:val="001F1D2A"/>
    <w:rPr>
      <w:rFonts w:ascii="Arial" w:hAnsi="Arial"/>
      <w:b/>
      <w:bCs/>
    </w:rPr>
  </w:style>
  <w:style w:type="character" w:styleId="Referencakomentara">
    <w:name w:val="annotation reference"/>
    <w:basedOn w:val="Zadanifontodlomka"/>
    <w:uiPriority w:val="99"/>
    <w:semiHidden/>
    <w:unhideWhenUsed/>
    <w:qFormat/>
    <w:rsid w:val="005D146B"/>
    <w:rPr>
      <w:sz w:val="16"/>
      <w:szCs w:val="16"/>
    </w:rPr>
  </w:style>
  <w:style w:type="character" w:customStyle="1" w:styleId="TekstkomentaraChar">
    <w:name w:val="Tekst komentara Char"/>
    <w:basedOn w:val="Zadanifontodlomka"/>
    <w:link w:val="Tekstkomentara"/>
    <w:uiPriority w:val="99"/>
    <w:semiHidden/>
    <w:qFormat/>
    <w:rsid w:val="005D146B"/>
    <w:rPr>
      <w:sz w:val="20"/>
      <w:szCs w:val="20"/>
    </w:rPr>
  </w:style>
  <w:style w:type="character" w:customStyle="1" w:styleId="PredmetkomentaraChar">
    <w:name w:val="Predmet komentara Char"/>
    <w:basedOn w:val="TekstkomentaraChar"/>
    <w:link w:val="Predmetkomentara"/>
    <w:uiPriority w:val="99"/>
    <w:semiHidden/>
    <w:qFormat/>
    <w:rsid w:val="005D146B"/>
    <w:rPr>
      <w:b/>
      <w:bCs/>
      <w:sz w:val="20"/>
      <w:szCs w:val="20"/>
    </w:rPr>
  </w:style>
  <w:style w:type="character" w:customStyle="1" w:styleId="TijelotekstaChar">
    <w:name w:val="Tijelo teksta Char"/>
    <w:basedOn w:val="Zadanifontodlomka"/>
    <w:link w:val="Tijeloteksta"/>
    <w:semiHidden/>
    <w:qFormat/>
    <w:rsid w:val="00E23981"/>
    <w:rPr>
      <w:rFonts w:ascii="Adviso OTF Std" w:eastAsia="Times New Roman" w:hAnsi="Adviso OTF Std" w:cs="Times New Roman"/>
      <w:sz w:val="24"/>
      <w:szCs w:val="24"/>
    </w:rPr>
  </w:style>
  <w:style w:type="character" w:customStyle="1" w:styleId="UvuenotijelotekstaChar">
    <w:name w:val="Uvučeno tijelo teksta Char"/>
    <w:basedOn w:val="TijelotekstaChar"/>
    <w:link w:val="Uvuenotijeloteksta"/>
    <w:qFormat/>
    <w:rsid w:val="00777B54"/>
    <w:rPr>
      <w:rFonts w:ascii="Arial" w:eastAsia="Times New Roman" w:hAnsi="Arial" w:cs="Arial"/>
      <w:color w:val="000000" w:themeColor="text1"/>
      <w:sz w:val="24"/>
      <w:szCs w:val="24"/>
    </w:rPr>
  </w:style>
  <w:style w:type="character" w:styleId="Naslovknjige">
    <w:name w:val="Book Title"/>
    <w:basedOn w:val="Zadanifontodlomka"/>
    <w:uiPriority w:val="33"/>
    <w:qFormat/>
    <w:rsid w:val="00777B54"/>
    <w:rPr>
      <w:rFonts w:ascii="Arial" w:hAnsi="Arial"/>
      <w:b/>
      <w:bCs/>
      <w:i/>
      <w:iCs/>
      <w:spacing w:val="5"/>
    </w:rPr>
  </w:style>
  <w:style w:type="character" w:customStyle="1" w:styleId="DatumChar">
    <w:name w:val="Datum Char"/>
    <w:basedOn w:val="Zadanifontodlomka"/>
    <w:link w:val="Datum"/>
    <w:qFormat/>
    <w:rsid w:val="008F28B1"/>
    <w:rPr>
      <w:rFonts w:ascii="Arial" w:eastAsia="Times New Roman" w:hAnsi="Arial" w:cs="Arial"/>
      <w:color w:val="000000" w:themeColor="text1"/>
      <w:szCs w:val="24"/>
    </w:rPr>
  </w:style>
  <w:style w:type="character" w:styleId="Istaknuto">
    <w:name w:val="Emphasis"/>
    <w:basedOn w:val="Zadanifontodlomka"/>
    <w:qFormat/>
    <w:rsid w:val="00777B54"/>
    <w:rPr>
      <w:rFonts w:ascii="Arial" w:hAnsi="Arial"/>
      <w:i/>
      <w:iCs/>
    </w:rPr>
  </w:style>
  <w:style w:type="character" w:styleId="SlijeenaHiperveza">
    <w:name w:val="FollowedHyperlink"/>
    <w:basedOn w:val="Zadanifontodlomka"/>
    <w:qFormat/>
    <w:rsid w:val="00777B54"/>
    <w:rPr>
      <w:rFonts w:ascii="Arial" w:hAnsi="Arial"/>
      <w:color w:val="800080" w:themeColor="followedHyperlink"/>
      <w:u w:val="single"/>
    </w:rPr>
  </w:style>
  <w:style w:type="character" w:customStyle="1" w:styleId="Naslov4Char">
    <w:name w:val="Naslov 4 Char"/>
    <w:basedOn w:val="Zadanifontodlomka"/>
    <w:link w:val="Naslov4"/>
    <w:qFormat/>
    <w:rsid w:val="00F3374A"/>
    <w:rPr>
      <w:rFonts w:ascii="Arial" w:eastAsiaTheme="majorEastAsia" w:hAnsi="Arial" w:cstheme="majorBidi"/>
      <w:iCs/>
      <w:color w:val="54883D"/>
      <w:szCs w:val="24"/>
      <w:lang w:bidi="en-US"/>
    </w:rPr>
  </w:style>
  <w:style w:type="character" w:customStyle="1" w:styleId="Naslov5Char">
    <w:name w:val="Naslov 5 Char"/>
    <w:basedOn w:val="Zadanifontodlomka"/>
    <w:link w:val="Naslov5"/>
    <w:qFormat/>
    <w:rsid w:val="00E23981"/>
    <w:rPr>
      <w:rFonts w:ascii="Arial" w:eastAsiaTheme="majorEastAsia" w:hAnsi="Arial" w:cstheme="majorBidi"/>
      <w:color w:val="54883D"/>
      <w:szCs w:val="24"/>
    </w:rPr>
  </w:style>
  <w:style w:type="character" w:customStyle="1" w:styleId="Naslov6Char">
    <w:name w:val="Naslov 6 Char"/>
    <w:basedOn w:val="Zadanifontodlomka"/>
    <w:link w:val="Naslov6"/>
    <w:qFormat/>
    <w:rsid w:val="00E23981"/>
    <w:rPr>
      <w:rFonts w:ascii="Arial" w:eastAsiaTheme="majorEastAsia" w:hAnsi="Arial" w:cstheme="majorBidi"/>
      <w:color w:val="54883D"/>
      <w:szCs w:val="24"/>
    </w:rPr>
  </w:style>
  <w:style w:type="character" w:customStyle="1" w:styleId="Naslov7Char">
    <w:name w:val="Naslov 7 Char"/>
    <w:basedOn w:val="Zadanifontodlomka"/>
    <w:link w:val="Naslov7"/>
    <w:qFormat/>
    <w:rsid w:val="00E23981"/>
    <w:rPr>
      <w:rFonts w:ascii="Arial" w:eastAsiaTheme="majorEastAsia" w:hAnsi="Arial" w:cstheme="majorBidi"/>
      <w:i/>
      <w:iCs/>
      <w:color w:val="54883D"/>
      <w:szCs w:val="24"/>
    </w:rPr>
  </w:style>
  <w:style w:type="character" w:styleId="Jakoisticanje">
    <w:name w:val="Intense Emphasis"/>
    <w:basedOn w:val="Zadanifontodlomka"/>
    <w:qFormat/>
    <w:rsid w:val="00777B54"/>
    <w:rPr>
      <w:rFonts w:ascii="Arial" w:hAnsi="Arial"/>
      <w:i/>
      <w:iCs/>
      <w:color w:val="6EAA42"/>
    </w:rPr>
  </w:style>
  <w:style w:type="character" w:styleId="Istaknutareferenca">
    <w:name w:val="Intense Reference"/>
    <w:basedOn w:val="Zadanifontodlomka"/>
    <w:qFormat/>
    <w:rsid w:val="00777B54"/>
    <w:rPr>
      <w:rFonts w:ascii="Arial" w:hAnsi="Arial"/>
      <w:b/>
      <w:bCs/>
      <w:smallCaps/>
      <w:color w:val="6EAA42"/>
      <w:spacing w:val="5"/>
    </w:rPr>
  </w:style>
  <w:style w:type="character" w:styleId="Brojstranice">
    <w:name w:val="page number"/>
    <w:basedOn w:val="Zadanifontodlomka"/>
    <w:qFormat/>
    <w:rsid w:val="00777B54"/>
    <w:rPr>
      <w:rFonts w:ascii="Arial" w:hAnsi="Arial"/>
    </w:rPr>
  </w:style>
  <w:style w:type="character" w:styleId="Tekstrezerviranogmjesta">
    <w:name w:val="Placeholder Text"/>
    <w:basedOn w:val="Zadanifontodlomka"/>
    <w:qFormat/>
    <w:rsid w:val="001F1D2A"/>
    <w:rPr>
      <w:rFonts w:ascii="Arial" w:hAnsi="Arial"/>
      <w:color w:val="808080"/>
    </w:rPr>
  </w:style>
  <w:style w:type="character" w:customStyle="1" w:styleId="CitatChar">
    <w:name w:val="Citat Char"/>
    <w:basedOn w:val="Zadanifontodlomka"/>
    <w:link w:val="Citat"/>
    <w:qFormat/>
    <w:rsid w:val="00E23981"/>
    <w:rPr>
      <w:rFonts w:ascii="Adviso OTF Std" w:eastAsia="Times New Roman" w:hAnsi="Adviso OTF Std" w:cs="Times New Roman"/>
      <w:i/>
      <w:iCs/>
      <w:color w:val="404040" w:themeColor="text1" w:themeTint="BF"/>
      <w:sz w:val="24"/>
      <w:szCs w:val="24"/>
    </w:rPr>
  </w:style>
  <w:style w:type="character" w:customStyle="1" w:styleId="PozdravChar">
    <w:name w:val="Pozdrav Char"/>
    <w:basedOn w:val="Zadanifontodlomka"/>
    <w:link w:val="Pozdrav"/>
    <w:qFormat/>
    <w:rsid w:val="00E23981"/>
    <w:rPr>
      <w:rFonts w:ascii="Adviso OTF Std" w:eastAsia="Times New Roman" w:hAnsi="Adviso OTF Std" w:cs="Times New Roman"/>
      <w:sz w:val="28"/>
      <w:szCs w:val="24"/>
    </w:rPr>
  </w:style>
  <w:style w:type="character" w:customStyle="1" w:styleId="PodnaslovChar">
    <w:name w:val="Podnaslov Char"/>
    <w:basedOn w:val="Zadanifontodlomka"/>
    <w:link w:val="Podnaslov"/>
    <w:qFormat/>
    <w:rsid w:val="00E23981"/>
    <w:rPr>
      <w:rFonts w:ascii="Adviso OTF Std" w:eastAsiaTheme="minorEastAsia" w:hAnsi="Adviso OTF Std"/>
      <w:color w:val="5A5A5A" w:themeColor="text1" w:themeTint="A5"/>
      <w:spacing w:val="15"/>
    </w:rPr>
  </w:style>
  <w:style w:type="character" w:styleId="Neupadljivoisticanje">
    <w:name w:val="Subtle Emphasis"/>
    <w:basedOn w:val="Zadanifontodlomka"/>
    <w:qFormat/>
    <w:rsid w:val="001F1D2A"/>
    <w:rPr>
      <w:rFonts w:ascii="Arial" w:hAnsi="Arial"/>
      <w:i/>
      <w:iCs/>
      <w:color w:val="404040" w:themeColor="text1" w:themeTint="BF"/>
    </w:rPr>
  </w:style>
  <w:style w:type="character" w:styleId="Neupadljivareferenca">
    <w:name w:val="Subtle Reference"/>
    <w:basedOn w:val="Zadanifontodlomka"/>
    <w:qFormat/>
    <w:rsid w:val="001F1D2A"/>
    <w:rPr>
      <w:rFonts w:ascii="Arial" w:hAnsi="Arial"/>
      <w:smallCaps/>
      <w:color w:val="5A5A5A" w:themeColor="text1" w:themeTint="A5"/>
    </w:rPr>
  </w:style>
  <w:style w:type="character" w:customStyle="1" w:styleId="NaslovChar">
    <w:name w:val="Naslov Char"/>
    <w:basedOn w:val="Zadanifontodlomka"/>
    <w:link w:val="Naslov"/>
    <w:qFormat/>
    <w:rsid w:val="00E23981"/>
    <w:rPr>
      <w:rFonts w:ascii="Adviso OTF Std" w:eastAsiaTheme="majorEastAsia" w:hAnsi="Adviso OTF Std" w:cstheme="majorBidi"/>
      <w:spacing w:val="-10"/>
      <w:kern w:val="2"/>
      <w:sz w:val="56"/>
      <w:szCs w:val="56"/>
    </w:rPr>
  </w:style>
  <w:style w:type="character" w:customStyle="1" w:styleId="Naslov8Char">
    <w:name w:val="Naslov 8 Char"/>
    <w:basedOn w:val="Zadanifontodlomka"/>
    <w:link w:val="Naslov8"/>
    <w:uiPriority w:val="9"/>
    <w:qFormat/>
    <w:rsid w:val="00C578E3"/>
    <w:rPr>
      <w:rFonts w:asciiTheme="majorHAnsi" w:eastAsiaTheme="majorEastAsia" w:hAnsiTheme="majorHAnsi" w:cstheme="majorBidi"/>
      <w:color w:val="272727" w:themeColor="text1" w:themeTint="D8"/>
      <w:sz w:val="21"/>
      <w:szCs w:val="21"/>
    </w:rPr>
  </w:style>
  <w:style w:type="character" w:customStyle="1" w:styleId="Naslov9Char">
    <w:name w:val="Naslov 9 Char"/>
    <w:basedOn w:val="Zadanifontodlomka"/>
    <w:link w:val="Naslov9"/>
    <w:uiPriority w:val="9"/>
    <w:qFormat/>
    <w:rsid w:val="00C578E3"/>
    <w:rPr>
      <w:rFonts w:asciiTheme="majorHAnsi" w:eastAsiaTheme="majorEastAsia" w:hAnsiTheme="majorHAnsi" w:cstheme="majorBidi"/>
      <w:i/>
      <w:iCs/>
      <w:color w:val="272727" w:themeColor="text1" w:themeTint="D8"/>
      <w:sz w:val="21"/>
      <w:szCs w:val="21"/>
    </w:rPr>
  </w:style>
  <w:style w:type="character" w:customStyle="1" w:styleId="TekstfusnoteChar">
    <w:name w:val="Tekst fusnote Char"/>
    <w:basedOn w:val="Zadanifontodlomka"/>
    <w:link w:val="Tekstfusnote"/>
    <w:uiPriority w:val="99"/>
    <w:qFormat/>
    <w:rsid w:val="00FE73E7"/>
    <w:rPr>
      <w:rFonts w:ascii="Adviso OTF Std" w:eastAsia="Times New Roman" w:hAnsi="Adviso OTF Std" w:cs="Arial"/>
      <w:color w:val="000000" w:themeColor="text1"/>
      <w:sz w:val="20"/>
      <w:szCs w:val="20"/>
    </w:rPr>
  </w:style>
  <w:style w:type="character" w:customStyle="1" w:styleId="Sidrofusnote">
    <w:name w:val="Sidro fusnote"/>
    <w:rPr>
      <w:vertAlign w:val="superscript"/>
    </w:rPr>
  </w:style>
  <w:style w:type="character" w:customStyle="1" w:styleId="FootnoteCharacters">
    <w:name w:val="Footnote Characters"/>
    <w:basedOn w:val="Zadanifontodlomka"/>
    <w:uiPriority w:val="99"/>
    <w:unhideWhenUsed/>
    <w:qFormat/>
    <w:rsid w:val="00FE73E7"/>
    <w:rPr>
      <w:vertAlign w:val="superscript"/>
    </w:rPr>
  </w:style>
  <w:style w:type="character" w:customStyle="1" w:styleId="Tijeloteksta2Char">
    <w:name w:val="Tijelo teksta 2 Char"/>
    <w:basedOn w:val="Zadanifontodlomka"/>
    <w:link w:val="Tijeloteksta2"/>
    <w:uiPriority w:val="99"/>
    <w:qFormat/>
    <w:rsid w:val="004464CA"/>
    <w:rPr>
      <w:rFonts w:ascii="Arial" w:eastAsia="Times New Roman" w:hAnsi="Arial" w:cs="Arial"/>
      <w:color w:val="000000" w:themeColor="text1"/>
      <w:szCs w:val="24"/>
    </w:rPr>
  </w:style>
  <w:style w:type="character" w:customStyle="1" w:styleId="apple-converted-space">
    <w:name w:val="apple-converted-space"/>
    <w:basedOn w:val="Zadanifontodlomka"/>
    <w:qFormat/>
    <w:rsid w:val="006551AA"/>
  </w:style>
  <w:style w:type="character" w:customStyle="1" w:styleId="Nerijeenospominjanje1">
    <w:name w:val="Neriješeno spominjanje1"/>
    <w:basedOn w:val="Zadanifontodlomka"/>
    <w:uiPriority w:val="99"/>
    <w:semiHidden/>
    <w:unhideWhenUsed/>
    <w:qFormat/>
    <w:rsid w:val="00C773EB"/>
  </w:style>
  <w:style w:type="character" w:customStyle="1" w:styleId="OdlomakpopisaChar">
    <w:name w:val="Odlomak popisa Char"/>
    <w:link w:val="Odlomakpopisa"/>
    <w:uiPriority w:val="34"/>
    <w:qFormat/>
    <w:locked/>
    <w:rsid w:val="00B341AA"/>
    <w:rPr>
      <w:rFonts w:ascii="Arial" w:eastAsia="Times New Roman" w:hAnsi="Arial" w:cs="Arial"/>
      <w:color w:val="000000" w:themeColor="text1"/>
      <w:sz w:val="20"/>
      <w:lang w:eastAsia="hr-HR"/>
    </w:rPr>
  </w:style>
  <w:style w:type="character" w:customStyle="1" w:styleId="BezproredaChar">
    <w:name w:val="Bez proreda Char"/>
    <w:link w:val="Bezproreda"/>
    <w:uiPriority w:val="1"/>
    <w:qFormat/>
    <w:locked/>
    <w:rsid w:val="003C2252"/>
    <w:rPr>
      <w:rFonts w:ascii="Arial" w:eastAsia="Times New Roman" w:hAnsi="Arial" w:cs="Times New Roman"/>
      <w:sz w:val="24"/>
      <w:szCs w:val="24"/>
    </w:rPr>
  </w:style>
  <w:style w:type="character" w:customStyle="1" w:styleId="grame">
    <w:name w:val="grame"/>
    <w:basedOn w:val="Zadanifontodlomka"/>
    <w:qFormat/>
    <w:rsid w:val="00450DCB"/>
  </w:style>
  <w:style w:type="character" w:customStyle="1" w:styleId="TekstkrajnjebiljekeChar">
    <w:name w:val="Tekst krajnje bilješke Char"/>
    <w:basedOn w:val="Zadanifontodlomka"/>
    <w:link w:val="Tekstkrajnjebiljeke"/>
    <w:uiPriority w:val="99"/>
    <w:semiHidden/>
    <w:qFormat/>
    <w:rsid w:val="00052606"/>
    <w:rPr>
      <w:rFonts w:ascii="Arial" w:eastAsia="Times New Roman" w:hAnsi="Arial" w:cs="Arial"/>
      <w:color w:val="000000" w:themeColor="text1"/>
      <w:sz w:val="20"/>
      <w:szCs w:val="20"/>
    </w:rPr>
  </w:style>
  <w:style w:type="character" w:customStyle="1" w:styleId="Sidrozavrnebiljeke">
    <w:name w:val="Sidro završne bilješke"/>
    <w:rPr>
      <w:vertAlign w:val="superscript"/>
    </w:rPr>
  </w:style>
  <w:style w:type="character" w:customStyle="1" w:styleId="EndnoteCharacters">
    <w:name w:val="Endnote Characters"/>
    <w:basedOn w:val="Zadanifontodlomka"/>
    <w:uiPriority w:val="99"/>
    <w:semiHidden/>
    <w:unhideWhenUsed/>
    <w:qFormat/>
    <w:rsid w:val="00052606"/>
    <w:rPr>
      <w:vertAlign w:val="superscript"/>
    </w:rPr>
  </w:style>
  <w:style w:type="character" w:customStyle="1" w:styleId="OdlomakCharChar">
    <w:name w:val="Odlomak Char Char"/>
    <w:link w:val="OdlomakChar"/>
    <w:qFormat/>
    <w:locked/>
    <w:rsid w:val="000D0E32"/>
    <w:rPr>
      <w:rFonts w:ascii="Arial" w:eastAsia="Calibri" w:hAnsi="Arial" w:cs="Times New Roman"/>
      <w:sz w:val="24"/>
      <w:szCs w:val="24"/>
      <w:shd w:val="clear" w:color="auto" w:fill="FFFFFF"/>
      <w:lang w:eastAsia="hr-HR"/>
    </w:rPr>
  </w:style>
  <w:style w:type="character" w:customStyle="1" w:styleId="Tijeloteksta-uvlaka3Char">
    <w:name w:val="Tijelo teksta - uvlaka 3 Char"/>
    <w:basedOn w:val="Zadanifontodlomka"/>
    <w:link w:val="Tijeloteksta-uvlaka3"/>
    <w:uiPriority w:val="99"/>
    <w:semiHidden/>
    <w:qFormat/>
    <w:rsid w:val="000D0E32"/>
    <w:rPr>
      <w:rFonts w:ascii="Arial" w:eastAsia="Times New Roman" w:hAnsi="Arial" w:cs="Arial"/>
      <w:color w:val="000000" w:themeColor="text1"/>
      <w:sz w:val="16"/>
      <w:szCs w:val="16"/>
    </w:rPr>
  </w:style>
  <w:style w:type="character" w:customStyle="1" w:styleId="naslov3Char0">
    <w:name w:val="naslov 3 Char"/>
    <w:basedOn w:val="Zadanifontodlomka"/>
    <w:qFormat/>
    <w:rsid w:val="008D058C"/>
    <w:rPr>
      <w:rFonts w:ascii="Arial" w:eastAsia="Times New Roman" w:hAnsi="Arial" w:cs="Arial"/>
      <w:color w:val="54883D"/>
      <w:szCs w:val="24"/>
      <w:u w:val="single"/>
    </w:rPr>
  </w:style>
  <w:style w:type="character" w:customStyle="1" w:styleId="TablicaChar">
    <w:name w:val="Tablica Char"/>
    <w:basedOn w:val="Zadanifontodlomka"/>
    <w:link w:val="Tablica"/>
    <w:qFormat/>
    <w:rsid w:val="00C773EB"/>
    <w:rPr>
      <w:rFonts w:ascii="Arial" w:eastAsia="Times New Roman" w:hAnsi="Arial" w:cs="Arial"/>
      <w:bCs/>
      <w:sz w:val="16"/>
      <w:szCs w:val="16"/>
      <w:lang w:eastAsia="hr-HR"/>
    </w:rPr>
  </w:style>
  <w:style w:type="character" w:customStyle="1" w:styleId="pre-line-span">
    <w:name w:val="pre-line-span"/>
    <w:basedOn w:val="Zadanifontodlomka"/>
    <w:qFormat/>
    <w:rsid w:val="00AD61F1"/>
  </w:style>
  <w:style w:type="character" w:customStyle="1" w:styleId="UnresolvedMention">
    <w:name w:val="Unresolved Mention"/>
    <w:basedOn w:val="Zadanifontodlomka"/>
    <w:uiPriority w:val="99"/>
    <w:semiHidden/>
    <w:unhideWhenUsed/>
    <w:qFormat/>
    <w:rsid w:val="00BD73DD"/>
    <w:rPr>
      <w:color w:val="605E5C"/>
      <w:shd w:val="clear" w:color="auto" w:fill="E1DFDD"/>
    </w:rPr>
  </w:style>
  <w:style w:type="character" w:customStyle="1" w:styleId="ListLabel1">
    <w:name w:val="ListLabel 1"/>
    <w:qFormat/>
    <w:rPr>
      <w:b w:val="0"/>
      <w:bCs w:val="0"/>
      <w:i w:val="0"/>
      <w:iCs w:val="0"/>
      <w:caps w:val="0"/>
      <w:smallCaps w:val="0"/>
      <w:strike w:val="0"/>
      <w:dstrike w:val="0"/>
      <w:vanish w:val="0"/>
      <w:color w:val="54883D"/>
      <w:spacing w:val="0"/>
      <w:kern w:val="0"/>
      <w:position w:val="0"/>
      <w:sz w:val="22"/>
      <w:u w:val="none"/>
      <w:effect w:val="none"/>
      <w:vertAlign w:val="baseline"/>
      <w:em w:val="none"/>
    </w:rPr>
  </w:style>
  <w:style w:type="character" w:customStyle="1" w:styleId="ListLabel2">
    <w:name w:val="ListLabel 2"/>
    <w:qFormat/>
    <w:rPr>
      <w:rFonts w:eastAsia="Calibri" w:cs="Times New Roman"/>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eastAsia="Times New Roman"/>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eastAsia="Calibri" w:cs="Calibri"/>
      <w:b/>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eastAsia="Times New Roman"/>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Times New Roman"/>
      <w:b/>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Times New Roman" w:cs="TimesNewRomanPSMT"/>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eastAsia="Times New Roman"/>
    </w:rPr>
  </w:style>
  <w:style w:type="character" w:customStyle="1" w:styleId="ListLabel30">
    <w:name w:val="ListLabel 30"/>
    <w:qFormat/>
    <w:rPr>
      <w:rFonts w:eastAsia="Calibri"/>
      <w:b/>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color w:val="auto"/>
    </w:rPr>
  </w:style>
  <w:style w:type="character" w:customStyle="1" w:styleId="ListLabel35">
    <w:name w:val="ListLabel 35"/>
    <w:qFormat/>
    <w:rPr>
      <w:color w:val="auto"/>
    </w:rPr>
  </w:style>
  <w:style w:type="character" w:customStyle="1" w:styleId="ListLabel36">
    <w:name w:val="ListLabel 36"/>
    <w:qFormat/>
    <w:rPr>
      <w:rFonts w:cs="Times New Roman"/>
    </w:rPr>
  </w:style>
  <w:style w:type="character" w:customStyle="1" w:styleId="ListLabel37">
    <w:name w:val="ListLabel 37"/>
    <w:qFormat/>
    <w:rPr>
      <w:rFonts w:cs="Times New Roman"/>
    </w:rPr>
  </w:style>
  <w:style w:type="character" w:customStyle="1" w:styleId="ListLabel38">
    <w:name w:val="ListLabel 38"/>
    <w:qFormat/>
    <w:rPr>
      <w:rFonts w:cs="Times New Roman"/>
    </w:rPr>
  </w:style>
  <w:style w:type="character" w:customStyle="1" w:styleId="ListLabel39">
    <w:name w:val="ListLabel 39"/>
    <w:qFormat/>
    <w:rPr>
      <w:rFonts w:cs="Times New Roman"/>
    </w:rPr>
  </w:style>
  <w:style w:type="character" w:customStyle="1" w:styleId="ListLabel40">
    <w:name w:val="ListLabel 40"/>
    <w:qFormat/>
    <w:rPr>
      <w:rFonts w:cs="Times New Roman"/>
    </w:rPr>
  </w:style>
  <w:style w:type="character" w:customStyle="1" w:styleId="ListLabel41">
    <w:name w:val="ListLabel 41"/>
    <w:qFormat/>
    <w:rPr>
      <w:rFonts w:cs="Times New Roman"/>
    </w:rPr>
  </w:style>
  <w:style w:type="character" w:customStyle="1" w:styleId="ListLabel42">
    <w:name w:val="ListLabel 42"/>
    <w:qFormat/>
    <w:rPr>
      <w:rFonts w:cs="Times New Roman"/>
    </w:rPr>
  </w:style>
  <w:style w:type="character" w:customStyle="1" w:styleId="ListLabel43">
    <w:name w:val="ListLabel 43"/>
    <w:qFormat/>
    <w:rPr>
      <w:rFonts w:eastAsia="Calibri" w:cs="Times New Roman"/>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eastAsia="Calibri" w:cs="Calibri"/>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eastAsia="Times New Roman"/>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cs="Courier New"/>
    </w:rPr>
  </w:style>
  <w:style w:type="character" w:customStyle="1" w:styleId="ListLabel55">
    <w:name w:val="ListLabel 55"/>
    <w:qFormat/>
    <w:rPr>
      <w:rFonts w:eastAsia="Calibri" w:cs="Times New Roman"/>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cs="Courier New"/>
    </w:rPr>
  </w:style>
  <w:style w:type="character" w:customStyle="1" w:styleId="ListLabel59">
    <w:name w:val="ListLabel 59"/>
    <w:qFormat/>
    <w:rPr>
      <w:rFonts w:eastAsia="Calibri" w:cs="Times New Roman"/>
    </w:rPr>
  </w:style>
  <w:style w:type="character" w:customStyle="1" w:styleId="ListLabel60">
    <w:name w:val="ListLabel 60"/>
    <w:qFormat/>
    <w:rPr>
      <w:rFonts w:cs="Courier New"/>
    </w:rPr>
  </w:style>
  <w:style w:type="character" w:customStyle="1" w:styleId="ListLabel61">
    <w:name w:val="ListLabel 61"/>
    <w:qFormat/>
    <w:rPr>
      <w:rFonts w:cs="Courier New"/>
    </w:rPr>
  </w:style>
  <w:style w:type="character" w:customStyle="1" w:styleId="ListLabel62">
    <w:name w:val="ListLabel 62"/>
    <w:qFormat/>
    <w:rPr>
      <w:rFonts w:cs="Courier New"/>
    </w:rPr>
  </w:style>
  <w:style w:type="character" w:customStyle="1" w:styleId="ListLabel63">
    <w:name w:val="ListLabel 63"/>
    <w:qFormat/>
    <w:rPr>
      <w:rFonts w:eastAsia="Calibri" w:cs="Times New Roman"/>
      <w:b/>
    </w:rPr>
  </w:style>
  <w:style w:type="character" w:customStyle="1" w:styleId="ListLabel64">
    <w:name w:val="ListLabel 64"/>
    <w:qFormat/>
    <w:rPr>
      <w:rFonts w:eastAsia="Times New Roman" w:cs="Arial"/>
    </w:rPr>
  </w:style>
  <w:style w:type="character" w:customStyle="1" w:styleId="ListLabel65">
    <w:name w:val="ListLabel 65"/>
    <w:qFormat/>
    <w:rPr>
      <w:rFonts w:cs="Courier New"/>
    </w:rPr>
  </w:style>
  <w:style w:type="character" w:customStyle="1" w:styleId="ListLabel66">
    <w:name w:val="ListLabel 66"/>
    <w:qFormat/>
    <w:rPr>
      <w:rFonts w:cs="Courier New"/>
    </w:rPr>
  </w:style>
  <w:style w:type="character" w:customStyle="1" w:styleId="ListLabel67">
    <w:name w:val="ListLabel 67"/>
    <w:qFormat/>
    <w:rPr>
      <w:rFonts w:eastAsia="Calibri" w:cs="Times New Roman"/>
    </w:rPr>
  </w:style>
  <w:style w:type="character" w:customStyle="1" w:styleId="ListLabel68">
    <w:name w:val="ListLabel 68"/>
    <w:qFormat/>
    <w:rPr>
      <w:rFonts w:cs="Courier New"/>
    </w:rPr>
  </w:style>
  <w:style w:type="character" w:customStyle="1" w:styleId="ListLabel69">
    <w:name w:val="ListLabel 69"/>
    <w:qFormat/>
    <w:rPr>
      <w:rFonts w:cs="Courier New"/>
    </w:rPr>
  </w:style>
  <w:style w:type="character" w:customStyle="1" w:styleId="ListLabel70">
    <w:name w:val="ListLabel 70"/>
    <w:qFormat/>
    <w:rPr>
      <w:rFonts w:cs="Courier New"/>
    </w:rPr>
  </w:style>
  <w:style w:type="character" w:customStyle="1" w:styleId="ListLabel71">
    <w:name w:val="ListLabel 71"/>
    <w:qFormat/>
    <w:rPr>
      <w:rFonts w:cs="Courier New"/>
    </w:rPr>
  </w:style>
  <w:style w:type="character" w:customStyle="1" w:styleId="ListLabel72">
    <w:name w:val="ListLabel 72"/>
    <w:qFormat/>
    <w:rPr>
      <w:rFonts w:cs="Courier New"/>
    </w:rPr>
  </w:style>
  <w:style w:type="character" w:customStyle="1" w:styleId="ListLabel73">
    <w:name w:val="ListLabel 73"/>
    <w:qFormat/>
    <w:rPr>
      <w:rFonts w:cs="Courier New"/>
    </w:rPr>
  </w:style>
  <w:style w:type="character" w:customStyle="1" w:styleId="ListLabel74">
    <w:name w:val="ListLabel 74"/>
    <w:qFormat/>
    <w:rPr>
      <w:rFonts w:eastAsia="Calibri" w:cs="Times New Roman"/>
    </w:rPr>
  </w:style>
  <w:style w:type="character" w:customStyle="1" w:styleId="ListLabel75">
    <w:name w:val="ListLabel 75"/>
    <w:qFormat/>
    <w:rPr>
      <w:rFonts w:cs="Courier New"/>
    </w:rPr>
  </w:style>
  <w:style w:type="character" w:customStyle="1" w:styleId="ListLabel76">
    <w:name w:val="ListLabel 76"/>
    <w:qFormat/>
    <w:rPr>
      <w:rFonts w:cs="Courier New"/>
    </w:rPr>
  </w:style>
  <w:style w:type="character" w:customStyle="1" w:styleId="ListLabel77">
    <w:name w:val="ListLabel 77"/>
    <w:qFormat/>
    <w:rPr>
      <w:rFonts w:cs="Courier New"/>
    </w:rPr>
  </w:style>
  <w:style w:type="character" w:customStyle="1" w:styleId="ListLabel78">
    <w:name w:val="ListLabel 78"/>
    <w:qFormat/>
    <w:rPr>
      <w:rFonts w:eastAsia="Calibri" w:cs="Times New Roman"/>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eastAsia="Calibri" w:cs="Times New Roman"/>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eastAsia="Calibri"/>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b w:val="0"/>
      <w:bCs w:val="0"/>
      <w:i w:val="0"/>
      <w:iCs w:val="0"/>
      <w:caps w:val="0"/>
      <w:smallCaps w:val="0"/>
      <w:strike w:val="0"/>
      <w:dstrike w:val="0"/>
      <w:vanish w:val="0"/>
      <w:color w:val="54883D"/>
      <w:spacing w:val="0"/>
      <w:kern w:val="0"/>
      <w:position w:val="0"/>
      <w:sz w:val="22"/>
      <w:u w:val="none"/>
      <w:effect w:val="none"/>
      <w:vertAlign w:val="baseline"/>
      <w:em w:val="none"/>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b w:val="0"/>
      <w:bCs w:val="0"/>
      <w:i w:val="0"/>
      <w:iCs w:val="0"/>
      <w:caps w:val="0"/>
      <w:smallCaps w:val="0"/>
      <w:strike w:val="0"/>
      <w:dstrike w:val="0"/>
      <w:vanish w:val="0"/>
      <w:color w:val="54883D"/>
      <w:spacing w:val="0"/>
      <w:kern w:val="0"/>
      <w:position w:val="0"/>
      <w:sz w:val="22"/>
      <w:u w:val="none"/>
      <w:effect w:val="none"/>
      <w:vertAlign w:val="baseline"/>
      <w:em w:val="none"/>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b/>
      <w:bCs/>
      <w:szCs w:val="22"/>
      <w:lang w:eastAsia="hr-HR"/>
    </w:rPr>
  </w:style>
  <w:style w:type="character" w:customStyle="1" w:styleId="ListLabel126">
    <w:name w:val="ListLabel 126"/>
    <w:qFormat/>
  </w:style>
  <w:style w:type="character" w:customStyle="1" w:styleId="ListLabel127">
    <w:name w:val="ListLabel 127"/>
    <w:qFormat/>
    <w:rPr>
      <w:color w:val="auto"/>
      <w:sz w:val="20"/>
      <w:szCs w:val="20"/>
      <w:u w:val="none"/>
    </w:rPr>
  </w:style>
  <w:style w:type="character" w:customStyle="1" w:styleId="ListLabel128">
    <w:name w:val="ListLabel 128"/>
    <w:qFormat/>
    <w:rPr>
      <w:rFonts w:cs="Arial"/>
      <w:color w:val="auto"/>
      <w:sz w:val="20"/>
      <w:szCs w:val="20"/>
      <w:u w:val="none"/>
    </w:rPr>
  </w:style>
  <w:style w:type="character" w:customStyle="1" w:styleId="ListLabel129">
    <w:name w:val="ListLabel 129"/>
    <w:qFormat/>
  </w:style>
  <w:style w:type="character" w:customStyle="1" w:styleId="ListLabel130">
    <w:name w:val="ListLabel 130"/>
    <w:qFormat/>
    <w:rPr>
      <w:rFonts w:eastAsia="Calibri"/>
      <w:bCs/>
      <w:sz w:val="20"/>
      <w:szCs w:val="18"/>
      <w:lang w:bidi="en-US"/>
    </w:rPr>
  </w:style>
  <w:style w:type="character" w:customStyle="1" w:styleId="ListLabel131">
    <w:name w:val="ListLabel 131"/>
    <w:qFormat/>
    <w:rPr>
      <w:sz w:val="22"/>
    </w:rPr>
  </w:style>
  <w:style w:type="character" w:customStyle="1" w:styleId="ListLabel132">
    <w:name w:val="ListLabel 132"/>
    <w:qFormat/>
    <w:rPr>
      <w:rFonts w:eastAsiaTheme="minorHAnsi"/>
      <w:bCs/>
      <w:szCs w:val="22"/>
    </w:rPr>
  </w:style>
  <w:style w:type="character" w:customStyle="1" w:styleId="Indeksirajvezu">
    <w:name w:val="Indeksiraj vezu"/>
    <w:qFormat/>
  </w:style>
  <w:style w:type="character" w:customStyle="1" w:styleId="Znakovifusnote">
    <w:name w:val="Znakovi fusnote"/>
    <w:qFormat/>
  </w:style>
  <w:style w:type="character" w:customStyle="1" w:styleId="Znakovioznaavanjazavrnihbiljeki">
    <w:name w:val="Znakovi označavanja završnih bilješki"/>
    <w:qFormat/>
  </w:style>
  <w:style w:type="paragraph" w:customStyle="1" w:styleId="Stilnaslova">
    <w:name w:val="Stil naslova"/>
    <w:basedOn w:val="Normal"/>
    <w:next w:val="Tijeloteksta"/>
    <w:qFormat/>
    <w:pPr>
      <w:keepNext/>
      <w:spacing w:before="240" w:after="120"/>
    </w:pPr>
    <w:rPr>
      <w:rFonts w:ascii="Liberation Sans" w:eastAsia="Microsoft YaHei" w:hAnsi="Liberation Sans"/>
      <w:sz w:val="28"/>
      <w:szCs w:val="28"/>
    </w:rPr>
  </w:style>
  <w:style w:type="paragraph" w:styleId="Tijeloteksta">
    <w:name w:val="Body Text"/>
    <w:basedOn w:val="Normal"/>
    <w:link w:val="TijelotekstaChar"/>
    <w:semiHidden/>
    <w:unhideWhenUsed/>
    <w:rsid w:val="00E23981"/>
    <w:pPr>
      <w:spacing w:after="120"/>
    </w:pPr>
  </w:style>
  <w:style w:type="paragraph" w:styleId="Popis">
    <w:name w:val="List"/>
    <w:basedOn w:val="Tijeloteksta"/>
  </w:style>
  <w:style w:type="paragraph" w:styleId="Opisslike">
    <w:name w:val="caption"/>
    <w:basedOn w:val="Normal"/>
    <w:next w:val="Normal"/>
    <w:autoRedefine/>
    <w:uiPriority w:val="35"/>
    <w:unhideWhenUsed/>
    <w:qFormat/>
    <w:rsid w:val="00F3374A"/>
    <w:pPr>
      <w:spacing w:before="0" w:after="240" w:line="240" w:lineRule="auto"/>
      <w:jc w:val="center"/>
    </w:pPr>
    <w:rPr>
      <w:rFonts w:eastAsiaTheme="minorHAnsi"/>
      <w:bCs/>
      <w:color w:val="54883D"/>
      <w:sz w:val="20"/>
      <w:szCs w:val="18"/>
      <w:lang w:bidi="en-US"/>
    </w:rPr>
  </w:style>
  <w:style w:type="paragraph" w:customStyle="1" w:styleId="Indeks">
    <w:name w:val="Indeks"/>
    <w:basedOn w:val="Normal"/>
    <w:qFormat/>
    <w:pPr>
      <w:suppressLineNumbers/>
    </w:pPr>
  </w:style>
  <w:style w:type="paragraph" w:styleId="Tekstbalonia">
    <w:name w:val="Balloon Text"/>
    <w:basedOn w:val="Normal"/>
    <w:link w:val="TekstbaloniaChar"/>
    <w:uiPriority w:val="99"/>
    <w:semiHidden/>
    <w:unhideWhenUsed/>
    <w:qFormat/>
    <w:rsid w:val="00E23981"/>
    <w:rPr>
      <w:rFonts w:ascii="Tahoma" w:hAnsi="Tahoma" w:cs="Tahoma"/>
      <w:sz w:val="16"/>
      <w:szCs w:val="16"/>
    </w:rPr>
  </w:style>
  <w:style w:type="paragraph" w:styleId="Zaglavlje">
    <w:name w:val="header"/>
    <w:basedOn w:val="Normal"/>
    <w:link w:val="ZaglavljeChar"/>
    <w:autoRedefine/>
    <w:uiPriority w:val="99"/>
    <w:unhideWhenUsed/>
    <w:rsid w:val="000B54BF"/>
    <w:pPr>
      <w:tabs>
        <w:tab w:val="left" w:pos="-142"/>
        <w:tab w:val="center" w:pos="4536"/>
        <w:tab w:val="right" w:pos="9072"/>
        <w:tab w:val="right" w:pos="9923"/>
      </w:tabs>
      <w:spacing w:before="0" w:after="0"/>
    </w:pPr>
    <w:rPr>
      <w:color w:val="595959" w:themeColor="text1" w:themeTint="A6"/>
    </w:rPr>
  </w:style>
  <w:style w:type="paragraph" w:styleId="Podnoje">
    <w:name w:val="footer"/>
    <w:basedOn w:val="Normal"/>
    <w:link w:val="PodnojeChar"/>
    <w:autoRedefine/>
    <w:uiPriority w:val="99"/>
    <w:unhideWhenUsed/>
    <w:rsid w:val="00E03BF5"/>
    <w:pPr>
      <w:tabs>
        <w:tab w:val="center" w:pos="4536"/>
        <w:tab w:val="right" w:pos="9072"/>
      </w:tabs>
      <w:jc w:val="right"/>
    </w:pPr>
  </w:style>
  <w:style w:type="paragraph" w:styleId="Odlomakpopisa">
    <w:name w:val="List Paragraph"/>
    <w:basedOn w:val="Normal"/>
    <w:link w:val="OdlomakpopisaChar"/>
    <w:autoRedefine/>
    <w:uiPriority w:val="34"/>
    <w:qFormat/>
    <w:rsid w:val="00B341AA"/>
    <w:pPr>
      <w:tabs>
        <w:tab w:val="left" w:pos="360"/>
        <w:tab w:val="left" w:pos="2445"/>
      </w:tabs>
      <w:spacing w:before="72" w:after="72" w:line="240" w:lineRule="auto"/>
      <w:contextualSpacing/>
    </w:pPr>
    <w:rPr>
      <w:sz w:val="20"/>
      <w:szCs w:val="22"/>
      <w:lang w:eastAsia="hr-HR"/>
    </w:rPr>
  </w:style>
  <w:style w:type="paragraph" w:styleId="Naglaencitat">
    <w:name w:val="Intense Quote"/>
    <w:basedOn w:val="Normal"/>
    <w:next w:val="Normal"/>
    <w:link w:val="NaglaencitatChar"/>
    <w:autoRedefine/>
    <w:qFormat/>
    <w:rsid w:val="00FE73E7"/>
    <w:pPr>
      <w:spacing w:before="240" w:after="240"/>
      <w:ind w:right="864"/>
      <w:jc w:val="left"/>
    </w:pPr>
    <w:rPr>
      <w:i/>
      <w:iCs/>
      <w:color w:val="54883D"/>
    </w:rPr>
  </w:style>
  <w:style w:type="paragraph" w:styleId="Tablicaslika">
    <w:name w:val="table of figures"/>
    <w:basedOn w:val="Normal"/>
    <w:next w:val="Normal"/>
    <w:autoRedefine/>
    <w:uiPriority w:val="99"/>
    <w:unhideWhenUsed/>
    <w:qFormat/>
    <w:rsid w:val="009762C8"/>
    <w:pPr>
      <w:tabs>
        <w:tab w:val="left" w:pos="851"/>
        <w:tab w:val="right" w:pos="8222"/>
      </w:tabs>
      <w:spacing w:after="0"/>
      <w:jc w:val="left"/>
    </w:pPr>
    <w:rPr>
      <w:bCs/>
      <w:sz w:val="20"/>
      <w:szCs w:val="20"/>
      <w:u w:val="single"/>
    </w:rPr>
  </w:style>
  <w:style w:type="paragraph" w:styleId="Tekstkomentara">
    <w:name w:val="annotation text"/>
    <w:basedOn w:val="Normal"/>
    <w:link w:val="TekstkomentaraChar"/>
    <w:uiPriority w:val="99"/>
    <w:semiHidden/>
    <w:unhideWhenUsed/>
    <w:qFormat/>
    <w:rsid w:val="005D146B"/>
    <w:rPr>
      <w:sz w:val="20"/>
      <w:szCs w:val="20"/>
    </w:rPr>
  </w:style>
  <w:style w:type="paragraph" w:styleId="Predmetkomentara">
    <w:name w:val="annotation subject"/>
    <w:basedOn w:val="Tekstkomentara"/>
    <w:next w:val="Tekstkomentara"/>
    <w:link w:val="PredmetkomentaraChar"/>
    <w:uiPriority w:val="99"/>
    <w:semiHidden/>
    <w:unhideWhenUsed/>
    <w:qFormat/>
    <w:rsid w:val="005D146B"/>
    <w:rPr>
      <w:b/>
      <w:bCs/>
    </w:rPr>
  </w:style>
  <w:style w:type="paragraph" w:styleId="Sadraj1">
    <w:name w:val="toc 1"/>
    <w:basedOn w:val="Normal"/>
    <w:next w:val="Normal"/>
    <w:autoRedefine/>
    <w:uiPriority w:val="39"/>
    <w:unhideWhenUsed/>
    <w:rsid w:val="00CC625A"/>
    <w:pPr>
      <w:spacing w:before="360" w:after="360"/>
    </w:pPr>
    <w:rPr>
      <w:b/>
      <w:bCs/>
      <w:caps/>
      <w:u w:val="single"/>
    </w:rPr>
  </w:style>
  <w:style w:type="paragraph" w:styleId="Sadraj2">
    <w:name w:val="toc 2"/>
    <w:basedOn w:val="Normal"/>
    <w:next w:val="Normal"/>
    <w:autoRedefine/>
    <w:uiPriority w:val="39"/>
    <w:unhideWhenUsed/>
    <w:rsid w:val="00CC625A"/>
    <w:pPr>
      <w:spacing w:after="0"/>
    </w:pPr>
    <w:rPr>
      <w:b/>
      <w:bCs/>
      <w:smallCaps/>
    </w:rPr>
  </w:style>
  <w:style w:type="paragraph" w:styleId="Sadraj3">
    <w:name w:val="toc 3"/>
    <w:basedOn w:val="Normal"/>
    <w:next w:val="Normal"/>
    <w:autoRedefine/>
    <w:uiPriority w:val="39"/>
    <w:unhideWhenUsed/>
    <w:rsid w:val="00CC625A"/>
    <w:pPr>
      <w:spacing w:after="0"/>
    </w:pPr>
    <w:rPr>
      <w:smallCaps/>
    </w:rPr>
  </w:style>
  <w:style w:type="paragraph" w:styleId="Sadraj4">
    <w:name w:val="toc 4"/>
    <w:basedOn w:val="Normal"/>
    <w:next w:val="Normal"/>
    <w:autoRedefine/>
    <w:uiPriority w:val="39"/>
    <w:unhideWhenUsed/>
    <w:rsid w:val="00CC625A"/>
    <w:pPr>
      <w:spacing w:after="0"/>
    </w:pPr>
  </w:style>
  <w:style w:type="paragraph" w:styleId="Sadraj5">
    <w:name w:val="toc 5"/>
    <w:basedOn w:val="Normal"/>
    <w:next w:val="Normal"/>
    <w:autoRedefine/>
    <w:uiPriority w:val="39"/>
    <w:unhideWhenUsed/>
    <w:rsid w:val="00CC625A"/>
    <w:pPr>
      <w:spacing w:after="0"/>
    </w:pPr>
  </w:style>
  <w:style w:type="paragraph" w:styleId="Sadraj6">
    <w:name w:val="toc 6"/>
    <w:basedOn w:val="Normal"/>
    <w:next w:val="Normal"/>
    <w:autoRedefine/>
    <w:uiPriority w:val="39"/>
    <w:unhideWhenUsed/>
    <w:rsid w:val="00CC625A"/>
    <w:pPr>
      <w:spacing w:after="0"/>
    </w:pPr>
  </w:style>
  <w:style w:type="paragraph" w:styleId="Sadraj7">
    <w:name w:val="toc 7"/>
    <w:basedOn w:val="Normal"/>
    <w:next w:val="Normal"/>
    <w:autoRedefine/>
    <w:uiPriority w:val="39"/>
    <w:unhideWhenUsed/>
    <w:rsid w:val="00CC625A"/>
    <w:pPr>
      <w:spacing w:after="0"/>
    </w:pPr>
  </w:style>
  <w:style w:type="paragraph" w:styleId="Sadraj8">
    <w:name w:val="toc 8"/>
    <w:basedOn w:val="Normal"/>
    <w:next w:val="Normal"/>
    <w:autoRedefine/>
    <w:uiPriority w:val="39"/>
    <w:unhideWhenUsed/>
    <w:rsid w:val="00CC625A"/>
    <w:pPr>
      <w:spacing w:after="0"/>
    </w:pPr>
  </w:style>
  <w:style w:type="paragraph" w:styleId="Sadraj9">
    <w:name w:val="toc 9"/>
    <w:basedOn w:val="Normal"/>
    <w:next w:val="Normal"/>
    <w:autoRedefine/>
    <w:uiPriority w:val="39"/>
    <w:unhideWhenUsed/>
    <w:rsid w:val="00CC625A"/>
    <w:pPr>
      <w:spacing w:after="0"/>
    </w:pPr>
  </w:style>
  <w:style w:type="paragraph" w:styleId="Uvuenotijeloteksta">
    <w:name w:val="Body Text Indent"/>
    <w:basedOn w:val="Tijeloteksta"/>
    <w:link w:val="UvuenotijelotekstaChar"/>
    <w:autoRedefine/>
    <w:qFormat/>
    <w:rsid w:val="00777B54"/>
    <w:pPr>
      <w:spacing w:after="0"/>
      <w:ind w:firstLine="360"/>
    </w:pPr>
  </w:style>
  <w:style w:type="paragraph" w:customStyle="1" w:styleId="Bulletlist">
    <w:name w:val="Bullet list"/>
    <w:basedOn w:val="Odlomakpopisa"/>
    <w:autoRedefine/>
    <w:qFormat/>
    <w:rsid w:val="00777B54"/>
    <w:pPr>
      <w:spacing w:after="320" w:line="288" w:lineRule="auto"/>
    </w:pPr>
  </w:style>
  <w:style w:type="paragraph" w:styleId="Datum">
    <w:name w:val="Date"/>
    <w:basedOn w:val="Normal"/>
    <w:next w:val="Normal"/>
    <w:link w:val="DatumChar"/>
    <w:autoRedefine/>
    <w:qFormat/>
    <w:rsid w:val="008F28B1"/>
    <w:pPr>
      <w:jc w:val="center"/>
    </w:pPr>
  </w:style>
  <w:style w:type="paragraph" w:styleId="Grafikeoznake5">
    <w:name w:val="List Bullet 5"/>
    <w:basedOn w:val="Normal"/>
    <w:autoRedefine/>
    <w:rsid w:val="00E23981"/>
    <w:pPr>
      <w:ind w:left="1132" w:hanging="283"/>
      <w:contextualSpacing/>
    </w:pPr>
  </w:style>
  <w:style w:type="paragraph" w:styleId="Brojevi">
    <w:name w:val="List Number"/>
    <w:basedOn w:val="Normal"/>
    <w:autoRedefine/>
    <w:qFormat/>
    <w:rsid w:val="00E23981"/>
    <w:pPr>
      <w:contextualSpacing/>
    </w:pPr>
    <w:rPr>
      <w:b/>
      <w:i/>
      <w:sz w:val="28"/>
      <w:u w:val="single"/>
    </w:rPr>
  </w:style>
  <w:style w:type="paragraph" w:styleId="Bezproreda">
    <w:name w:val="No Spacing"/>
    <w:link w:val="BezproredaChar"/>
    <w:autoRedefine/>
    <w:uiPriority w:val="1"/>
    <w:qFormat/>
    <w:rsid w:val="00777B54"/>
    <w:rPr>
      <w:rFonts w:ascii="Arial" w:eastAsia="Times New Roman" w:hAnsi="Arial" w:cs="Times New Roman"/>
      <w:sz w:val="24"/>
      <w:szCs w:val="24"/>
    </w:rPr>
  </w:style>
  <w:style w:type="paragraph" w:customStyle="1" w:styleId="Opis">
    <w:name w:val="Opis"/>
    <w:basedOn w:val="Normal"/>
    <w:autoRedefine/>
    <w:qFormat/>
    <w:rsid w:val="00E23981"/>
    <w:rPr>
      <w:rFonts w:cs="Tahoma"/>
      <w:b/>
      <w:color w:val="54883D"/>
      <w:sz w:val="32"/>
    </w:rPr>
  </w:style>
  <w:style w:type="paragraph" w:styleId="Citat">
    <w:name w:val="Quote"/>
    <w:basedOn w:val="Normal"/>
    <w:next w:val="Normal"/>
    <w:link w:val="CitatChar"/>
    <w:autoRedefine/>
    <w:qFormat/>
    <w:rsid w:val="00E23981"/>
    <w:pPr>
      <w:spacing w:before="200"/>
      <w:ind w:left="864" w:right="864"/>
      <w:jc w:val="center"/>
    </w:pPr>
    <w:rPr>
      <w:i/>
      <w:iCs/>
      <w:color w:val="404040" w:themeColor="text1" w:themeTint="BF"/>
    </w:rPr>
  </w:style>
  <w:style w:type="paragraph" w:customStyle="1" w:styleId="sadraopisaBOLD">
    <w:name w:val="sadrža opisa BOLD"/>
    <w:basedOn w:val="Normal"/>
    <w:autoRedefine/>
    <w:qFormat/>
    <w:rsid w:val="00203619"/>
    <w:rPr>
      <w:sz w:val="40"/>
      <w:szCs w:val="40"/>
    </w:rPr>
  </w:style>
  <w:style w:type="paragraph" w:customStyle="1" w:styleId="sadrajopisa">
    <w:name w:val="sadržaj opisa"/>
    <w:basedOn w:val="sadraopisaBOLD"/>
    <w:autoRedefine/>
    <w:qFormat/>
    <w:rsid w:val="00E23981"/>
    <w:rPr>
      <w:sz w:val="28"/>
    </w:rPr>
  </w:style>
  <w:style w:type="paragraph" w:styleId="Pozdrav">
    <w:name w:val="Salutation"/>
    <w:basedOn w:val="Normal"/>
    <w:next w:val="Normal"/>
    <w:link w:val="PozdravChar"/>
    <w:autoRedefine/>
    <w:rsid w:val="00E23981"/>
    <w:rPr>
      <w:sz w:val="28"/>
    </w:rPr>
  </w:style>
  <w:style w:type="paragraph" w:styleId="Podnaslov">
    <w:name w:val="Subtitle"/>
    <w:basedOn w:val="Normal"/>
    <w:next w:val="Normal"/>
    <w:link w:val="PodnaslovChar"/>
    <w:autoRedefine/>
    <w:qFormat/>
    <w:rsid w:val="00E23981"/>
    <w:rPr>
      <w:rFonts w:eastAsiaTheme="minorEastAsia" w:cstheme="minorBidi"/>
      <w:color w:val="5A5A5A" w:themeColor="text1" w:themeTint="A5"/>
      <w:spacing w:val="15"/>
      <w:szCs w:val="22"/>
    </w:rPr>
  </w:style>
  <w:style w:type="paragraph" w:styleId="Naslov">
    <w:name w:val="Title"/>
    <w:basedOn w:val="Normal"/>
    <w:next w:val="Normal"/>
    <w:link w:val="NaslovChar"/>
    <w:autoRedefine/>
    <w:qFormat/>
    <w:rsid w:val="00E23981"/>
    <w:pPr>
      <w:contextualSpacing/>
    </w:pPr>
    <w:rPr>
      <w:rFonts w:eastAsiaTheme="majorEastAsia" w:cstheme="majorBidi"/>
      <w:spacing w:val="-10"/>
      <w:kern w:val="2"/>
      <w:sz w:val="56"/>
      <w:szCs w:val="56"/>
    </w:rPr>
  </w:style>
  <w:style w:type="paragraph" w:styleId="Tekstfusnote">
    <w:name w:val="footnote text"/>
    <w:basedOn w:val="Normal"/>
    <w:link w:val="TekstfusnoteChar"/>
    <w:uiPriority w:val="99"/>
    <w:unhideWhenUsed/>
    <w:rsid w:val="00FE73E7"/>
    <w:pPr>
      <w:spacing w:before="0" w:after="0" w:line="240" w:lineRule="auto"/>
    </w:pPr>
    <w:rPr>
      <w:sz w:val="20"/>
      <w:szCs w:val="20"/>
    </w:rPr>
  </w:style>
  <w:style w:type="paragraph" w:customStyle="1" w:styleId="FootnoteDLS">
    <w:name w:val="Footnote DLS"/>
    <w:basedOn w:val="Tekstfusnote"/>
    <w:autoRedefine/>
    <w:qFormat/>
    <w:rsid w:val="00777B54"/>
    <w:rPr>
      <w:sz w:val="18"/>
    </w:rPr>
  </w:style>
  <w:style w:type="paragraph" w:customStyle="1" w:styleId="Odlomak">
    <w:name w:val="Odlomak"/>
    <w:basedOn w:val="Normal"/>
    <w:qFormat/>
    <w:rsid w:val="00BB2E23"/>
    <w:pPr>
      <w:shd w:val="clear" w:color="auto" w:fill="FFFFFF"/>
      <w:suppressAutoHyphens/>
      <w:spacing w:before="0" w:after="0" w:line="360" w:lineRule="auto"/>
      <w:ind w:left="5" w:right="72" w:firstLine="703"/>
      <w:textAlignment w:val="baseline"/>
    </w:pPr>
    <w:rPr>
      <w:rFonts w:eastAsia="Calibri" w:cs="Times New Roman"/>
      <w:color w:val="auto"/>
      <w:sz w:val="24"/>
      <w:lang w:eastAsia="hr-HR"/>
    </w:rPr>
  </w:style>
  <w:style w:type="paragraph" w:styleId="Tijeloteksta2">
    <w:name w:val="Body Text 2"/>
    <w:basedOn w:val="Normal"/>
    <w:link w:val="Tijeloteksta2Char"/>
    <w:uiPriority w:val="99"/>
    <w:unhideWhenUsed/>
    <w:qFormat/>
    <w:rsid w:val="004464CA"/>
    <w:pPr>
      <w:spacing w:after="120" w:line="480" w:lineRule="auto"/>
    </w:pPr>
  </w:style>
  <w:style w:type="paragraph" w:customStyle="1" w:styleId="Default">
    <w:name w:val="Default"/>
    <w:qFormat/>
    <w:rsid w:val="00894BDE"/>
    <w:rPr>
      <w:rFonts w:ascii="Times New Roman" w:eastAsia="Calibri" w:hAnsi="Times New Roman" w:cs="Times New Roman"/>
      <w:color w:val="000000"/>
      <w:sz w:val="24"/>
      <w:szCs w:val="24"/>
    </w:rPr>
  </w:style>
  <w:style w:type="paragraph" w:styleId="StandardWeb">
    <w:name w:val="Normal (Web)"/>
    <w:basedOn w:val="Normal"/>
    <w:uiPriority w:val="99"/>
    <w:unhideWhenUsed/>
    <w:qFormat/>
    <w:rsid w:val="006551AA"/>
    <w:pPr>
      <w:spacing w:beforeAutospacing="1" w:afterAutospacing="1" w:line="240" w:lineRule="auto"/>
      <w:jc w:val="left"/>
    </w:pPr>
    <w:rPr>
      <w:rFonts w:ascii="Times New Roman" w:hAnsi="Times New Roman" w:cs="Times New Roman"/>
      <w:color w:val="auto"/>
      <w:sz w:val="24"/>
      <w:lang w:eastAsia="hr-HR"/>
    </w:rPr>
  </w:style>
  <w:style w:type="paragraph" w:customStyle="1" w:styleId="TableParagraph">
    <w:name w:val="Table Paragraph"/>
    <w:basedOn w:val="Normal"/>
    <w:uiPriority w:val="1"/>
    <w:qFormat/>
    <w:rsid w:val="006B4325"/>
    <w:pPr>
      <w:widowControl w:val="0"/>
      <w:spacing w:before="0" w:after="0" w:line="240" w:lineRule="auto"/>
      <w:jc w:val="left"/>
    </w:pPr>
    <w:rPr>
      <w:rFonts w:asciiTheme="minorHAnsi" w:eastAsiaTheme="minorHAnsi" w:hAnsiTheme="minorHAnsi" w:cstheme="minorBidi"/>
      <w:color w:val="auto"/>
      <w:szCs w:val="22"/>
      <w:lang w:val="en-US"/>
    </w:rPr>
  </w:style>
  <w:style w:type="paragraph" w:customStyle="1" w:styleId="OdlomakChar">
    <w:name w:val="Odlomak Char"/>
    <w:basedOn w:val="Normal"/>
    <w:link w:val="OdlomakCharChar"/>
    <w:qFormat/>
    <w:rsid w:val="00A80364"/>
    <w:pPr>
      <w:shd w:val="clear" w:color="auto" w:fill="FFFFFF"/>
      <w:suppressAutoHyphens/>
      <w:spacing w:before="0" w:after="0" w:line="360" w:lineRule="auto"/>
      <w:ind w:left="5" w:right="72" w:firstLine="703"/>
      <w:textAlignment w:val="baseline"/>
    </w:pPr>
    <w:rPr>
      <w:rFonts w:eastAsia="Calibri" w:cs="Times New Roman"/>
      <w:color w:val="auto"/>
      <w:sz w:val="24"/>
      <w:lang w:eastAsia="hr-HR"/>
    </w:rPr>
  </w:style>
  <w:style w:type="paragraph" w:customStyle="1" w:styleId="ColorfulList-Accent11">
    <w:name w:val="Colorful List - Accent 11"/>
    <w:basedOn w:val="Normal"/>
    <w:qFormat/>
    <w:rsid w:val="00A80364"/>
    <w:pPr>
      <w:suppressAutoHyphens/>
      <w:spacing w:before="0" w:after="0" w:line="360" w:lineRule="auto"/>
      <w:ind w:left="720"/>
      <w:textAlignment w:val="baseline"/>
    </w:pPr>
    <w:rPr>
      <w:rFonts w:ascii="Times New Roman" w:eastAsia="Calibri" w:hAnsi="Times New Roman" w:cs="Times New Roman"/>
      <w:color w:val="auto"/>
      <w:sz w:val="24"/>
      <w:lang w:eastAsia="hr-HR"/>
    </w:rPr>
  </w:style>
  <w:style w:type="paragraph" w:styleId="Tekstkrajnjebiljeke">
    <w:name w:val="endnote text"/>
    <w:basedOn w:val="Normal"/>
    <w:link w:val="TekstkrajnjebiljekeChar"/>
    <w:uiPriority w:val="99"/>
    <w:semiHidden/>
    <w:unhideWhenUsed/>
    <w:rsid w:val="00052606"/>
    <w:pPr>
      <w:spacing w:before="0" w:after="0" w:line="240" w:lineRule="auto"/>
    </w:pPr>
    <w:rPr>
      <w:sz w:val="20"/>
      <w:szCs w:val="20"/>
    </w:rPr>
  </w:style>
  <w:style w:type="paragraph" w:customStyle="1" w:styleId="Bezproreda3">
    <w:name w:val="Bez proreda3"/>
    <w:uiPriority w:val="1"/>
    <w:qFormat/>
    <w:rsid w:val="0035717D"/>
    <w:rPr>
      <w:rFonts w:eastAsia="Times New Roman" w:cs="Times New Roman"/>
    </w:rPr>
  </w:style>
  <w:style w:type="paragraph" w:customStyle="1" w:styleId="marine">
    <w:name w:val="marine"/>
    <w:basedOn w:val="Normal"/>
    <w:qFormat/>
    <w:rsid w:val="000D0E32"/>
    <w:pPr>
      <w:spacing w:before="0" w:after="0" w:line="240" w:lineRule="auto"/>
    </w:pPr>
    <w:rPr>
      <w:rFonts w:ascii="CRO_Korinna" w:hAnsi="CRO_Korinna" w:cs="Times New Roman"/>
      <w:color w:val="auto"/>
      <w:szCs w:val="20"/>
      <w:lang w:eastAsia="hr-HR"/>
    </w:rPr>
  </w:style>
  <w:style w:type="paragraph" w:customStyle="1" w:styleId="ZTekst1">
    <w:name w:val="ZTekst1"/>
    <w:basedOn w:val="Normal"/>
    <w:uiPriority w:val="99"/>
    <w:semiHidden/>
    <w:qFormat/>
    <w:rsid w:val="000D0E32"/>
    <w:pPr>
      <w:spacing w:before="0" w:after="140" w:line="240" w:lineRule="auto"/>
    </w:pPr>
    <w:rPr>
      <w:rFonts w:ascii="Aldine401 BT" w:hAnsi="Aldine401 BT"/>
      <w:color w:val="auto"/>
      <w:sz w:val="20"/>
      <w:lang w:eastAsia="hr-HR"/>
    </w:rPr>
  </w:style>
  <w:style w:type="paragraph" w:customStyle="1" w:styleId="Bezproreda1">
    <w:name w:val="Bez proreda1"/>
    <w:qFormat/>
    <w:rsid w:val="000D0E32"/>
    <w:rPr>
      <w:rFonts w:cs="Arial"/>
      <w:lang w:val="en-US"/>
    </w:rPr>
  </w:style>
  <w:style w:type="paragraph" w:customStyle="1" w:styleId="Tablicasadraj2">
    <w:name w:val="Tablica sadržaj2"/>
    <w:basedOn w:val="Normal"/>
    <w:uiPriority w:val="99"/>
    <w:semiHidden/>
    <w:qFormat/>
    <w:rsid w:val="000D0E32"/>
    <w:pPr>
      <w:tabs>
        <w:tab w:val="left" w:pos="1091"/>
        <w:tab w:val="left" w:pos="1553"/>
      </w:tabs>
      <w:spacing w:before="0" w:after="0" w:line="240" w:lineRule="auto"/>
      <w:jc w:val="center"/>
    </w:pPr>
    <w:rPr>
      <w:rFonts w:ascii="Aldine401 BT" w:hAnsi="Aldine401 BT"/>
      <w:color w:val="auto"/>
      <w:sz w:val="20"/>
      <w:lang w:eastAsia="hr-HR"/>
    </w:rPr>
  </w:style>
  <w:style w:type="paragraph" w:customStyle="1" w:styleId="SadrajTabliceOK">
    <w:name w:val="SadržajTablice OK"/>
    <w:basedOn w:val="Normal"/>
    <w:uiPriority w:val="99"/>
    <w:semiHidden/>
    <w:qFormat/>
    <w:rsid w:val="000D0E32"/>
    <w:pPr>
      <w:spacing w:before="0" w:after="0" w:line="240" w:lineRule="auto"/>
      <w:jc w:val="center"/>
    </w:pPr>
    <w:rPr>
      <w:rFonts w:ascii="Aldine401 BT" w:hAnsi="Aldine401 BT"/>
      <w:color w:val="auto"/>
      <w:sz w:val="16"/>
      <w:lang w:eastAsia="hr-HR"/>
    </w:rPr>
  </w:style>
  <w:style w:type="paragraph" w:customStyle="1" w:styleId="ZNaslov6">
    <w:name w:val="ZNaslov6"/>
    <w:basedOn w:val="Normal"/>
    <w:uiPriority w:val="99"/>
    <w:semiHidden/>
    <w:qFormat/>
    <w:rsid w:val="000D0E32"/>
    <w:pPr>
      <w:spacing w:before="0" w:after="100" w:line="240" w:lineRule="auto"/>
      <w:ind w:left="907"/>
      <w:jc w:val="left"/>
    </w:pPr>
    <w:rPr>
      <w:rFonts w:ascii="Aldine401 BT" w:hAnsi="Aldine401 BT"/>
      <w:bCs/>
      <w:color w:val="auto"/>
      <w:sz w:val="20"/>
      <w:lang w:eastAsia="hr-HR"/>
    </w:rPr>
  </w:style>
  <w:style w:type="paragraph" w:styleId="Tijeloteksta-uvlaka3">
    <w:name w:val="Body Text Indent 3"/>
    <w:basedOn w:val="Normal"/>
    <w:link w:val="Tijeloteksta-uvlaka3Char"/>
    <w:uiPriority w:val="99"/>
    <w:semiHidden/>
    <w:unhideWhenUsed/>
    <w:qFormat/>
    <w:rsid w:val="000D0E32"/>
    <w:pPr>
      <w:spacing w:after="120"/>
      <w:ind w:left="283"/>
    </w:pPr>
    <w:rPr>
      <w:sz w:val="16"/>
      <w:szCs w:val="16"/>
    </w:rPr>
  </w:style>
  <w:style w:type="paragraph" w:customStyle="1" w:styleId="Sadrajitablice">
    <w:name w:val="Sadržaji tablice"/>
    <w:basedOn w:val="Normal"/>
    <w:qFormat/>
  </w:style>
  <w:style w:type="paragraph" w:customStyle="1" w:styleId="Naslovtablice">
    <w:name w:val="Naslov tablice"/>
    <w:basedOn w:val="Normal"/>
    <w:uiPriority w:val="99"/>
    <w:semiHidden/>
    <w:qFormat/>
    <w:rsid w:val="000D0E32"/>
    <w:pPr>
      <w:spacing w:before="480" w:after="40" w:line="240" w:lineRule="auto"/>
      <w:jc w:val="center"/>
    </w:pPr>
    <w:rPr>
      <w:rFonts w:ascii="Aldine401 BT" w:hAnsi="Aldine401 BT" w:cs="Times New Roman"/>
      <w:caps/>
      <w:color w:val="auto"/>
      <w:sz w:val="20"/>
      <w:szCs w:val="20"/>
      <w:lang w:eastAsia="hr-HR"/>
    </w:rPr>
  </w:style>
  <w:style w:type="paragraph" w:customStyle="1" w:styleId="Odlomakpopisa1">
    <w:name w:val="Odlomak popisa1"/>
    <w:basedOn w:val="Normal"/>
    <w:qFormat/>
    <w:rsid w:val="000D0E32"/>
    <w:rPr>
      <w:rFonts w:eastAsiaTheme="minorHAnsi"/>
    </w:rPr>
  </w:style>
  <w:style w:type="paragraph" w:customStyle="1" w:styleId="naslov30">
    <w:name w:val="naslov 3"/>
    <w:basedOn w:val="Normal"/>
    <w:qFormat/>
    <w:rsid w:val="008D058C"/>
    <w:rPr>
      <w:color w:val="54883D"/>
      <w:u w:val="single"/>
    </w:rPr>
  </w:style>
  <w:style w:type="paragraph" w:styleId="TOCNaslov">
    <w:name w:val="TOC Heading"/>
    <w:basedOn w:val="Naslov1"/>
    <w:next w:val="Normal"/>
    <w:uiPriority w:val="39"/>
    <w:unhideWhenUsed/>
    <w:qFormat/>
    <w:rsid w:val="00015D7A"/>
    <w:pPr>
      <w:numPr>
        <w:numId w:val="0"/>
      </w:numPr>
      <w:spacing w:after="0" w:line="259" w:lineRule="auto"/>
      <w:jc w:val="left"/>
    </w:pPr>
    <w:rPr>
      <w:rFonts w:asciiTheme="majorHAnsi" w:hAnsiTheme="majorHAnsi" w:cstheme="majorBidi"/>
      <w:b w:val="0"/>
      <w:color w:val="365F91" w:themeColor="accent1" w:themeShade="BF"/>
      <w:lang w:eastAsia="hr-HR"/>
    </w:rPr>
  </w:style>
  <w:style w:type="paragraph" w:customStyle="1" w:styleId="bulett1">
    <w:name w:val="bulett1"/>
    <w:basedOn w:val="Normal"/>
    <w:qFormat/>
    <w:rsid w:val="00C773EB"/>
    <w:pPr>
      <w:tabs>
        <w:tab w:val="left" w:pos="680"/>
      </w:tabs>
      <w:spacing w:before="0" w:after="0" w:line="400" w:lineRule="atLeast"/>
      <w:ind w:left="680" w:hanging="396"/>
    </w:pPr>
    <w:rPr>
      <w:rFonts w:ascii="Tahoma" w:eastAsia="Calibri" w:hAnsi="Tahoma" w:cs="Tahoma"/>
      <w:i/>
      <w:iCs/>
      <w:color w:val="auto"/>
      <w:szCs w:val="22"/>
      <w:lang w:eastAsia="hr-HR"/>
    </w:rPr>
  </w:style>
  <w:style w:type="paragraph" w:customStyle="1" w:styleId="StandardWeb1">
    <w:name w:val="Standard (Web)1"/>
    <w:basedOn w:val="Normal"/>
    <w:qFormat/>
    <w:rsid w:val="00C773EB"/>
    <w:pPr>
      <w:suppressAutoHyphens/>
      <w:spacing w:before="100" w:after="100" w:line="240" w:lineRule="auto"/>
      <w:jc w:val="left"/>
    </w:pPr>
    <w:rPr>
      <w:rFonts w:ascii="Times New Roman" w:hAnsi="Times New Roman" w:cs="Times New Roman"/>
      <w:color w:val="000000"/>
      <w:sz w:val="24"/>
      <w:szCs w:val="20"/>
      <w:lang w:eastAsia="ar-SA"/>
    </w:rPr>
  </w:style>
  <w:style w:type="paragraph" w:customStyle="1" w:styleId="Tablica">
    <w:name w:val="Tablica"/>
    <w:basedOn w:val="Normal"/>
    <w:link w:val="TablicaChar"/>
    <w:qFormat/>
    <w:rsid w:val="00C773EB"/>
    <w:pPr>
      <w:spacing w:before="0" w:after="0" w:line="240" w:lineRule="auto"/>
      <w:jc w:val="left"/>
    </w:pPr>
    <w:rPr>
      <w:bCs/>
      <w:color w:val="auto"/>
      <w:sz w:val="16"/>
      <w:szCs w:val="16"/>
      <w:lang w:eastAsia="hr-HR"/>
    </w:rPr>
  </w:style>
  <w:style w:type="paragraph" w:customStyle="1" w:styleId="Zaglavljelijevo">
    <w:name w:val="Zaglavlje lijevo"/>
    <w:basedOn w:val="Normal"/>
    <w:qFormat/>
    <w:rsid w:val="00C773EB"/>
    <w:pPr>
      <w:suppressLineNumbers/>
      <w:tabs>
        <w:tab w:val="center" w:pos="4677"/>
        <w:tab w:val="right" w:pos="9354"/>
      </w:tabs>
      <w:suppressAutoHyphens/>
      <w:spacing w:before="0" w:after="0" w:line="240" w:lineRule="auto"/>
      <w:jc w:val="left"/>
    </w:pPr>
    <w:rPr>
      <w:rFonts w:ascii="Times New Roman" w:hAnsi="Times New Roman" w:cs="Times New Roman"/>
      <w:color w:val="auto"/>
      <w:kern w:val="2"/>
      <w:sz w:val="20"/>
      <w:szCs w:val="20"/>
      <w:lang w:eastAsia="ar-SA"/>
    </w:rPr>
  </w:style>
  <w:style w:type="paragraph" w:customStyle="1" w:styleId="WW-Tijeloteksta">
    <w:name w:val="WW-Tijelo teksta"/>
    <w:basedOn w:val="Normal"/>
    <w:qFormat/>
    <w:rsid w:val="00C773EB"/>
    <w:pPr>
      <w:suppressAutoHyphens/>
      <w:spacing w:before="0" w:after="0" w:line="240" w:lineRule="auto"/>
      <w:ind w:firstLine="709"/>
      <w:jc w:val="left"/>
      <w:textAlignment w:val="baseline"/>
    </w:pPr>
    <w:rPr>
      <w:rFonts w:ascii="Times New Roman" w:hAnsi="Times New Roman" w:cs="Times New Roman"/>
      <w:color w:val="auto"/>
      <w:sz w:val="24"/>
      <w:szCs w:val="20"/>
      <w:lang w:eastAsia="ar-SA"/>
    </w:rPr>
  </w:style>
  <w:style w:type="paragraph" w:customStyle="1" w:styleId="Obtekst">
    <w:name w:val="Obtekst"/>
    <w:qFormat/>
    <w:rsid w:val="00C773EB"/>
    <w:pPr>
      <w:widowControl w:val="0"/>
      <w:suppressAutoHyphens/>
    </w:pPr>
    <w:rPr>
      <w:rFonts w:ascii="Times New Roman" w:eastAsia="Times New Roman" w:hAnsi="Times New Roman" w:cs="Times New Roman"/>
      <w:kern w:val="2"/>
      <w:sz w:val="20"/>
      <w:szCs w:val="20"/>
      <w:lang w:eastAsia="ar-SA"/>
    </w:rPr>
  </w:style>
  <w:style w:type="paragraph" w:customStyle="1" w:styleId="Sadrajokvira">
    <w:name w:val="Sadržaj okvira"/>
    <w:basedOn w:val="Normal"/>
    <w:qFormat/>
  </w:style>
  <w:style w:type="numbering" w:customStyle="1" w:styleId="WWOutlineListStyle1">
    <w:name w:val="WW_OutlineListStyle_1"/>
    <w:qFormat/>
    <w:rsid w:val="00396F1E"/>
  </w:style>
  <w:style w:type="numbering" w:customStyle="1" w:styleId="Bezpopisa1">
    <w:name w:val="Bez popisa1"/>
    <w:uiPriority w:val="99"/>
    <w:semiHidden/>
    <w:unhideWhenUsed/>
    <w:qFormat/>
    <w:rsid w:val="00450DCB"/>
  </w:style>
  <w:style w:type="numbering" w:customStyle="1" w:styleId="Bezpopisa2">
    <w:name w:val="Bez popisa2"/>
    <w:uiPriority w:val="99"/>
    <w:semiHidden/>
    <w:unhideWhenUsed/>
    <w:qFormat/>
    <w:rsid w:val="000D0E32"/>
  </w:style>
  <w:style w:type="numbering" w:customStyle="1" w:styleId="Bezpopisa11">
    <w:name w:val="Bez popisa11"/>
    <w:uiPriority w:val="99"/>
    <w:semiHidden/>
    <w:unhideWhenUsed/>
    <w:qFormat/>
    <w:rsid w:val="000D0E32"/>
  </w:style>
  <w:style w:type="table" w:styleId="Reetkatablice">
    <w:name w:val="Table Grid"/>
    <w:basedOn w:val="Obinatablica"/>
    <w:uiPriority w:val="59"/>
    <w:rsid w:val="00E23981"/>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Svijetlosjenanje-Isticanje1">
    <w:name w:val="Light Shading Accent 1"/>
    <w:basedOn w:val="Obinatablica"/>
    <w:uiPriority w:val="60"/>
    <w:rsid w:val="005D146B"/>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
    <w:name w:val="DLS LIGHT 2015"/>
    <w:basedOn w:val="Obinatablica"/>
    <w:uiPriority w:val="99"/>
    <w:rsid w:val="00E23981"/>
    <w:pPr>
      <w:jc w:val="center"/>
    </w:pPr>
    <w:rPr>
      <w:color w:val="000000" w:themeColor="text1"/>
      <w:sz w:val="24"/>
      <w:szCs w:val="24"/>
      <w:lang w:eastAsia="hr-HR"/>
    </w:rPr>
    <w:tblPr>
      <w:tblStyleRowBandSize w:val="1"/>
      <w:tblBorders>
        <w:top w:val="single" w:sz="2" w:space="0" w:color="6EAA42"/>
        <w:bottom w:val="single" w:sz="2" w:space="0" w:color="6EAA42"/>
        <w:insideH w:val="single" w:sz="2" w:space="0" w:color="6EAA42"/>
      </w:tblBorders>
    </w:tbl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
    <w:name w:val="Grid Table 2 - Accent 31"/>
    <w:basedOn w:val="Obinatablica"/>
    <w:uiPriority w:val="47"/>
    <w:rsid w:val="00E23981"/>
    <w:rPr>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
    <w:name w:val="Light Grid - Accent 12"/>
    <w:basedOn w:val="Obinatablica"/>
    <w:rsid w:val="00E23981"/>
    <w:rPr>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stTable2-Accent31">
    <w:name w:val="List Table 2 - Accent 31"/>
    <w:basedOn w:val="Obinatablica"/>
    <w:uiPriority w:val="47"/>
    <w:rsid w:val="00E23981"/>
    <w:rPr>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Obinatablica"/>
    <w:rsid w:val="00E23981"/>
    <w:rPr>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
    <w:name w:val="Plain Table 41"/>
    <w:basedOn w:val="Obinatablica"/>
    <w:uiPriority w:val="44"/>
    <w:rsid w:val="00E23981"/>
    <w:rPr>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Obinatablica"/>
    <w:uiPriority w:val="40"/>
    <w:rsid w:val="00EC196E"/>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Svijetlatablicareetke11">
    <w:name w:val="Svijetla tablica rešetke 11"/>
    <w:basedOn w:val="Obinatablica"/>
    <w:uiPriority w:val="46"/>
    <w:rsid w:val="000851F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Obinatablica11">
    <w:name w:val="Obična tablica 11"/>
    <w:basedOn w:val="Obinatablica"/>
    <w:uiPriority w:val="41"/>
    <w:rsid w:val="000E02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1">
    <w:name w:val="Živopisna tablica rešetke 6 - isticanje 31"/>
    <w:basedOn w:val="Obinatablica"/>
    <w:uiPriority w:val="51"/>
    <w:rsid w:val="0042797E"/>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1">
    <w:name w:val="Tablica rešetke 4 - isticanje 31"/>
    <w:basedOn w:val="Obinatablica"/>
    <w:uiPriority w:val="49"/>
    <w:rsid w:val="00A80364"/>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1">
    <w:name w:val="Tablica rešetke 4 - isticanje 61"/>
    <w:basedOn w:val="Obinatablica"/>
    <w:uiPriority w:val="49"/>
    <w:rsid w:val="00A80364"/>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1">
    <w:name w:val="Živopisna tablica 7 - isticanje 31"/>
    <w:basedOn w:val="Obinatablica"/>
    <w:uiPriority w:val="52"/>
    <w:rsid w:val="00C27444"/>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
    <w:name w:val="Tablica popisa 4 - isticanje 31"/>
    <w:basedOn w:val="Obinatablica"/>
    <w:uiPriority w:val="49"/>
    <w:rsid w:val="00470C48"/>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1">
    <w:name w:val="Živopisna tablica popisa 6 - isticanje 31"/>
    <w:basedOn w:val="Obinatablica"/>
    <w:uiPriority w:val="51"/>
    <w:rsid w:val="00470C48"/>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1">
    <w:name w:val="Svijetla tablica popisa 1 - isticanje 31"/>
    <w:basedOn w:val="Obinatablica"/>
    <w:uiPriority w:val="46"/>
    <w:rsid w:val="00400797"/>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1">
    <w:name w:val="Tablica rešetke 2 - isticanje 31"/>
    <w:basedOn w:val="Obinatablica"/>
    <w:uiPriority w:val="47"/>
    <w:rsid w:val="00D57DB7"/>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9">
    <w:name w:val="Živopisna tablica rešetke 6 - isticanje 319"/>
    <w:basedOn w:val="Obinatablica"/>
    <w:uiPriority w:val="51"/>
    <w:rsid w:val="00180C90"/>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
    <w:name w:val="Živopisna tablica rešetke 6 - isticanje 32"/>
    <w:basedOn w:val="Obinatablica"/>
    <w:uiPriority w:val="51"/>
    <w:rsid w:val="00E26261"/>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Srednjareetka3-Isticanje4">
    <w:name w:val="Medium Grid 3 Accent 4"/>
    <w:basedOn w:val="Obinatablica"/>
    <w:uiPriority w:val="69"/>
    <w:rsid w:val="00230945"/>
    <w:rPr>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icareetke3-isticanje31">
    <w:name w:val="Tablica rešetke 3 - isticanje 31"/>
    <w:basedOn w:val="Obinatablica"/>
    <w:uiPriority w:val="48"/>
    <w:rsid w:val="00230945"/>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ivopisnatablicareetke6-isticanje321">
    <w:name w:val="Živopisna tablica rešetke 6 - isticanje 321"/>
    <w:basedOn w:val="Obinatablica"/>
    <w:uiPriority w:val="51"/>
    <w:rsid w:val="00D9436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
    <w:name w:val="Živopisna tablica rešetke 6 - isticanje 322"/>
    <w:basedOn w:val="Obinatablica"/>
    <w:uiPriority w:val="51"/>
    <w:rsid w:val="00C6789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
    <w:name w:val="Živopisna tablica rešetke 6 - isticanje 33"/>
    <w:basedOn w:val="Obinatablica"/>
    <w:uiPriority w:val="51"/>
    <w:rsid w:val="00C6789C"/>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
    <w:name w:val="Živopisna tablica rešetke 6 - isticanje 311"/>
    <w:basedOn w:val="Obinatablica"/>
    <w:uiPriority w:val="51"/>
    <w:rsid w:val="00C6789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
    <w:name w:val="Živopisna tablica rešetke 6 - isticanje 331"/>
    <w:basedOn w:val="Obinatablica"/>
    <w:uiPriority w:val="51"/>
    <w:rsid w:val="00C6789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
    <w:name w:val="Živopisna tablica rešetke 6 - isticanje 34"/>
    <w:basedOn w:val="Obinatablica"/>
    <w:uiPriority w:val="51"/>
    <w:rsid w:val="00C6789C"/>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
    <w:name w:val="Živopisna tablica rešetke 6 - isticanje 312"/>
    <w:basedOn w:val="Obinatablica"/>
    <w:uiPriority w:val="51"/>
    <w:rsid w:val="0064522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
    <w:name w:val="Živopisna tablica rešetke 6 - isticanje 323"/>
    <w:basedOn w:val="Obinatablica"/>
    <w:uiPriority w:val="51"/>
    <w:rsid w:val="0064522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
    <w:name w:val="Živopisna tablica rešetke 6 - isticanje 324"/>
    <w:basedOn w:val="Obinatablica"/>
    <w:uiPriority w:val="51"/>
    <w:rsid w:val="0064522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
    <w:name w:val="Rešetka tablice1"/>
    <w:basedOn w:val="Obinatablica"/>
    <w:rsid w:val="00A87FF1"/>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
    <w:name w:val="Živopisna tablica rešetke 6 - isticanje 313"/>
    <w:basedOn w:val="Obinatablica"/>
    <w:uiPriority w:val="51"/>
    <w:rsid w:val="007C280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
    <w:name w:val="Živopisna tablica rešetke 6 - isticanje 325"/>
    <w:basedOn w:val="Obinatablica"/>
    <w:uiPriority w:val="51"/>
    <w:rsid w:val="007C280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
    <w:name w:val="Živopisna tablica rešetke 6 - isticanje 326"/>
    <w:basedOn w:val="Obinatablica"/>
    <w:uiPriority w:val="51"/>
    <w:rsid w:val="0020364E"/>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
    <w:name w:val="Živopisna tablica rešetke 6 - isticanje 327"/>
    <w:basedOn w:val="Obinatablica"/>
    <w:uiPriority w:val="51"/>
    <w:rsid w:val="0020364E"/>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
    <w:name w:val="Živopisna tablica rešetke 6 - isticanje 314"/>
    <w:basedOn w:val="Obinatablica"/>
    <w:uiPriority w:val="51"/>
    <w:rsid w:val="004A6A17"/>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
    <w:name w:val="Živopisna tablica rešetke 6 - isticanje 328"/>
    <w:basedOn w:val="Obinatablica"/>
    <w:uiPriority w:val="51"/>
    <w:rsid w:val="00B431A7"/>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
    <w:name w:val="Živopisna tablica rešetke 6 - isticanje 329"/>
    <w:basedOn w:val="Obinatablica"/>
    <w:uiPriority w:val="51"/>
    <w:rsid w:val="00B431A7"/>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
    <w:name w:val="Živopisna tablica rešetke 6 - isticanje 3210"/>
    <w:basedOn w:val="Obinatablica"/>
    <w:uiPriority w:val="51"/>
    <w:rsid w:val="00B431A7"/>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
    <w:name w:val="Živopisna tablica rešetke 6 - isticanje 315"/>
    <w:basedOn w:val="Obinatablica"/>
    <w:uiPriority w:val="51"/>
    <w:rsid w:val="00E54B7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
    <w:name w:val="Živopisna tablica rešetke 6 - isticanje 3211"/>
    <w:basedOn w:val="Obinatablica"/>
    <w:uiPriority w:val="51"/>
    <w:rsid w:val="00E54B7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
    <w:name w:val="Živopisna tablica rešetke 6 - isticanje 3212"/>
    <w:basedOn w:val="Obinatablica"/>
    <w:uiPriority w:val="51"/>
    <w:rsid w:val="00E54B7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
    <w:name w:val="Živopisna tablica rešetke 6 - isticanje 3213"/>
    <w:basedOn w:val="Obinatablica"/>
    <w:uiPriority w:val="51"/>
    <w:rsid w:val="00E54B7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
    <w:name w:val="Živopisna tablica rešetke 6 - isticanje 316"/>
    <w:basedOn w:val="Obinatablica"/>
    <w:uiPriority w:val="51"/>
    <w:rsid w:val="00607D74"/>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
    <w:name w:val="Živopisna tablica rešetke 6 - isticanje 3214"/>
    <w:basedOn w:val="Obinatablica"/>
    <w:uiPriority w:val="51"/>
    <w:rsid w:val="00607D74"/>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
    <w:name w:val="Živopisna tablica rešetke 6 - isticanje 341"/>
    <w:basedOn w:val="Obinatablica"/>
    <w:uiPriority w:val="51"/>
    <w:rsid w:val="00C56F9D"/>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
    <w:name w:val="Živopisna tablica rešetke 6 - isticanje 342"/>
    <w:basedOn w:val="Obinatablica"/>
    <w:uiPriority w:val="51"/>
    <w:rsid w:val="00130281"/>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
    <w:name w:val="Živopisna tablica rešetke 6 - isticanje 3121"/>
    <w:basedOn w:val="Obinatablica"/>
    <w:uiPriority w:val="51"/>
    <w:rsid w:val="007248CA"/>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2">
    <w:name w:val="Živopisna tablica rešetke 6 - isticanje 3122"/>
    <w:basedOn w:val="Obinatablica"/>
    <w:uiPriority w:val="51"/>
    <w:rsid w:val="00301B06"/>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
    <w:name w:val="Živopisna tablica rešetke 6 - isticanje 3123"/>
    <w:basedOn w:val="Obinatablica"/>
    <w:uiPriority w:val="51"/>
    <w:rsid w:val="00301B06"/>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
    <w:name w:val="Živopisna tablica rešetke 6 - isticanje 3124"/>
    <w:basedOn w:val="Obinatablica"/>
    <w:uiPriority w:val="51"/>
    <w:rsid w:val="00EA3925"/>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
    <w:name w:val="Živopisna tablica rešetke 6 - isticanje 3231"/>
    <w:basedOn w:val="Obinatablica"/>
    <w:uiPriority w:val="51"/>
    <w:rsid w:val="00E744F8"/>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
    <w:name w:val="Živopisna tablica rešetke 6 - isticanje 3232"/>
    <w:basedOn w:val="Obinatablica"/>
    <w:uiPriority w:val="51"/>
    <w:rsid w:val="002A465E"/>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3">
    <w:name w:val="Živopisna tablica rešetke 6 - isticanje 3233"/>
    <w:basedOn w:val="Obinatablica"/>
    <w:uiPriority w:val="51"/>
    <w:rsid w:val="00FD517D"/>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4">
    <w:name w:val="Živopisna tablica rešetke 6 - isticanje 3234"/>
    <w:basedOn w:val="Obinatablica"/>
    <w:uiPriority w:val="51"/>
    <w:rsid w:val="007E41A0"/>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5">
    <w:name w:val="Živopisna tablica rešetke 6 - isticanje 3235"/>
    <w:basedOn w:val="Obinatablica"/>
    <w:uiPriority w:val="51"/>
    <w:rsid w:val="0056724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6">
    <w:name w:val="Živopisna tablica rešetke 6 - isticanje 3236"/>
    <w:basedOn w:val="Obinatablica"/>
    <w:uiPriority w:val="51"/>
    <w:rsid w:val="0056724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
    <w:name w:val="Živopisna tablica rešetke 6 - isticanje 35"/>
    <w:basedOn w:val="Obinatablica"/>
    <w:uiPriority w:val="51"/>
    <w:rsid w:val="0056724F"/>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31">
    <w:name w:val="Živopisna tablica rešetke 6 - isticanje 31231"/>
    <w:basedOn w:val="Obinatablica"/>
    <w:uiPriority w:val="51"/>
    <w:rsid w:val="0056724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7">
    <w:name w:val="Živopisna tablica rešetke 6 - isticanje 3237"/>
    <w:basedOn w:val="Obinatablica"/>
    <w:uiPriority w:val="51"/>
    <w:rsid w:val="00321524"/>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8">
    <w:name w:val="Živopisna tablica rešetke 6 - isticanje 3238"/>
    <w:basedOn w:val="Obinatablica"/>
    <w:uiPriority w:val="51"/>
    <w:rsid w:val="00692691"/>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9">
    <w:name w:val="Živopisna tablica rešetke 6 - isticanje 3239"/>
    <w:basedOn w:val="Obinatablica"/>
    <w:uiPriority w:val="51"/>
    <w:rsid w:val="00D33D7D"/>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0">
    <w:name w:val="Živopisna tablica rešetke 6 - isticanje 32310"/>
    <w:basedOn w:val="Obinatablica"/>
    <w:uiPriority w:val="51"/>
    <w:rsid w:val="00D33D7D"/>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
    <w:name w:val="Rešetka tablice2"/>
    <w:basedOn w:val="Obinatablica"/>
    <w:uiPriority w:val="59"/>
    <w:rsid w:val="00D33D7D"/>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6">
    <w:name w:val="Živopisna tablica rešetke 6 - isticanje 36"/>
    <w:basedOn w:val="Obinatablica"/>
    <w:uiPriority w:val="51"/>
    <w:rsid w:val="00D33D7D"/>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11">
    <w:name w:val="Živopisna tablica rešetke 6 - isticanje 31211"/>
    <w:basedOn w:val="Obinatablica"/>
    <w:uiPriority w:val="51"/>
    <w:rsid w:val="00D33D7D"/>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1">
    <w:name w:val="Živopisna tablica rešetke 6 - isticanje 32311"/>
    <w:basedOn w:val="Obinatablica"/>
    <w:uiPriority w:val="51"/>
    <w:rsid w:val="00F41EE5"/>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3">
    <w:name w:val="Rešetka tablice3"/>
    <w:basedOn w:val="Obinatablica"/>
    <w:uiPriority w:val="59"/>
    <w:rsid w:val="00450DCB"/>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1">
    <w:name w:val="Svijetlo sjenčanje - Isticanje 11"/>
    <w:basedOn w:val="Obinatablica"/>
    <w:uiPriority w:val="60"/>
    <w:rsid w:val="00450DCB"/>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1">
    <w:name w:val="DLS LIGHT 20151"/>
    <w:basedOn w:val="Obinatablica"/>
    <w:uiPriority w:val="99"/>
    <w:rsid w:val="00450DCB"/>
    <w:pPr>
      <w:jc w:val="center"/>
    </w:pPr>
    <w:rPr>
      <w:color w:val="000000" w:themeColor="text1"/>
      <w:sz w:val="24"/>
      <w:szCs w:val="24"/>
      <w:lang w:eastAsia="hr-HR"/>
    </w:rPr>
    <w:tblPr>
      <w:tblStyleRowBandSize w:val="1"/>
      <w:tblBorders>
        <w:top w:val="single" w:sz="2" w:space="0" w:color="6EAA42"/>
        <w:bottom w:val="single" w:sz="2" w:space="0" w:color="6EAA42"/>
        <w:insideH w:val="single" w:sz="2" w:space="0" w:color="6EAA42"/>
      </w:tblBorders>
    </w:tbl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1">
    <w:name w:val="Grid Table 2 - Accent 311"/>
    <w:basedOn w:val="Obinatablica"/>
    <w:uiPriority w:val="47"/>
    <w:rsid w:val="00450DCB"/>
    <w:rPr>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1">
    <w:name w:val="Light Grid - Accent 121"/>
    <w:basedOn w:val="Obinatablica"/>
    <w:rsid w:val="00450DCB"/>
    <w:rPr>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DLSLIGHT1">
    <w:name w:val="DLS LIGHT1"/>
    <w:basedOn w:val="Obinatablica"/>
    <w:uiPriority w:val="47"/>
    <w:rsid w:val="00450DCB"/>
    <w:rPr>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1">
    <w:name w:val="Medium Shading 1 - Accent 111"/>
    <w:basedOn w:val="Obinatablica"/>
    <w:rsid w:val="00450DCB"/>
    <w:rPr>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1">
    <w:name w:val="Plain Table 411"/>
    <w:basedOn w:val="Obinatablica"/>
    <w:uiPriority w:val="44"/>
    <w:rsid w:val="00450DCB"/>
    <w:rPr>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
    <w:name w:val="Table Grid Light11"/>
    <w:basedOn w:val="Obinatablica"/>
    <w:uiPriority w:val="40"/>
    <w:rsid w:val="00450DCB"/>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Svijetlatablicareetke112">
    <w:name w:val="Svijetla tablica rešetke 112"/>
    <w:basedOn w:val="Obinatablica"/>
    <w:uiPriority w:val="46"/>
    <w:rsid w:val="00450DC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Obinatablica112">
    <w:name w:val="Obična tablica 112"/>
    <w:basedOn w:val="Obinatablica"/>
    <w:uiPriority w:val="41"/>
    <w:rsid w:val="00450DC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7">
    <w:name w:val="Živopisna tablica rešetke 6 - isticanje 37"/>
    <w:basedOn w:val="Obinatablica"/>
    <w:uiPriority w:val="51"/>
    <w:rsid w:val="00450DCB"/>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12">
    <w:name w:val="Tablica rešetke 4 - isticanje 312"/>
    <w:basedOn w:val="Obinatablica"/>
    <w:uiPriority w:val="49"/>
    <w:rsid w:val="00450DC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12">
    <w:name w:val="Tablica rešetke 4 - isticanje 612"/>
    <w:basedOn w:val="Obinatablica"/>
    <w:uiPriority w:val="49"/>
    <w:rsid w:val="00450DCB"/>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12">
    <w:name w:val="Živopisna tablica 7 - isticanje 312"/>
    <w:basedOn w:val="Obinatablica"/>
    <w:uiPriority w:val="52"/>
    <w:rsid w:val="00450DCB"/>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2">
    <w:name w:val="Tablica popisa 4 - isticanje 312"/>
    <w:basedOn w:val="Obinatablica"/>
    <w:uiPriority w:val="49"/>
    <w:rsid w:val="00450DC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12">
    <w:name w:val="Živopisna tablica popisa 6 - isticanje 312"/>
    <w:basedOn w:val="Obinatablica"/>
    <w:uiPriority w:val="51"/>
    <w:rsid w:val="00450DCB"/>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12">
    <w:name w:val="Svijetla tablica popisa 1 - isticanje 312"/>
    <w:basedOn w:val="Obinatablica"/>
    <w:uiPriority w:val="46"/>
    <w:rsid w:val="00450DCB"/>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12">
    <w:name w:val="Tablica rešetke 2 - isticanje 312"/>
    <w:basedOn w:val="Obinatablica"/>
    <w:uiPriority w:val="47"/>
    <w:rsid w:val="00450DCB"/>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7">
    <w:name w:val="Živopisna tablica rešetke 6 - isticanje 317"/>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5">
    <w:name w:val="Živopisna tablica rešetke 6 - isticanje 3215"/>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1">
    <w:name w:val="Srednja rešetka 3 - Isticanje 41"/>
    <w:basedOn w:val="Obinatablica"/>
    <w:uiPriority w:val="69"/>
    <w:rsid w:val="00450DCB"/>
    <w:rPr>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icareetke3-isticanje312">
    <w:name w:val="Tablica rešetke 3 - isticanje 312"/>
    <w:basedOn w:val="Obinatablica"/>
    <w:uiPriority w:val="48"/>
    <w:rsid w:val="00450DC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ivopisnatablicareetke6-isticanje3216">
    <w:name w:val="Živopisna tablica rešetke 6 - isticanje 3216"/>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1">
    <w:name w:val="Živopisna tablica rešetke 6 - isticanje 322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2">
    <w:name w:val="Živopisna tablica rešetke 6 - isticanje 332"/>
    <w:basedOn w:val="Obinatablica"/>
    <w:uiPriority w:val="51"/>
    <w:rsid w:val="00450DCB"/>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1">
    <w:name w:val="Živopisna tablica rešetke 6 - isticanje 311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1">
    <w:name w:val="Živopisna tablica rešetke 6 - isticanje 331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3">
    <w:name w:val="Živopisna tablica rešetke 6 - isticanje 343"/>
    <w:basedOn w:val="Obinatablica"/>
    <w:uiPriority w:val="51"/>
    <w:rsid w:val="00450DCB"/>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5">
    <w:name w:val="Živopisna tablica rešetke 6 - isticanje 3125"/>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2">
    <w:name w:val="Živopisna tablica rešetke 6 - isticanje 32312"/>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1">
    <w:name w:val="Živopisna tablica rešetke 6 - isticanje 324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1">
    <w:name w:val="Rešetka tablice11"/>
    <w:basedOn w:val="Obinatablica"/>
    <w:uiPriority w:val="59"/>
    <w:rsid w:val="00450DCB"/>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1">
    <w:name w:val="Živopisna tablica rešetke 6 - isticanje 313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1">
    <w:name w:val="Živopisna tablica rešetke 6 - isticanje 325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1">
    <w:name w:val="Živopisna tablica rešetke 6 - isticanje 326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1">
    <w:name w:val="Živopisna tablica rešetke 6 - isticanje 327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1">
    <w:name w:val="Živopisna tablica rešetke 6 - isticanje 314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1">
    <w:name w:val="Živopisna tablica rešetke 6 - isticanje 328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1">
    <w:name w:val="Živopisna tablica rešetke 6 - isticanje 329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1">
    <w:name w:val="Živopisna tablica rešetke 6 - isticanje 3210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1">
    <w:name w:val="Živopisna tablica rešetke 6 - isticanje 315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1">
    <w:name w:val="Živopisna tablica rešetke 6 - isticanje 3211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1">
    <w:name w:val="Živopisna tablica rešetke 6 - isticanje 3212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1">
    <w:name w:val="Živopisna tablica rešetke 6 - isticanje 3213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1">
    <w:name w:val="Živopisna tablica rešetke 6 - isticanje 316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1">
    <w:name w:val="Živopisna tablica rešetke 6 - isticanje 3214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1">
    <w:name w:val="Živopisna tablica rešetke 6 - isticanje 341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1">
    <w:name w:val="Živopisna tablica rešetke 6 - isticanje 342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2">
    <w:name w:val="Živopisna tablica rešetke 6 - isticanje 31212"/>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1">
    <w:name w:val="Živopisna tablica rešetke 6 - isticanje 351"/>
    <w:basedOn w:val="Obinatablica"/>
    <w:uiPriority w:val="51"/>
    <w:rsid w:val="00450DCB"/>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21">
    <w:name w:val="Živopisna tablica rešetke 6 - isticanje 3122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2">
    <w:name w:val="Živopisna tablica rešetke 6 - isticanje 31232"/>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1">
    <w:name w:val="Živopisna tablica rešetke 6 - isticanje 3124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
    <w:name w:val="Živopisna tablica rešetke 6 - isticanje 38"/>
    <w:basedOn w:val="Obinatablica"/>
    <w:uiPriority w:val="51"/>
    <w:rsid w:val="002572E7"/>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Reetkatablice4">
    <w:name w:val="Rešetka tablice4"/>
    <w:basedOn w:val="Obinatablica"/>
    <w:uiPriority w:val="59"/>
    <w:rsid w:val="00A21FF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5">
    <w:name w:val="Rešetka tablice5"/>
    <w:basedOn w:val="Obinatablica"/>
    <w:uiPriority w:val="59"/>
    <w:rsid w:val="00A21FF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6">
    <w:name w:val="Rešetka tablice6"/>
    <w:basedOn w:val="Obinatablica"/>
    <w:uiPriority w:val="59"/>
    <w:rsid w:val="00A21FF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7">
    <w:name w:val="Rešetka tablice7"/>
    <w:basedOn w:val="Obinatablica"/>
    <w:uiPriority w:val="59"/>
    <w:rsid w:val="00A21FF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8">
    <w:name w:val="Rešetka tablice8"/>
    <w:basedOn w:val="Obinatablica"/>
    <w:uiPriority w:val="59"/>
    <w:rsid w:val="00261B54"/>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33">
    <w:name w:val="Živopisna tablica rešetke 6 - isticanje 333"/>
    <w:basedOn w:val="Obinatablica"/>
    <w:uiPriority w:val="51"/>
    <w:rsid w:val="0070102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
    <w:name w:val="Živopisna tablica rešetke 6 - isticanje 371"/>
    <w:basedOn w:val="Obinatablica"/>
    <w:uiPriority w:val="51"/>
    <w:rsid w:val="00913C66"/>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1">
    <w:name w:val="Živopisna tablica rešetke 6 - isticanje 3711"/>
    <w:basedOn w:val="Obinatablica"/>
    <w:uiPriority w:val="51"/>
    <w:rsid w:val="00E00B59"/>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
    <w:name w:val="Rešetka tablice9"/>
    <w:basedOn w:val="Obinatablica"/>
    <w:rsid w:val="00723D07"/>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72">
    <w:name w:val="Živopisna tablica rešetke 6 - isticanje 372"/>
    <w:basedOn w:val="Obinatablica"/>
    <w:uiPriority w:val="51"/>
    <w:rsid w:val="009931F6"/>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2">
    <w:name w:val="Table Grid2"/>
    <w:basedOn w:val="Obinatablica"/>
    <w:uiPriority w:val="59"/>
    <w:rsid w:val="006B257E"/>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rsid w:val="005026BC"/>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
    <w:name w:val="Rešetka tablice12"/>
    <w:basedOn w:val="Obinatablica"/>
    <w:rsid w:val="005026BC"/>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3">
    <w:name w:val="Rešetka tablice13"/>
    <w:basedOn w:val="Obinatablica"/>
    <w:rsid w:val="005026BC"/>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1">
    <w:name w:val="Table Normal1"/>
    <w:uiPriority w:val="2"/>
    <w:semiHidden/>
    <w:unhideWhenUsed/>
    <w:qFormat/>
    <w:rsid w:val="00881E9F"/>
    <w:rPr>
      <w:lang w:val="en-US"/>
    </w:rPr>
    <w:tblPr>
      <w:tblInd w:w="0" w:type="dxa"/>
      <w:tblCellMar>
        <w:top w:w="0" w:type="dxa"/>
        <w:left w:w="0" w:type="dxa"/>
        <w:bottom w:w="0" w:type="dxa"/>
        <w:right w:w="0" w:type="dxa"/>
      </w:tblCellMar>
    </w:tblPr>
  </w:style>
  <w:style w:type="table" w:customStyle="1" w:styleId="Reetkatablice14">
    <w:name w:val="Rešetka tablice14"/>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2">
    <w:name w:val="Svijetlo sjenčanje - Isticanje 12"/>
    <w:basedOn w:val="Obinatablica"/>
    <w:uiPriority w:val="60"/>
    <w:rsid w:val="000D0E32"/>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2">
    <w:name w:val="DLS LIGHT 20152"/>
    <w:basedOn w:val="Obinatablica"/>
    <w:uiPriority w:val="99"/>
    <w:rsid w:val="000D0E32"/>
    <w:pPr>
      <w:jc w:val="center"/>
    </w:pPr>
    <w:rPr>
      <w:color w:val="000000" w:themeColor="text1"/>
      <w:sz w:val="24"/>
      <w:szCs w:val="24"/>
      <w:lang w:eastAsia="hr-HR"/>
    </w:rPr>
    <w:tblPr>
      <w:tblStyleRowBandSize w:val="1"/>
      <w:tblBorders>
        <w:top w:val="single" w:sz="2" w:space="0" w:color="6EAA42"/>
        <w:bottom w:val="single" w:sz="2" w:space="0" w:color="6EAA42"/>
        <w:insideH w:val="single" w:sz="2" w:space="0" w:color="6EAA42"/>
      </w:tblBorders>
    </w:tbl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2">
    <w:name w:val="Grid Table 2 - Accent 312"/>
    <w:basedOn w:val="Obinatablica"/>
    <w:uiPriority w:val="47"/>
    <w:rsid w:val="000D0E32"/>
    <w:rPr>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2">
    <w:name w:val="Light Grid - Accent 122"/>
    <w:basedOn w:val="Obinatablica"/>
    <w:rsid w:val="000D0E32"/>
    <w:rPr>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DLSLIGHT2">
    <w:name w:val="DLS LIGHT2"/>
    <w:basedOn w:val="Obinatablica"/>
    <w:uiPriority w:val="47"/>
    <w:rsid w:val="000D0E32"/>
    <w:rPr>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2">
    <w:name w:val="Medium Shading 1 - Accent 112"/>
    <w:basedOn w:val="Obinatablica"/>
    <w:rsid w:val="000D0E32"/>
    <w:rPr>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2">
    <w:name w:val="Plain Table 412"/>
    <w:basedOn w:val="Obinatablica"/>
    <w:uiPriority w:val="44"/>
    <w:rsid w:val="000D0E32"/>
    <w:rPr>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2">
    <w:name w:val="Table Grid Light12"/>
    <w:basedOn w:val="Obinatablica"/>
    <w:uiPriority w:val="40"/>
    <w:rsid w:val="000D0E32"/>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Svijetlatablicareetke12">
    <w:name w:val="Svijetla tablica rešetke 12"/>
    <w:basedOn w:val="Obinatablica"/>
    <w:uiPriority w:val="46"/>
    <w:rsid w:val="000D0E3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Obinatablica12">
    <w:name w:val="Obična tablica 12"/>
    <w:basedOn w:val="Obinatablica"/>
    <w:uiPriority w:val="41"/>
    <w:rsid w:val="000D0E3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9">
    <w:name w:val="Živopisna tablica rešetke 6 - isticanje 39"/>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2">
    <w:name w:val="Tablica rešetke 4 - isticanje 32"/>
    <w:basedOn w:val="Obinatablica"/>
    <w:uiPriority w:val="49"/>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2">
    <w:name w:val="Tablica rešetke 4 - isticanje 62"/>
    <w:basedOn w:val="Obinatablica"/>
    <w:uiPriority w:val="49"/>
    <w:rsid w:val="000D0E32"/>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2">
    <w:name w:val="Živopisna tablica 7 - isticanje 32"/>
    <w:basedOn w:val="Obinatablica"/>
    <w:uiPriority w:val="52"/>
    <w:rsid w:val="000D0E32"/>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2">
    <w:name w:val="Tablica popisa 4 - isticanje 32"/>
    <w:basedOn w:val="Obinatablica"/>
    <w:uiPriority w:val="49"/>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2">
    <w:name w:val="Živopisna tablica popisa 6 - isticanje 32"/>
    <w:basedOn w:val="Obinatablica"/>
    <w:uiPriority w:val="51"/>
    <w:rsid w:val="000D0E32"/>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2">
    <w:name w:val="Svijetla tablica popisa 1 - isticanje 32"/>
    <w:basedOn w:val="Obinatablica"/>
    <w:uiPriority w:val="46"/>
    <w:rsid w:val="000D0E32"/>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2">
    <w:name w:val="Tablica rešetke 2 - isticanje 32"/>
    <w:basedOn w:val="Obinatablica"/>
    <w:uiPriority w:val="47"/>
    <w:rsid w:val="000D0E32"/>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8">
    <w:name w:val="Živopisna tablica rešetke 6 - isticanje 318"/>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7">
    <w:name w:val="Živopisna tablica rešetke 6 - isticanje 3217"/>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2">
    <w:name w:val="Srednja rešetka 3 - Isticanje 42"/>
    <w:basedOn w:val="Obinatablica"/>
    <w:uiPriority w:val="69"/>
    <w:rsid w:val="000D0E32"/>
    <w:rPr>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icareetke3-isticanje32">
    <w:name w:val="Tablica rešetke 3 - isticanje 32"/>
    <w:basedOn w:val="Obinatablica"/>
    <w:uiPriority w:val="48"/>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ivopisnatablicareetke6-isticanje3218">
    <w:name w:val="Živopisna tablica rešetke 6 - isticanje 3218"/>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2">
    <w:name w:val="Živopisna tablica rešetke 6 - isticanje 322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4">
    <w:name w:val="Živopisna tablica rešetke 6 - isticanje 334"/>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2">
    <w:name w:val="Živopisna tablica rešetke 6 - isticanje 311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2">
    <w:name w:val="Živopisna tablica rešetke 6 - isticanje 331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4">
    <w:name w:val="Živopisna tablica rešetke 6 - isticanje 344"/>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6">
    <w:name w:val="Živopisna tablica rešetke 6 - isticanje 3126"/>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3">
    <w:name w:val="Živopisna tablica rešetke 6 - isticanje 32313"/>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2">
    <w:name w:val="Živopisna tablica rešetke 6 - isticanje 324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5">
    <w:name w:val="Rešetka tablice15"/>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2">
    <w:name w:val="Živopisna tablica rešetke 6 - isticanje 313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2">
    <w:name w:val="Živopisna tablica rešetke 6 - isticanje 325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2">
    <w:name w:val="Živopisna tablica rešetke 6 - isticanje 326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2">
    <w:name w:val="Živopisna tablica rešetke 6 - isticanje 327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2">
    <w:name w:val="Živopisna tablica rešetke 6 - isticanje 314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2">
    <w:name w:val="Živopisna tablica rešetke 6 - isticanje 328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2">
    <w:name w:val="Živopisna tablica rešetke 6 - isticanje 329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2">
    <w:name w:val="Živopisna tablica rešetke 6 - isticanje 3210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2">
    <w:name w:val="Živopisna tablica rešetke 6 - isticanje 315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2">
    <w:name w:val="Živopisna tablica rešetke 6 - isticanje 3211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2">
    <w:name w:val="Živopisna tablica rešetke 6 - isticanje 3212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2">
    <w:name w:val="Živopisna tablica rešetke 6 - isticanje 3213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2">
    <w:name w:val="Živopisna tablica rešetke 6 - isticanje 316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2">
    <w:name w:val="Živopisna tablica rešetke 6 - isticanje 3214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2">
    <w:name w:val="Živopisna tablica rešetke 6 - isticanje 341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2">
    <w:name w:val="Živopisna tablica rešetke 6 - isticanje 342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3">
    <w:name w:val="Živopisna tablica rešetke 6 - isticanje 31213"/>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22">
    <w:name w:val="Živopisna tablica rešetke 6 - isticanje 3122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3">
    <w:name w:val="Živopisna tablica rešetke 6 - isticanje 31233"/>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2">
    <w:name w:val="Živopisna tablica rešetke 6 - isticanje 3124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4">
    <w:name w:val="Živopisna tablica rešetke 6 - isticanje 32314"/>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1">
    <w:name w:val="Živopisna tablica rešetke 6 - isticanje 3232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31">
    <w:name w:val="Živopisna tablica rešetke 6 - isticanje 3233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41">
    <w:name w:val="Živopisna tablica rešetke 6 - isticanje 3234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51">
    <w:name w:val="Živopisna tablica rešetke 6 - isticanje 3235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61">
    <w:name w:val="Živopisna tablica rešetke 6 - isticanje 3236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2">
    <w:name w:val="Živopisna tablica rešetke 6 - isticanje 352"/>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311">
    <w:name w:val="Živopisna tablica rešetke 6 - isticanje 3123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71">
    <w:name w:val="Živopisna tablica rešetke 6 - isticanje 3237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81">
    <w:name w:val="Živopisna tablica rešetke 6 - isticanje 3238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91">
    <w:name w:val="Živopisna tablica rešetke 6 - isticanje 3239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01">
    <w:name w:val="Živopisna tablica rešetke 6 - isticanje 32310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1">
    <w:name w:val="Rešetka tablice2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61">
    <w:name w:val="Živopisna tablica rešetke 6 - isticanje 361"/>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111">
    <w:name w:val="Živopisna tablica rešetke 6 - isticanje 312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11">
    <w:name w:val="Živopisna tablica rešetke 6 - isticanje 323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31">
    <w:name w:val="Rešetka tablice3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11">
    <w:name w:val="Svijetlo sjenčanje - Isticanje 111"/>
    <w:basedOn w:val="Obinatablica"/>
    <w:uiPriority w:val="60"/>
    <w:rsid w:val="000D0E32"/>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11">
    <w:name w:val="DLS LIGHT 201511"/>
    <w:basedOn w:val="Obinatablica"/>
    <w:uiPriority w:val="99"/>
    <w:rsid w:val="000D0E32"/>
    <w:pPr>
      <w:jc w:val="center"/>
    </w:pPr>
    <w:rPr>
      <w:color w:val="000000" w:themeColor="text1"/>
      <w:sz w:val="24"/>
      <w:szCs w:val="24"/>
      <w:lang w:eastAsia="hr-HR"/>
    </w:rPr>
    <w:tblPr>
      <w:tblStyleRowBandSize w:val="1"/>
      <w:tblBorders>
        <w:top w:val="single" w:sz="2" w:space="0" w:color="6EAA42"/>
        <w:bottom w:val="single" w:sz="2" w:space="0" w:color="6EAA42"/>
        <w:insideH w:val="single" w:sz="2" w:space="0" w:color="6EAA42"/>
      </w:tblBorders>
    </w:tbl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11">
    <w:name w:val="Grid Table 2 - Accent 3111"/>
    <w:basedOn w:val="Obinatablica"/>
    <w:uiPriority w:val="47"/>
    <w:rsid w:val="000D0E32"/>
    <w:rPr>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11">
    <w:name w:val="Light Grid - Accent 1211"/>
    <w:basedOn w:val="Obinatablica"/>
    <w:rsid w:val="000D0E32"/>
    <w:rPr>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DLSLIGHT11">
    <w:name w:val="DLS LIGHT11"/>
    <w:basedOn w:val="Obinatablica"/>
    <w:uiPriority w:val="47"/>
    <w:rsid w:val="000D0E32"/>
    <w:rPr>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11">
    <w:name w:val="Medium Shading 1 - Accent 1111"/>
    <w:basedOn w:val="Obinatablica"/>
    <w:rsid w:val="000D0E32"/>
    <w:rPr>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11">
    <w:name w:val="Plain Table 4111"/>
    <w:basedOn w:val="Obinatablica"/>
    <w:uiPriority w:val="44"/>
    <w:rsid w:val="000D0E32"/>
    <w:rPr>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1">
    <w:name w:val="Table Grid Light111"/>
    <w:basedOn w:val="Obinatablica"/>
    <w:uiPriority w:val="40"/>
    <w:rsid w:val="000D0E32"/>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Svijetlatablicareetke111">
    <w:name w:val="Svijetla tablica rešetke 111"/>
    <w:basedOn w:val="Obinatablica"/>
    <w:uiPriority w:val="46"/>
    <w:rsid w:val="000D0E3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Obinatablica111">
    <w:name w:val="Obična tablica 111"/>
    <w:basedOn w:val="Obinatablica"/>
    <w:uiPriority w:val="41"/>
    <w:rsid w:val="000D0E3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73">
    <w:name w:val="Živopisna tablica rešetke 6 - isticanje 373"/>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11">
    <w:name w:val="Tablica rešetke 4 - isticanje 311"/>
    <w:basedOn w:val="Obinatablica"/>
    <w:uiPriority w:val="49"/>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11">
    <w:name w:val="Tablica rešetke 4 - isticanje 611"/>
    <w:basedOn w:val="Obinatablica"/>
    <w:uiPriority w:val="49"/>
    <w:rsid w:val="000D0E32"/>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11">
    <w:name w:val="Živopisna tablica 7 - isticanje 311"/>
    <w:basedOn w:val="Obinatablica"/>
    <w:uiPriority w:val="52"/>
    <w:rsid w:val="000D0E32"/>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1">
    <w:name w:val="Tablica popisa 4 - isticanje 311"/>
    <w:basedOn w:val="Obinatablica"/>
    <w:uiPriority w:val="49"/>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11">
    <w:name w:val="Živopisna tablica popisa 6 - isticanje 311"/>
    <w:basedOn w:val="Obinatablica"/>
    <w:uiPriority w:val="51"/>
    <w:rsid w:val="000D0E32"/>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11">
    <w:name w:val="Svijetla tablica popisa 1 - isticanje 311"/>
    <w:basedOn w:val="Obinatablica"/>
    <w:uiPriority w:val="46"/>
    <w:rsid w:val="000D0E32"/>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11">
    <w:name w:val="Tablica rešetke 2 - isticanje 311"/>
    <w:basedOn w:val="Obinatablica"/>
    <w:uiPriority w:val="47"/>
    <w:rsid w:val="000D0E32"/>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71">
    <w:name w:val="Živopisna tablica rešetke 6 - isticanje 317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51">
    <w:name w:val="Živopisna tablica rešetke 6 - isticanje 3215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11">
    <w:name w:val="Srednja rešetka 3 - Isticanje 411"/>
    <w:basedOn w:val="Obinatablica"/>
    <w:uiPriority w:val="69"/>
    <w:rsid w:val="000D0E32"/>
    <w:rPr>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icareetke3-isticanje311">
    <w:name w:val="Tablica rešetke 3 - isticanje 311"/>
    <w:basedOn w:val="Obinatablica"/>
    <w:uiPriority w:val="48"/>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ivopisnatablicareetke6-isticanje32161">
    <w:name w:val="Živopisna tablica rešetke 6 - isticanje 3216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11">
    <w:name w:val="Živopisna tablica rešetke 6 - isticanje 322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21">
    <w:name w:val="Živopisna tablica rešetke 6 - isticanje 3321"/>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11">
    <w:name w:val="Živopisna tablica rešetke 6 - isticanje 31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11">
    <w:name w:val="Živopisna tablica rešetke 6 - isticanje 33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31">
    <w:name w:val="Živopisna tablica rešetke 6 - isticanje 3431"/>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51">
    <w:name w:val="Živopisna tablica rešetke 6 - isticanje 3125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21">
    <w:name w:val="Živopisna tablica rešetke 6 - isticanje 32312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11">
    <w:name w:val="Živopisna tablica rešetke 6 - isticanje 324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11">
    <w:name w:val="Rešetka tablice11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11">
    <w:name w:val="Živopisna tablica rešetke 6 - isticanje 313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11">
    <w:name w:val="Živopisna tablica rešetke 6 - isticanje 325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11">
    <w:name w:val="Živopisna tablica rešetke 6 - isticanje 326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11">
    <w:name w:val="Živopisna tablica rešetke 6 - isticanje 327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11">
    <w:name w:val="Živopisna tablica rešetke 6 - isticanje 314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11">
    <w:name w:val="Živopisna tablica rešetke 6 - isticanje 328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11">
    <w:name w:val="Živopisna tablica rešetke 6 - isticanje 329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11">
    <w:name w:val="Živopisna tablica rešetke 6 - isticanje 3210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11">
    <w:name w:val="Živopisna tablica rešetke 6 - isticanje 315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11">
    <w:name w:val="Živopisna tablica rešetke 6 - isticanje 321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11">
    <w:name w:val="Živopisna tablica rešetke 6 - isticanje 3212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11">
    <w:name w:val="Živopisna tablica rešetke 6 - isticanje 3213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11">
    <w:name w:val="Živopisna tablica rešetke 6 - isticanje 316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11">
    <w:name w:val="Živopisna tablica rešetke 6 - isticanje 3214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11">
    <w:name w:val="Živopisna tablica rešetke 6 - isticanje 34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11">
    <w:name w:val="Živopisna tablica rešetke 6 - isticanje 342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21">
    <w:name w:val="Živopisna tablica rešetke 6 - isticanje 31212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11">
    <w:name w:val="Živopisna tablica rešetke 6 - isticanje 3511"/>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211">
    <w:name w:val="Živopisna tablica rešetke 6 - isticanje 3122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21">
    <w:name w:val="Živopisna tablica rešetke 6 - isticanje 31232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11">
    <w:name w:val="Živopisna tablica rešetke 6 - isticanje 3124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1">
    <w:name w:val="Živopisna tablica rešetke 6 - isticanje 381"/>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Reetkatablice41">
    <w:name w:val="Rešetka tablice4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51">
    <w:name w:val="Rešetka tablice5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61">
    <w:name w:val="Rešetka tablice6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71">
    <w:name w:val="Rešetka tablice7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81">
    <w:name w:val="Rešetka tablice8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331">
    <w:name w:val="Živopisna tablica rešetke 6 - isticanje 333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2">
    <w:name w:val="Živopisna tablica rešetke 6 - isticanje 371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11">
    <w:name w:val="Živopisna tablica rešetke 6 - isticanje 37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1">
    <w:name w:val="Rešetka tablice91"/>
    <w:basedOn w:val="Obinatablica"/>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1">
    <w:name w:val="Rešetka tablice101"/>
    <w:basedOn w:val="Obinatablica"/>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1">
    <w:name w:val="Rešetka tablice12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31">
    <w:name w:val="Rešetka tablice131"/>
    <w:basedOn w:val="Obinatablica"/>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6">
    <w:name w:val="Rešetka tablice16"/>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721">
    <w:name w:val="Živopisna tablica rešetke 6 - isticanje 372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21">
    <w:name w:val="Table Grid21"/>
    <w:basedOn w:val="Obinatablica"/>
    <w:uiPriority w:val="59"/>
    <w:rsid w:val="000D0E32"/>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rsid w:val="000D0E32"/>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4">
    <w:name w:val="Rešetka tablice84"/>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11">
    <w:name w:val="Rešetka tablice1211"/>
    <w:basedOn w:val="Obinatablica"/>
    <w:rsid w:val="000D0E32"/>
    <w:rPr>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vopisnatablicareetke7-isticanje31">
    <w:name w:val="Živopisna tablica rešetke 7 - isticanje 31"/>
    <w:basedOn w:val="Obinatablica"/>
    <w:uiPriority w:val="52"/>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Tamnatablicareetke5-isticanje31">
    <w:name w:val="Tamna tablica rešetke 5 - isticanje 31"/>
    <w:basedOn w:val="Obinatablica"/>
    <w:uiPriority w:val="50"/>
    <w:rsid w:val="000D0E3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Reetkatablice1311">
    <w:name w:val="Rešetka tablice1311"/>
    <w:basedOn w:val="Obinatablica"/>
    <w:rsid w:val="000D0E32"/>
    <w:rPr>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vijetlatablicareetke13">
    <w:name w:val="Svijetla tablica rešetke 13"/>
    <w:basedOn w:val="Obinatablica"/>
    <w:uiPriority w:val="46"/>
    <w:rsid w:val="008D058C"/>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Obinatablica13">
    <w:name w:val="Obična tablica 13"/>
    <w:basedOn w:val="Obinatablica"/>
    <w:uiPriority w:val="41"/>
    <w:rsid w:val="008D058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10">
    <w:name w:val="Živopisna tablica rešetke 6 - isticanje 310"/>
    <w:basedOn w:val="Obinatablica"/>
    <w:uiPriority w:val="51"/>
    <w:rsid w:val="008D058C"/>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3">
    <w:name w:val="Tablica rešetke 4 - isticanje 33"/>
    <w:basedOn w:val="Obinatablica"/>
    <w:uiPriority w:val="49"/>
    <w:rsid w:val="008D058C"/>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3">
    <w:name w:val="Tablica rešetke 4 - isticanje 63"/>
    <w:basedOn w:val="Obinatablica"/>
    <w:uiPriority w:val="49"/>
    <w:rsid w:val="008D058C"/>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3">
    <w:name w:val="Živopisna tablica 7 - isticanje 33"/>
    <w:basedOn w:val="Obinatablica"/>
    <w:uiPriority w:val="52"/>
    <w:rsid w:val="008D058C"/>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3">
    <w:name w:val="Tablica popisa 4 - isticanje 33"/>
    <w:basedOn w:val="Obinatablica"/>
    <w:uiPriority w:val="49"/>
    <w:rsid w:val="008D058C"/>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3">
    <w:name w:val="Živopisna tablica popisa 6 - isticanje 33"/>
    <w:basedOn w:val="Obinatablica"/>
    <w:uiPriority w:val="51"/>
    <w:rsid w:val="008D058C"/>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3">
    <w:name w:val="Svijetla tablica popisa 1 - isticanje 33"/>
    <w:basedOn w:val="Obinatablica"/>
    <w:uiPriority w:val="46"/>
    <w:rsid w:val="008D058C"/>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3">
    <w:name w:val="Tablica rešetke 2 - isticanje 33"/>
    <w:basedOn w:val="Obinatablica"/>
    <w:uiPriority w:val="47"/>
    <w:rsid w:val="008D058C"/>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3-isticanje33">
    <w:name w:val="Tablica rešetke 3 - isticanje 33"/>
    <w:basedOn w:val="Obinatablica"/>
    <w:uiPriority w:val="48"/>
    <w:rsid w:val="008D058C"/>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ivopisnatablicareetke6-isticanje3219">
    <w:name w:val="Živopisna tablica rešetke 6 - isticanje 3219"/>
    <w:basedOn w:val="Obinatablica"/>
    <w:uiPriority w:val="51"/>
    <w:rsid w:val="008D058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3">
    <w:name w:val="Živopisna tablica rešetke 6 - isticanje 353"/>
    <w:basedOn w:val="Obinatablica"/>
    <w:uiPriority w:val="51"/>
    <w:rsid w:val="008D058C"/>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0">
    <w:name w:val="Živopisna tablica rešetke 6 - isticanje 3220"/>
    <w:basedOn w:val="Obinatablica"/>
    <w:uiPriority w:val="51"/>
    <w:rsid w:val="008D058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62">
    <w:name w:val="Živopisna tablica rešetke 6 - isticanje 362"/>
    <w:basedOn w:val="Obinatablica"/>
    <w:uiPriority w:val="51"/>
    <w:rsid w:val="008D058C"/>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74">
    <w:name w:val="Živopisna tablica rešetke 6 - isticanje 374"/>
    <w:basedOn w:val="Obinatablica"/>
    <w:uiPriority w:val="51"/>
    <w:rsid w:val="008D058C"/>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3">
    <w:name w:val="Živopisna tablica rešetke 6 - isticanje 3223"/>
    <w:basedOn w:val="Obinatablica"/>
    <w:uiPriority w:val="51"/>
    <w:rsid w:val="008D058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2">
    <w:name w:val="Živopisna tablica rešetke 6 - isticanje 382"/>
    <w:basedOn w:val="Obinatablica"/>
    <w:uiPriority w:val="51"/>
    <w:rsid w:val="008D058C"/>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4">
    <w:name w:val="Živopisna tablica rešetke 6 - isticanje 3224"/>
    <w:basedOn w:val="Obinatablica"/>
    <w:uiPriority w:val="51"/>
    <w:rsid w:val="008D058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Srednjareetka1-Isticanje5">
    <w:name w:val="Medium Grid 1 Accent 5"/>
    <w:basedOn w:val="Obinatablica"/>
    <w:uiPriority w:val="67"/>
    <w:rsid w:val="008D058C"/>
    <w:rPr>
      <w:sz w:val="24"/>
      <w:szCs w:val="24"/>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4BACC6" w:themeColor="accent5"/>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Reetkatablice141">
    <w:name w:val="Rešetka tablice141"/>
    <w:basedOn w:val="Obinatablica"/>
    <w:uiPriority w:val="59"/>
    <w:rsid w:val="008D05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vopisnatablicareetke6-isticanje3100">
    <w:name w:val="Živopisna tablica rešetke 6 - isticanje 310"/>
    <w:basedOn w:val="Obinatablica"/>
    <w:uiPriority w:val="51"/>
    <w:rsid w:val="00313AEE"/>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14">
    <w:name w:val="Živopisna tablica rešetke 6 - isticanje 31214"/>
    <w:basedOn w:val="Obinatablica"/>
    <w:uiPriority w:val="51"/>
    <w:rsid w:val="00313AEE"/>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2">
    <w:name w:val="Živopisna tablica rešetke 6 - isticanje 32322"/>
    <w:basedOn w:val="Obinatablica"/>
    <w:uiPriority w:val="51"/>
    <w:rsid w:val="00313AEE"/>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2">
    <w:name w:val="Rešetka tablice92"/>
    <w:basedOn w:val="Obinatablica"/>
    <w:rsid w:val="00313AEE"/>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11">
    <w:name w:val="Rešetka tablice1011"/>
    <w:basedOn w:val="Obinatablica"/>
    <w:rsid w:val="00313AEE"/>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7">
    <w:name w:val="Rešetka tablice17"/>
    <w:basedOn w:val="Obinatablica"/>
    <w:rsid w:val="005834B8"/>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20">
    <w:name w:val="Živopisna tablica rešetke 6 - isticanje 320"/>
    <w:basedOn w:val="Obinatablica"/>
    <w:uiPriority w:val="51"/>
    <w:rsid w:val="005834B8"/>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7">
    <w:name w:val="Živopisna tablica rešetke 6 - isticanje 3127"/>
    <w:basedOn w:val="Obinatablica"/>
    <w:uiPriority w:val="51"/>
    <w:rsid w:val="005834B8"/>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5">
    <w:name w:val="Živopisna tablica rešetke 6 - isticanje 32315"/>
    <w:basedOn w:val="Obinatablica"/>
    <w:uiPriority w:val="51"/>
    <w:rsid w:val="005834B8"/>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8">
    <w:name w:val="Rešetka tablice18"/>
    <w:basedOn w:val="Obinatablica"/>
    <w:uiPriority w:val="59"/>
    <w:rsid w:val="009F349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Obinatablica"/>
    <w:uiPriority w:val="39"/>
    <w:rsid w:val="00665B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rsid w:val="00655876"/>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10">
    <w:name w:val="Živopisna tablica rešetke 6 - isticanje 3110"/>
    <w:basedOn w:val="Obinatablica"/>
    <w:uiPriority w:val="51"/>
    <w:rsid w:val="00B95D91"/>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0">
    <w:name w:val="Rešetka tablice20"/>
    <w:basedOn w:val="Obinatablica"/>
    <w:uiPriority w:val="59"/>
    <w:rsid w:val="00EC2719"/>
    <w:rPr>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13">
    <w:name w:val="Živopisna tablica rešetke 6 - isticanje 3113"/>
    <w:basedOn w:val="Obinatablica"/>
    <w:uiPriority w:val="51"/>
    <w:rsid w:val="00015D7A"/>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212">
    <w:name w:val="Rešetka tablice1212"/>
    <w:basedOn w:val="Obinatablica"/>
    <w:rsid w:val="00015D7A"/>
    <w:rPr>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vopisnatablicareetke7-isticanje32">
    <w:name w:val="Živopisna tablica rešetke 7 - isticanje 32"/>
    <w:basedOn w:val="Obinatablica"/>
    <w:uiPriority w:val="52"/>
    <w:rsid w:val="00015D7A"/>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Tamnatablicareetke5-isticanje32">
    <w:name w:val="Tamna tablica rešetke 5 - isticanje 32"/>
    <w:basedOn w:val="Obinatablica"/>
    <w:uiPriority w:val="50"/>
    <w:rsid w:val="00015D7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Reetkatablice1312">
    <w:name w:val="Rešetka tablice1312"/>
    <w:basedOn w:val="Obinatablica"/>
    <w:rsid w:val="00015D7A"/>
    <w:rPr>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03">
    <w:name w:val="Rešetka tablice103"/>
    <w:basedOn w:val="Obinatablica"/>
    <w:uiPriority w:val="59"/>
    <w:rsid w:val="00015D7A"/>
    <w:rPr>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2">
    <w:name w:val="Rešetka tablice22"/>
    <w:basedOn w:val="Obinatablica"/>
    <w:uiPriority w:val="59"/>
    <w:rsid w:val="00244221"/>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dTable1Light">
    <w:name w:val="Grid Table 1 Light"/>
    <w:basedOn w:val="Obinatablica"/>
    <w:uiPriority w:val="46"/>
    <w:rsid w:val="00C773E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PlainTable1">
    <w:name w:val="Plain Table 1"/>
    <w:basedOn w:val="Obinatablica"/>
    <w:uiPriority w:val="41"/>
    <w:rsid w:val="00C773E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3">
    <w:name w:val="Grid Table 6 Colorful Accent 3"/>
    <w:basedOn w:val="Obinatablica"/>
    <w:uiPriority w:val="51"/>
    <w:rsid w:val="00C773EB"/>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3">
    <w:name w:val="Grid Table 4 Accent 3"/>
    <w:basedOn w:val="Obinatablica"/>
    <w:uiPriority w:val="49"/>
    <w:rsid w:val="00C773E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6">
    <w:name w:val="Grid Table 4 Accent 6"/>
    <w:basedOn w:val="Obinatablica"/>
    <w:uiPriority w:val="49"/>
    <w:rsid w:val="00C773EB"/>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7ColorfulAccent3">
    <w:name w:val="List Table 7 Colorful Accent 3"/>
    <w:basedOn w:val="Obinatablica"/>
    <w:uiPriority w:val="52"/>
    <w:rsid w:val="00C773EB"/>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4Accent3">
    <w:name w:val="List Table 4 Accent 3"/>
    <w:basedOn w:val="Obinatablica"/>
    <w:uiPriority w:val="49"/>
    <w:rsid w:val="00C773E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6ColorfulAccent3">
    <w:name w:val="List Table 6 Colorful Accent 3"/>
    <w:basedOn w:val="Obinatablica"/>
    <w:uiPriority w:val="51"/>
    <w:rsid w:val="00C773EB"/>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1LightAccent3">
    <w:name w:val="List Table 1 Light Accent 3"/>
    <w:basedOn w:val="Obinatablica"/>
    <w:uiPriority w:val="46"/>
    <w:rsid w:val="00C773EB"/>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3">
    <w:name w:val="Grid Table 2 Accent 3"/>
    <w:basedOn w:val="Obinatablica"/>
    <w:uiPriority w:val="47"/>
    <w:rsid w:val="00C773EB"/>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3">
    <w:name w:val="Table Grid3"/>
    <w:basedOn w:val="Obinatablica"/>
    <w:rsid w:val="00C773EB"/>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32">
    <w:name w:val="Rešetka tablice132"/>
    <w:basedOn w:val="Obinatablica"/>
    <w:rsid w:val="00C773EB"/>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
    <w:name w:val="Table Grid1"/>
    <w:basedOn w:val="Obinatablica"/>
    <w:rsid w:val="00C773E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Obinatablica"/>
    <w:rsid w:val="00B75CD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dTable6Colorful-Accent31">
    <w:name w:val="Grid Table 6 Colorful - Accent 31"/>
    <w:basedOn w:val="Obinatablica"/>
    <w:uiPriority w:val="51"/>
    <w:rsid w:val="00C53EC7"/>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r-H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w:uiPriority="0"/>
    <w:lsdException w:name="List 4" w:uiPriority="0"/>
    <w:lsdException w:name="List 5"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alutation" w:uiPriority="0"/>
    <w:lsdException w:name="Date" w:uiPriority="0"/>
    <w:lsdException w:name="Body Text First Indent" w:uiPriority="0"/>
    <w:lsdException w:name="Followed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42D6"/>
    <w:pPr>
      <w:spacing w:before="80" w:after="160" w:line="276" w:lineRule="auto"/>
      <w:jc w:val="both"/>
    </w:pPr>
    <w:rPr>
      <w:rFonts w:ascii="Arial" w:eastAsia="Times New Roman" w:hAnsi="Arial" w:cs="Arial"/>
      <w:color w:val="000000" w:themeColor="text1"/>
      <w:szCs w:val="24"/>
    </w:rPr>
  </w:style>
  <w:style w:type="paragraph" w:styleId="Naslov1">
    <w:name w:val="heading 1"/>
    <w:basedOn w:val="Normal"/>
    <w:next w:val="Normal"/>
    <w:link w:val="Naslov1Char"/>
    <w:autoRedefine/>
    <w:qFormat/>
    <w:rsid w:val="00324335"/>
    <w:pPr>
      <w:keepNext/>
      <w:keepLines/>
      <w:numPr>
        <w:numId w:val="1"/>
      </w:numPr>
      <w:spacing w:before="240"/>
      <w:outlineLvl w:val="0"/>
    </w:pPr>
    <w:rPr>
      <w:rFonts w:eastAsiaTheme="majorEastAsia"/>
      <w:b/>
      <w:color w:val="auto"/>
      <w:sz w:val="32"/>
      <w:szCs w:val="32"/>
    </w:rPr>
  </w:style>
  <w:style w:type="paragraph" w:styleId="Naslov2">
    <w:name w:val="heading 2"/>
    <w:basedOn w:val="Normal"/>
    <w:next w:val="Normal"/>
    <w:link w:val="Naslov2Char"/>
    <w:autoRedefine/>
    <w:qFormat/>
    <w:rsid w:val="00266B12"/>
    <w:pPr>
      <w:keepNext/>
      <w:outlineLvl w:val="1"/>
    </w:pPr>
    <w:rPr>
      <w:bCs/>
      <w:color w:val="54883D"/>
      <w:sz w:val="32"/>
      <w:lang w:bidi="en-US"/>
    </w:rPr>
  </w:style>
  <w:style w:type="paragraph" w:styleId="Naslov3">
    <w:name w:val="heading 3"/>
    <w:basedOn w:val="Normal"/>
    <w:next w:val="Normal"/>
    <w:link w:val="Naslov3Char"/>
    <w:autoRedefine/>
    <w:qFormat/>
    <w:rsid w:val="00CC45B3"/>
    <w:pPr>
      <w:keepNext/>
      <w:keepLines/>
      <w:spacing w:before="40"/>
      <w:outlineLvl w:val="2"/>
    </w:pPr>
    <w:rPr>
      <w:rFonts w:cstheme="majorBidi"/>
      <w:color w:val="54883D"/>
      <w:sz w:val="28"/>
      <w:lang w:bidi="en-US"/>
    </w:rPr>
  </w:style>
  <w:style w:type="paragraph" w:styleId="Naslov4">
    <w:name w:val="heading 4"/>
    <w:basedOn w:val="Normal"/>
    <w:next w:val="Normal"/>
    <w:link w:val="Naslov4Char"/>
    <w:autoRedefine/>
    <w:uiPriority w:val="9"/>
    <w:qFormat/>
    <w:rsid w:val="00F3374A"/>
    <w:pPr>
      <w:keepNext/>
      <w:keepLines/>
      <w:spacing w:before="40"/>
      <w:ind w:left="864" w:hanging="864"/>
      <w:outlineLvl w:val="3"/>
    </w:pPr>
    <w:rPr>
      <w:rFonts w:eastAsiaTheme="majorEastAsia" w:cstheme="majorBidi"/>
      <w:iCs/>
      <w:color w:val="54883D"/>
      <w:lang w:bidi="en-US"/>
    </w:rPr>
  </w:style>
  <w:style w:type="paragraph" w:styleId="Naslov5">
    <w:name w:val="heading 5"/>
    <w:basedOn w:val="Normal"/>
    <w:next w:val="Normal"/>
    <w:link w:val="Naslov5Char"/>
    <w:autoRedefine/>
    <w:qFormat/>
    <w:rsid w:val="00E23981"/>
    <w:pPr>
      <w:keepNext/>
      <w:keepLines/>
      <w:numPr>
        <w:ilvl w:val="4"/>
        <w:numId w:val="1"/>
      </w:numPr>
      <w:spacing w:before="40"/>
      <w:outlineLvl w:val="4"/>
    </w:pPr>
    <w:rPr>
      <w:rFonts w:eastAsiaTheme="majorEastAsia" w:cstheme="majorBidi"/>
      <w:color w:val="54883D"/>
    </w:rPr>
  </w:style>
  <w:style w:type="paragraph" w:styleId="Naslov6">
    <w:name w:val="heading 6"/>
    <w:basedOn w:val="Normal"/>
    <w:next w:val="Normal"/>
    <w:link w:val="Naslov6Char"/>
    <w:autoRedefine/>
    <w:qFormat/>
    <w:rsid w:val="00E23981"/>
    <w:pPr>
      <w:keepNext/>
      <w:keepLines/>
      <w:numPr>
        <w:ilvl w:val="5"/>
        <w:numId w:val="1"/>
      </w:numPr>
      <w:spacing w:before="40"/>
      <w:outlineLvl w:val="5"/>
    </w:pPr>
    <w:rPr>
      <w:rFonts w:eastAsiaTheme="majorEastAsia" w:cstheme="majorBidi"/>
      <w:color w:val="54883D"/>
    </w:rPr>
  </w:style>
  <w:style w:type="paragraph" w:styleId="Naslov7">
    <w:name w:val="heading 7"/>
    <w:basedOn w:val="Normal"/>
    <w:next w:val="Normal"/>
    <w:link w:val="Naslov7Char"/>
    <w:autoRedefine/>
    <w:unhideWhenUsed/>
    <w:qFormat/>
    <w:rsid w:val="00E23981"/>
    <w:pPr>
      <w:keepNext/>
      <w:keepLines/>
      <w:numPr>
        <w:ilvl w:val="6"/>
        <w:numId w:val="1"/>
      </w:numPr>
      <w:spacing w:before="40"/>
      <w:outlineLvl w:val="6"/>
    </w:pPr>
    <w:rPr>
      <w:rFonts w:eastAsiaTheme="majorEastAsia" w:cstheme="majorBidi"/>
      <w:i/>
      <w:iCs/>
      <w:color w:val="54883D"/>
    </w:rPr>
  </w:style>
  <w:style w:type="paragraph" w:styleId="Naslov8">
    <w:name w:val="heading 8"/>
    <w:basedOn w:val="Normal"/>
    <w:next w:val="Normal"/>
    <w:link w:val="Naslov8Char"/>
    <w:uiPriority w:val="9"/>
    <w:unhideWhenUsed/>
    <w:qFormat/>
    <w:rsid w:val="00C578E3"/>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ormal"/>
    <w:next w:val="Normal"/>
    <w:link w:val="Naslov9Char"/>
    <w:uiPriority w:val="9"/>
    <w:unhideWhenUsed/>
    <w:qFormat/>
    <w:rsid w:val="00C578E3"/>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TekstbaloniaChar">
    <w:name w:val="Tekst balončića Char"/>
    <w:basedOn w:val="Zadanifontodlomka"/>
    <w:link w:val="Tekstbalonia"/>
    <w:uiPriority w:val="99"/>
    <w:semiHidden/>
    <w:qFormat/>
    <w:rsid w:val="00E23981"/>
    <w:rPr>
      <w:rFonts w:ascii="Tahoma" w:eastAsia="Times New Roman" w:hAnsi="Tahoma" w:cs="Tahoma"/>
      <w:sz w:val="16"/>
      <w:szCs w:val="16"/>
    </w:rPr>
  </w:style>
  <w:style w:type="character" w:customStyle="1" w:styleId="ZaglavljeChar">
    <w:name w:val="Zaglavlje Char"/>
    <w:basedOn w:val="Zadanifontodlomka"/>
    <w:link w:val="Zaglavlje"/>
    <w:uiPriority w:val="99"/>
    <w:qFormat/>
    <w:rsid w:val="000B54BF"/>
    <w:rPr>
      <w:rFonts w:ascii="Adviso OTF Std" w:eastAsia="Times New Roman" w:hAnsi="Adviso OTF Std" w:cs="Times New Roman"/>
      <w:color w:val="595959" w:themeColor="text1" w:themeTint="A6"/>
      <w:sz w:val="24"/>
      <w:szCs w:val="24"/>
    </w:rPr>
  </w:style>
  <w:style w:type="character" w:customStyle="1" w:styleId="PodnojeChar">
    <w:name w:val="Podnožje Char"/>
    <w:basedOn w:val="Zadanifontodlomka"/>
    <w:link w:val="Podnoje"/>
    <w:uiPriority w:val="99"/>
    <w:qFormat/>
    <w:rsid w:val="00E03BF5"/>
    <w:rPr>
      <w:rFonts w:ascii="Adviso OTF Std" w:eastAsia="Times New Roman" w:hAnsi="Adviso OTF Std" w:cs="Times New Roman"/>
      <w:sz w:val="24"/>
      <w:szCs w:val="24"/>
    </w:rPr>
  </w:style>
  <w:style w:type="character" w:customStyle="1" w:styleId="Internetskapoveznica">
    <w:name w:val="Internetska poveznica"/>
    <w:basedOn w:val="Zadanifontodlomka"/>
    <w:uiPriority w:val="99"/>
    <w:rsid w:val="001F1D2A"/>
    <w:rPr>
      <w:rFonts w:ascii="Arial" w:hAnsi="Arial"/>
      <w:color w:val="0000FF"/>
      <w:u w:val="single"/>
    </w:rPr>
  </w:style>
  <w:style w:type="character" w:customStyle="1" w:styleId="Naslov1Char">
    <w:name w:val="Naslov 1 Char"/>
    <w:basedOn w:val="Zadanifontodlomka"/>
    <w:link w:val="Naslov1"/>
    <w:qFormat/>
    <w:rsid w:val="00324335"/>
    <w:rPr>
      <w:rFonts w:ascii="Arial" w:eastAsiaTheme="majorEastAsia" w:hAnsi="Arial" w:cs="Arial"/>
      <w:b/>
      <w:sz w:val="32"/>
      <w:szCs w:val="32"/>
    </w:rPr>
  </w:style>
  <w:style w:type="character" w:customStyle="1" w:styleId="NaglaencitatChar">
    <w:name w:val="Naglašen citat Char"/>
    <w:basedOn w:val="Zadanifontodlomka"/>
    <w:link w:val="Naglaencitat"/>
    <w:qFormat/>
    <w:rsid w:val="00FE73E7"/>
    <w:rPr>
      <w:rFonts w:ascii="Adviso OTF Std" w:eastAsia="Times New Roman" w:hAnsi="Adviso OTF Std" w:cs="Arial"/>
      <w:i/>
      <w:iCs/>
      <w:color w:val="54883D"/>
      <w:szCs w:val="24"/>
    </w:rPr>
  </w:style>
  <w:style w:type="character" w:customStyle="1" w:styleId="Naslov2Char">
    <w:name w:val="Naslov 2 Char"/>
    <w:basedOn w:val="Zadanifontodlomka"/>
    <w:link w:val="Naslov2"/>
    <w:qFormat/>
    <w:rsid w:val="00266B12"/>
    <w:rPr>
      <w:rFonts w:ascii="Arial" w:eastAsia="Times New Roman" w:hAnsi="Arial" w:cs="Arial"/>
      <w:bCs/>
      <w:color w:val="54883D"/>
      <w:sz w:val="32"/>
      <w:szCs w:val="24"/>
      <w:lang w:bidi="en-US"/>
    </w:rPr>
  </w:style>
  <w:style w:type="character" w:customStyle="1" w:styleId="Naslov3Char">
    <w:name w:val="Naslov 3 Char"/>
    <w:basedOn w:val="Zadanifontodlomka"/>
    <w:link w:val="Naslov3"/>
    <w:qFormat/>
    <w:rsid w:val="00CC45B3"/>
    <w:rPr>
      <w:rFonts w:ascii="Arial" w:eastAsia="Times New Roman" w:hAnsi="Arial" w:cstheme="majorBidi"/>
      <w:color w:val="54883D"/>
      <w:sz w:val="28"/>
      <w:szCs w:val="24"/>
      <w:lang w:bidi="en-US"/>
    </w:rPr>
  </w:style>
  <w:style w:type="character" w:styleId="Naglaeno">
    <w:name w:val="Strong"/>
    <w:basedOn w:val="Zadanifontodlomka"/>
    <w:uiPriority w:val="22"/>
    <w:qFormat/>
    <w:rsid w:val="001F1D2A"/>
    <w:rPr>
      <w:rFonts w:ascii="Arial" w:hAnsi="Arial"/>
      <w:b/>
      <w:bCs/>
    </w:rPr>
  </w:style>
  <w:style w:type="character" w:styleId="Referencakomentara">
    <w:name w:val="annotation reference"/>
    <w:basedOn w:val="Zadanifontodlomka"/>
    <w:uiPriority w:val="99"/>
    <w:semiHidden/>
    <w:unhideWhenUsed/>
    <w:qFormat/>
    <w:rsid w:val="005D146B"/>
    <w:rPr>
      <w:sz w:val="16"/>
      <w:szCs w:val="16"/>
    </w:rPr>
  </w:style>
  <w:style w:type="character" w:customStyle="1" w:styleId="TekstkomentaraChar">
    <w:name w:val="Tekst komentara Char"/>
    <w:basedOn w:val="Zadanifontodlomka"/>
    <w:link w:val="Tekstkomentara"/>
    <w:uiPriority w:val="99"/>
    <w:semiHidden/>
    <w:qFormat/>
    <w:rsid w:val="005D146B"/>
    <w:rPr>
      <w:sz w:val="20"/>
      <w:szCs w:val="20"/>
    </w:rPr>
  </w:style>
  <w:style w:type="character" w:customStyle="1" w:styleId="PredmetkomentaraChar">
    <w:name w:val="Predmet komentara Char"/>
    <w:basedOn w:val="TekstkomentaraChar"/>
    <w:link w:val="Predmetkomentara"/>
    <w:uiPriority w:val="99"/>
    <w:semiHidden/>
    <w:qFormat/>
    <w:rsid w:val="005D146B"/>
    <w:rPr>
      <w:b/>
      <w:bCs/>
      <w:sz w:val="20"/>
      <w:szCs w:val="20"/>
    </w:rPr>
  </w:style>
  <w:style w:type="character" w:customStyle="1" w:styleId="TijelotekstaChar">
    <w:name w:val="Tijelo teksta Char"/>
    <w:basedOn w:val="Zadanifontodlomka"/>
    <w:link w:val="Tijeloteksta"/>
    <w:semiHidden/>
    <w:qFormat/>
    <w:rsid w:val="00E23981"/>
    <w:rPr>
      <w:rFonts w:ascii="Adviso OTF Std" w:eastAsia="Times New Roman" w:hAnsi="Adviso OTF Std" w:cs="Times New Roman"/>
      <w:sz w:val="24"/>
      <w:szCs w:val="24"/>
    </w:rPr>
  </w:style>
  <w:style w:type="character" w:customStyle="1" w:styleId="UvuenotijelotekstaChar">
    <w:name w:val="Uvučeno tijelo teksta Char"/>
    <w:basedOn w:val="TijelotekstaChar"/>
    <w:link w:val="Uvuenotijeloteksta"/>
    <w:qFormat/>
    <w:rsid w:val="00777B54"/>
    <w:rPr>
      <w:rFonts w:ascii="Arial" w:eastAsia="Times New Roman" w:hAnsi="Arial" w:cs="Arial"/>
      <w:color w:val="000000" w:themeColor="text1"/>
      <w:sz w:val="24"/>
      <w:szCs w:val="24"/>
    </w:rPr>
  </w:style>
  <w:style w:type="character" w:styleId="Naslovknjige">
    <w:name w:val="Book Title"/>
    <w:basedOn w:val="Zadanifontodlomka"/>
    <w:uiPriority w:val="33"/>
    <w:qFormat/>
    <w:rsid w:val="00777B54"/>
    <w:rPr>
      <w:rFonts w:ascii="Arial" w:hAnsi="Arial"/>
      <w:b/>
      <w:bCs/>
      <w:i/>
      <w:iCs/>
      <w:spacing w:val="5"/>
    </w:rPr>
  </w:style>
  <w:style w:type="character" w:customStyle="1" w:styleId="DatumChar">
    <w:name w:val="Datum Char"/>
    <w:basedOn w:val="Zadanifontodlomka"/>
    <w:link w:val="Datum"/>
    <w:qFormat/>
    <w:rsid w:val="008F28B1"/>
    <w:rPr>
      <w:rFonts w:ascii="Arial" w:eastAsia="Times New Roman" w:hAnsi="Arial" w:cs="Arial"/>
      <w:color w:val="000000" w:themeColor="text1"/>
      <w:szCs w:val="24"/>
    </w:rPr>
  </w:style>
  <w:style w:type="character" w:styleId="Istaknuto">
    <w:name w:val="Emphasis"/>
    <w:basedOn w:val="Zadanifontodlomka"/>
    <w:qFormat/>
    <w:rsid w:val="00777B54"/>
    <w:rPr>
      <w:rFonts w:ascii="Arial" w:hAnsi="Arial"/>
      <w:i/>
      <w:iCs/>
    </w:rPr>
  </w:style>
  <w:style w:type="character" w:styleId="SlijeenaHiperveza">
    <w:name w:val="FollowedHyperlink"/>
    <w:basedOn w:val="Zadanifontodlomka"/>
    <w:qFormat/>
    <w:rsid w:val="00777B54"/>
    <w:rPr>
      <w:rFonts w:ascii="Arial" w:hAnsi="Arial"/>
      <w:color w:val="800080" w:themeColor="followedHyperlink"/>
      <w:u w:val="single"/>
    </w:rPr>
  </w:style>
  <w:style w:type="character" w:customStyle="1" w:styleId="Naslov4Char">
    <w:name w:val="Naslov 4 Char"/>
    <w:basedOn w:val="Zadanifontodlomka"/>
    <w:link w:val="Naslov4"/>
    <w:qFormat/>
    <w:rsid w:val="00F3374A"/>
    <w:rPr>
      <w:rFonts w:ascii="Arial" w:eastAsiaTheme="majorEastAsia" w:hAnsi="Arial" w:cstheme="majorBidi"/>
      <w:iCs/>
      <w:color w:val="54883D"/>
      <w:szCs w:val="24"/>
      <w:lang w:bidi="en-US"/>
    </w:rPr>
  </w:style>
  <w:style w:type="character" w:customStyle="1" w:styleId="Naslov5Char">
    <w:name w:val="Naslov 5 Char"/>
    <w:basedOn w:val="Zadanifontodlomka"/>
    <w:link w:val="Naslov5"/>
    <w:qFormat/>
    <w:rsid w:val="00E23981"/>
    <w:rPr>
      <w:rFonts w:ascii="Arial" w:eastAsiaTheme="majorEastAsia" w:hAnsi="Arial" w:cstheme="majorBidi"/>
      <w:color w:val="54883D"/>
      <w:szCs w:val="24"/>
    </w:rPr>
  </w:style>
  <w:style w:type="character" w:customStyle="1" w:styleId="Naslov6Char">
    <w:name w:val="Naslov 6 Char"/>
    <w:basedOn w:val="Zadanifontodlomka"/>
    <w:link w:val="Naslov6"/>
    <w:qFormat/>
    <w:rsid w:val="00E23981"/>
    <w:rPr>
      <w:rFonts w:ascii="Arial" w:eastAsiaTheme="majorEastAsia" w:hAnsi="Arial" w:cstheme="majorBidi"/>
      <w:color w:val="54883D"/>
      <w:szCs w:val="24"/>
    </w:rPr>
  </w:style>
  <w:style w:type="character" w:customStyle="1" w:styleId="Naslov7Char">
    <w:name w:val="Naslov 7 Char"/>
    <w:basedOn w:val="Zadanifontodlomka"/>
    <w:link w:val="Naslov7"/>
    <w:qFormat/>
    <w:rsid w:val="00E23981"/>
    <w:rPr>
      <w:rFonts w:ascii="Arial" w:eastAsiaTheme="majorEastAsia" w:hAnsi="Arial" w:cstheme="majorBidi"/>
      <w:i/>
      <w:iCs/>
      <w:color w:val="54883D"/>
      <w:szCs w:val="24"/>
    </w:rPr>
  </w:style>
  <w:style w:type="character" w:styleId="Jakoisticanje">
    <w:name w:val="Intense Emphasis"/>
    <w:basedOn w:val="Zadanifontodlomka"/>
    <w:qFormat/>
    <w:rsid w:val="00777B54"/>
    <w:rPr>
      <w:rFonts w:ascii="Arial" w:hAnsi="Arial"/>
      <w:i/>
      <w:iCs/>
      <w:color w:val="6EAA42"/>
    </w:rPr>
  </w:style>
  <w:style w:type="character" w:styleId="Istaknutareferenca">
    <w:name w:val="Intense Reference"/>
    <w:basedOn w:val="Zadanifontodlomka"/>
    <w:qFormat/>
    <w:rsid w:val="00777B54"/>
    <w:rPr>
      <w:rFonts w:ascii="Arial" w:hAnsi="Arial"/>
      <w:b/>
      <w:bCs/>
      <w:smallCaps/>
      <w:color w:val="6EAA42"/>
      <w:spacing w:val="5"/>
    </w:rPr>
  </w:style>
  <w:style w:type="character" w:styleId="Brojstranice">
    <w:name w:val="page number"/>
    <w:basedOn w:val="Zadanifontodlomka"/>
    <w:qFormat/>
    <w:rsid w:val="00777B54"/>
    <w:rPr>
      <w:rFonts w:ascii="Arial" w:hAnsi="Arial"/>
    </w:rPr>
  </w:style>
  <w:style w:type="character" w:styleId="Tekstrezerviranogmjesta">
    <w:name w:val="Placeholder Text"/>
    <w:basedOn w:val="Zadanifontodlomka"/>
    <w:qFormat/>
    <w:rsid w:val="001F1D2A"/>
    <w:rPr>
      <w:rFonts w:ascii="Arial" w:hAnsi="Arial"/>
      <w:color w:val="808080"/>
    </w:rPr>
  </w:style>
  <w:style w:type="character" w:customStyle="1" w:styleId="CitatChar">
    <w:name w:val="Citat Char"/>
    <w:basedOn w:val="Zadanifontodlomka"/>
    <w:link w:val="Citat"/>
    <w:qFormat/>
    <w:rsid w:val="00E23981"/>
    <w:rPr>
      <w:rFonts w:ascii="Adviso OTF Std" w:eastAsia="Times New Roman" w:hAnsi="Adviso OTF Std" w:cs="Times New Roman"/>
      <w:i/>
      <w:iCs/>
      <w:color w:val="404040" w:themeColor="text1" w:themeTint="BF"/>
      <w:sz w:val="24"/>
      <w:szCs w:val="24"/>
    </w:rPr>
  </w:style>
  <w:style w:type="character" w:customStyle="1" w:styleId="PozdravChar">
    <w:name w:val="Pozdrav Char"/>
    <w:basedOn w:val="Zadanifontodlomka"/>
    <w:link w:val="Pozdrav"/>
    <w:qFormat/>
    <w:rsid w:val="00E23981"/>
    <w:rPr>
      <w:rFonts w:ascii="Adviso OTF Std" w:eastAsia="Times New Roman" w:hAnsi="Adviso OTF Std" w:cs="Times New Roman"/>
      <w:sz w:val="28"/>
      <w:szCs w:val="24"/>
    </w:rPr>
  </w:style>
  <w:style w:type="character" w:customStyle="1" w:styleId="PodnaslovChar">
    <w:name w:val="Podnaslov Char"/>
    <w:basedOn w:val="Zadanifontodlomka"/>
    <w:link w:val="Podnaslov"/>
    <w:qFormat/>
    <w:rsid w:val="00E23981"/>
    <w:rPr>
      <w:rFonts w:ascii="Adviso OTF Std" w:eastAsiaTheme="minorEastAsia" w:hAnsi="Adviso OTF Std"/>
      <w:color w:val="5A5A5A" w:themeColor="text1" w:themeTint="A5"/>
      <w:spacing w:val="15"/>
    </w:rPr>
  </w:style>
  <w:style w:type="character" w:styleId="Neupadljivoisticanje">
    <w:name w:val="Subtle Emphasis"/>
    <w:basedOn w:val="Zadanifontodlomka"/>
    <w:qFormat/>
    <w:rsid w:val="001F1D2A"/>
    <w:rPr>
      <w:rFonts w:ascii="Arial" w:hAnsi="Arial"/>
      <w:i/>
      <w:iCs/>
      <w:color w:val="404040" w:themeColor="text1" w:themeTint="BF"/>
    </w:rPr>
  </w:style>
  <w:style w:type="character" w:styleId="Neupadljivareferenca">
    <w:name w:val="Subtle Reference"/>
    <w:basedOn w:val="Zadanifontodlomka"/>
    <w:qFormat/>
    <w:rsid w:val="001F1D2A"/>
    <w:rPr>
      <w:rFonts w:ascii="Arial" w:hAnsi="Arial"/>
      <w:smallCaps/>
      <w:color w:val="5A5A5A" w:themeColor="text1" w:themeTint="A5"/>
    </w:rPr>
  </w:style>
  <w:style w:type="character" w:customStyle="1" w:styleId="NaslovChar">
    <w:name w:val="Naslov Char"/>
    <w:basedOn w:val="Zadanifontodlomka"/>
    <w:link w:val="Naslov"/>
    <w:qFormat/>
    <w:rsid w:val="00E23981"/>
    <w:rPr>
      <w:rFonts w:ascii="Adviso OTF Std" w:eastAsiaTheme="majorEastAsia" w:hAnsi="Adviso OTF Std" w:cstheme="majorBidi"/>
      <w:spacing w:val="-10"/>
      <w:kern w:val="2"/>
      <w:sz w:val="56"/>
      <w:szCs w:val="56"/>
    </w:rPr>
  </w:style>
  <w:style w:type="character" w:customStyle="1" w:styleId="Naslov8Char">
    <w:name w:val="Naslov 8 Char"/>
    <w:basedOn w:val="Zadanifontodlomka"/>
    <w:link w:val="Naslov8"/>
    <w:uiPriority w:val="9"/>
    <w:qFormat/>
    <w:rsid w:val="00C578E3"/>
    <w:rPr>
      <w:rFonts w:asciiTheme="majorHAnsi" w:eastAsiaTheme="majorEastAsia" w:hAnsiTheme="majorHAnsi" w:cstheme="majorBidi"/>
      <w:color w:val="272727" w:themeColor="text1" w:themeTint="D8"/>
      <w:sz w:val="21"/>
      <w:szCs w:val="21"/>
    </w:rPr>
  </w:style>
  <w:style w:type="character" w:customStyle="1" w:styleId="Naslov9Char">
    <w:name w:val="Naslov 9 Char"/>
    <w:basedOn w:val="Zadanifontodlomka"/>
    <w:link w:val="Naslov9"/>
    <w:uiPriority w:val="9"/>
    <w:qFormat/>
    <w:rsid w:val="00C578E3"/>
    <w:rPr>
      <w:rFonts w:asciiTheme="majorHAnsi" w:eastAsiaTheme="majorEastAsia" w:hAnsiTheme="majorHAnsi" w:cstheme="majorBidi"/>
      <w:i/>
      <w:iCs/>
      <w:color w:val="272727" w:themeColor="text1" w:themeTint="D8"/>
      <w:sz w:val="21"/>
      <w:szCs w:val="21"/>
    </w:rPr>
  </w:style>
  <w:style w:type="character" w:customStyle="1" w:styleId="TekstfusnoteChar">
    <w:name w:val="Tekst fusnote Char"/>
    <w:basedOn w:val="Zadanifontodlomka"/>
    <w:link w:val="Tekstfusnote"/>
    <w:uiPriority w:val="99"/>
    <w:qFormat/>
    <w:rsid w:val="00FE73E7"/>
    <w:rPr>
      <w:rFonts w:ascii="Adviso OTF Std" w:eastAsia="Times New Roman" w:hAnsi="Adviso OTF Std" w:cs="Arial"/>
      <w:color w:val="000000" w:themeColor="text1"/>
      <w:sz w:val="20"/>
      <w:szCs w:val="20"/>
    </w:rPr>
  </w:style>
  <w:style w:type="character" w:customStyle="1" w:styleId="Sidrofusnote">
    <w:name w:val="Sidro fusnote"/>
    <w:rPr>
      <w:vertAlign w:val="superscript"/>
    </w:rPr>
  </w:style>
  <w:style w:type="character" w:customStyle="1" w:styleId="FootnoteCharacters">
    <w:name w:val="Footnote Characters"/>
    <w:basedOn w:val="Zadanifontodlomka"/>
    <w:uiPriority w:val="99"/>
    <w:unhideWhenUsed/>
    <w:qFormat/>
    <w:rsid w:val="00FE73E7"/>
    <w:rPr>
      <w:vertAlign w:val="superscript"/>
    </w:rPr>
  </w:style>
  <w:style w:type="character" w:customStyle="1" w:styleId="Tijeloteksta2Char">
    <w:name w:val="Tijelo teksta 2 Char"/>
    <w:basedOn w:val="Zadanifontodlomka"/>
    <w:link w:val="Tijeloteksta2"/>
    <w:uiPriority w:val="99"/>
    <w:qFormat/>
    <w:rsid w:val="004464CA"/>
    <w:rPr>
      <w:rFonts w:ascii="Arial" w:eastAsia="Times New Roman" w:hAnsi="Arial" w:cs="Arial"/>
      <w:color w:val="000000" w:themeColor="text1"/>
      <w:szCs w:val="24"/>
    </w:rPr>
  </w:style>
  <w:style w:type="character" w:customStyle="1" w:styleId="apple-converted-space">
    <w:name w:val="apple-converted-space"/>
    <w:basedOn w:val="Zadanifontodlomka"/>
    <w:qFormat/>
    <w:rsid w:val="006551AA"/>
  </w:style>
  <w:style w:type="character" w:customStyle="1" w:styleId="Nerijeenospominjanje1">
    <w:name w:val="Neriješeno spominjanje1"/>
    <w:basedOn w:val="Zadanifontodlomka"/>
    <w:uiPriority w:val="99"/>
    <w:semiHidden/>
    <w:unhideWhenUsed/>
    <w:qFormat/>
    <w:rsid w:val="00C773EB"/>
  </w:style>
  <w:style w:type="character" w:customStyle="1" w:styleId="OdlomakpopisaChar">
    <w:name w:val="Odlomak popisa Char"/>
    <w:link w:val="Odlomakpopisa"/>
    <w:uiPriority w:val="34"/>
    <w:qFormat/>
    <w:locked/>
    <w:rsid w:val="00B341AA"/>
    <w:rPr>
      <w:rFonts w:ascii="Arial" w:eastAsia="Times New Roman" w:hAnsi="Arial" w:cs="Arial"/>
      <w:color w:val="000000" w:themeColor="text1"/>
      <w:sz w:val="20"/>
      <w:lang w:eastAsia="hr-HR"/>
    </w:rPr>
  </w:style>
  <w:style w:type="character" w:customStyle="1" w:styleId="BezproredaChar">
    <w:name w:val="Bez proreda Char"/>
    <w:link w:val="Bezproreda"/>
    <w:uiPriority w:val="1"/>
    <w:qFormat/>
    <w:locked/>
    <w:rsid w:val="003C2252"/>
    <w:rPr>
      <w:rFonts w:ascii="Arial" w:eastAsia="Times New Roman" w:hAnsi="Arial" w:cs="Times New Roman"/>
      <w:sz w:val="24"/>
      <w:szCs w:val="24"/>
    </w:rPr>
  </w:style>
  <w:style w:type="character" w:customStyle="1" w:styleId="grame">
    <w:name w:val="grame"/>
    <w:basedOn w:val="Zadanifontodlomka"/>
    <w:qFormat/>
    <w:rsid w:val="00450DCB"/>
  </w:style>
  <w:style w:type="character" w:customStyle="1" w:styleId="TekstkrajnjebiljekeChar">
    <w:name w:val="Tekst krajnje bilješke Char"/>
    <w:basedOn w:val="Zadanifontodlomka"/>
    <w:link w:val="Tekstkrajnjebiljeke"/>
    <w:uiPriority w:val="99"/>
    <w:semiHidden/>
    <w:qFormat/>
    <w:rsid w:val="00052606"/>
    <w:rPr>
      <w:rFonts w:ascii="Arial" w:eastAsia="Times New Roman" w:hAnsi="Arial" w:cs="Arial"/>
      <w:color w:val="000000" w:themeColor="text1"/>
      <w:sz w:val="20"/>
      <w:szCs w:val="20"/>
    </w:rPr>
  </w:style>
  <w:style w:type="character" w:customStyle="1" w:styleId="Sidrozavrnebiljeke">
    <w:name w:val="Sidro završne bilješke"/>
    <w:rPr>
      <w:vertAlign w:val="superscript"/>
    </w:rPr>
  </w:style>
  <w:style w:type="character" w:customStyle="1" w:styleId="EndnoteCharacters">
    <w:name w:val="Endnote Characters"/>
    <w:basedOn w:val="Zadanifontodlomka"/>
    <w:uiPriority w:val="99"/>
    <w:semiHidden/>
    <w:unhideWhenUsed/>
    <w:qFormat/>
    <w:rsid w:val="00052606"/>
    <w:rPr>
      <w:vertAlign w:val="superscript"/>
    </w:rPr>
  </w:style>
  <w:style w:type="character" w:customStyle="1" w:styleId="OdlomakCharChar">
    <w:name w:val="Odlomak Char Char"/>
    <w:link w:val="OdlomakChar"/>
    <w:qFormat/>
    <w:locked/>
    <w:rsid w:val="000D0E32"/>
    <w:rPr>
      <w:rFonts w:ascii="Arial" w:eastAsia="Calibri" w:hAnsi="Arial" w:cs="Times New Roman"/>
      <w:sz w:val="24"/>
      <w:szCs w:val="24"/>
      <w:shd w:val="clear" w:color="auto" w:fill="FFFFFF"/>
      <w:lang w:eastAsia="hr-HR"/>
    </w:rPr>
  </w:style>
  <w:style w:type="character" w:customStyle="1" w:styleId="Tijeloteksta-uvlaka3Char">
    <w:name w:val="Tijelo teksta - uvlaka 3 Char"/>
    <w:basedOn w:val="Zadanifontodlomka"/>
    <w:link w:val="Tijeloteksta-uvlaka3"/>
    <w:uiPriority w:val="99"/>
    <w:semiHidden/>
    <w:qFormat/>
    <w:rsid w:val="000D0E32"/>
    <w:rPr>
      <w:rFonts w:ascii="Arial" w:eastAsia="Times New Roman" w:hAnsi="Arial" w:cs="Arial"/>
      <w:color w:val="000000" w:themeColor="text1"/>
      <w:sz w:val="16"/>
      <w:szCs w:val="16"/>
    </w:rPr>
  </w:style>
  <w:style w:type="character" w:customStyle="1" w:styleId="naslov3Char0">
    <w:name w:val="naslov 3 Char"/>
    <w:basedOn w:val="Zadanifontodlomka"/>
    <w:qFormat/>
    <w:rsid w:val="008D058C"/>
    <w:rPr>
      <w:rFonts w:ascii="Arial" w:eastAsia="Times New Roman" w:hAnsi="Arial" w:cs="Arial"/>
      <w:color w:val="54883D"/>
      <w:szCs w:val="24"/>
      <w:u w:val="single"/>
    </w:rPr>
  </w:style>
  <w:style w:type="character" w:customStyle="1" w:styleId="TablicaChar">
    <w:name w:val="Tablica Char"/>
    <w:basedOn w:val="Zadanifontodlomka"/>
    <w:link w:val="Tablica"/>
    <w:qFormat/>
    <w:rsid w:val="00C773EB"/>
    <w:rPr>
      <w:rFonts w:ascii="Arial" w:eastAsia="Times New Roman" w:hAnsi="Arial" w:cs="Arial"/>
      <w:bCs/>
      <w:sz w:val="16"/>
      <w:szCs w:val="16"/>
      <w:lang w:eastAsia="hr-HR"/>
    </w:rPr>
  </w:style>
  <w:style w:type="character" w:customStyle="1" w:styleId="pre-line-span">
    <w:name w:val="pre-line-span"/>
    <w:basedOn w:val="Zadanifontodlomka"/>
    <w:qFormat/>
    <w:rsid w:val="00AD61F1"/>
  </w:style>
  <w:style w:type="character" w:customStyle="1" w:styleId="UnresolvedMention">
    <w:name w:val="Unresolved Mention"/>
    <w:basedOn w:val="Zadanifontodlomka"/>
    <w:uiPriority w:val="99"/>
    <w:semiHidden/>
    <w:unhideWhenUsed/>
    <w:qFormat/>
    <w:rsid w:val="00BD73DD"/>
    <w:rPr>
      <w:color w:val="605E5C"/>
      <w:shd w:val="clear" w:color="auto" w:fill="E1DFDD"/>
    </w:rPr>
  </w:style>
  <w:style w:type="character" w:customStyle="1" w:styleId="ListLabel1">
    <w:name w:val="ListLabel 1"/>
    <w:qFormat/>
    <w:rPr>
      <w:b w:val="0"/>
      <w:bCs w:val="0"/>
      <w:i w:val="0"/>
      <w:iCs w:val="0"/>
      <w:caps w:val="0"/>
      <w:smallCaps w:val="0"/>
      <w:strike w:val="0"/>
      <w:dstrike w:val="0"/>
      <w:vanish w:val="0"/>
      <w:color w:val="54883D"/>
      <w:spacing w:val="0"/>
      <w:kern w:val="0"/>
      <w:position w:val="0"/>
      <w:sz w:val="22"/>
      <w:u w:val="none"/>
      <w:effect w:val="none"/>
      <w:vertAlign w:val="baseline"/>
      <w:em w:val="none"/>
    </w:rPr>
  </w:style>
  <w:style w:type="character" w:customStyle="1" w:styleId="ListLabel2">
    <w:name w:val="ListLabel 2"/>
    <w:qFormat/>
    <w:rPr>
      <w:rFonts w:eastAsia="Calibri" w:cs="Times New Roman"/>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eastAsia="Times New Roman"/>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eastAsia="Calibri" w:cs="Calibri"/>
      <w:b/>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eastAsia="Times New Roman"/>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Times New Roman"/>
      <w:b/>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Times New Roman" w:cs="TimesNewRomanPSMT"/>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eastAsia="Times New Roman"/>
    </w:rPr>
  </w:style>
  <w:style w:type="character" w:customStyle="1" w:styleId="ListLabel30">
    <w:name w:val="ListLabel 30"/>
    <w:qFormat/>
    <w:rPr>
      <w:rFonts w:eastAsia="Calibri"/>
      <w:b/>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color w:val="auto"/>
    </w:rPr>
  </w:style>
  <w:style w:type="character" w:customStyle="1" w:styleId="ListLabel35">
    <w:name w:val="ListLabel 35"/>
    <w:qFormat/>
    <w:rPr>
      <w:color w:val="auto"/>
    </w:rPr>
  </w:style>
  <w:style w:type="character" w:customStyle="1" w:styleId="ListLabel36">
    <w:name w:val="ListLabel 36"/>
    <w:qFormat/>
    <w:rPr>
      <w:rFonts w:cs="Times New Roman"/>
    </w:rPr>
  </w:style>
  <w:style w:type="character" w:customStyle="1" w:styleId="ListLabel37">
    <w:name w:val="ListLabel 37"/>
    <w:qFormat/>
    <w:rPr>
      <w:rFonts w:cs="Times New Roman"/>
    </w:rPr>
  </w:style>
  <w:style w:type="character" w:customStyle="1" w:styleId="ListLabel38">
    <w:name w:val="ListLabel 38"/>
    <w:qFormat/>
    <w:rPr>
      <w:rFonts w:cs="Times New Roman"/>
    </w:rPr>
  </w:style>
  <w:style w:type="character" w:customStyle="1" w:styleId="ListLabel39">
    <w:name w:val="ListLabel 39"/>
    <w:qFormat/>
    <w:rPr>
      <w:rFonts w:cs="Times New Roman"/>
    </w:rPr>
  </w:style>
  <w:style w:type="character" w:customStyle="1" w:styleId="ListLabel40">
    <w:name w:val="ListLabel 40"/>
    <w:qFormat/>
    <w:rPr>
      <w:rFonts w:cs="Times New Roman"/>
    </w:rPr>
  </w:style>
  <w:style w:type="character" w:customStyle="1" w:styleId="ListLabel41">
    <w:name w:val="ListLabel 41"/>
    <w:qFormat/>
    <w:rPr>
      <w:rFonts w:cs="Times New Roman"/>
    </w:rPr>
  </w:style>
  <w:style w:type="character" w:customStyle="1" w:styleId="ListLabel42">
    <w:name w:val="ListLabel 42"/>
    <w:qFormat/>
    <w:rPr>
      <w:rFonts w:cs="Times New Roman"/>
    </w:rPr>
  </w:style>
  <w:style w:type="character" w:customStyle="1" w:styleId="ListLabel43">
    <w:name w:val="ListLabel 43"/>
    <w:qFormat/>
    <w:rPr>
      <w:rFonts w:eastAsia="Calibri" w:cs="Times New Roman"/>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eastAsia="Calibri" w:cs="Calibri"/>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eastAsia="Times New Roman"/>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cs="Courier New"/>
    </w:rPr>
  </w:style>
  <w:style w:type="character" w:customStyle="1" w:styleId="ListLabel55">
    <w:name w:val="ListLabel 55"/>
    <w:qFormat/>
    <w:rPr>
      <w:rFonts w:eastAsia="Calibri" w:cs="Times New Roman"/>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cs="Courier New"/>
    </w:rPr>
  </w:style>
  <w:style w:type="character" w:customStyle="1" w:styleId="ListLabel59">
    <w:name w:val="ListLabel 59"/>
    <w:qFormat/>
    <w:rPr>
      <w:rFonts w:eastAsia="Calibri" w:cs="Times New Roman"/>
    </w:rPr>
  </w:style>
  <w:style w:type="character" w:customStyle="1" w:styleId="ListLabel60">
    <w:name w:val="ListLabel 60"/>
    <w:qFormat/>
    <w:rPr>
      <w:rFonts w:cs="Courier New"/>
    </w:rPr>
  </w:style>
  <w:style w:type="character" w:customStyle="1" w:styleId="ListLabel61">
    <w:name w:val="ListLabel 61"/>
    <w:qFormat/>
    <w:rPr>
      <w:rFonts w:cs="Courier New"/>
    </w:rPr>
  </w:style>
  <w:style w:type="character" w:customStyle="1" w:styleId="ListLabel62">
    <w:name w:val="ListLabel 62"/>
    <w:qFormat/>
    <w:rPr>
      <w:rFonts w:cs="Courier New"/>
    </w:rPr>
  </w:style>
  <w:style w:type="character" w:customStyle="1" w:styleId="ListLabel63">
    <w:name w:val="ListLabel 63"/>
    <w:qFormat/>
    <w:rPr>
      <w:rFonts w:eastAsia="Calibri" w:cs="Times New Roman"/>
      <w:b/>
    </w:rPr>
  </w:style>
  <w:style w:type="character" w:customStyle="1" w:styleId="ListLabel64">
    <w:name w:val="ListLabel 64"/>
    <w:qFormat/>
    <w:rPr>
      <w:rFonts w:eastAsia="Times New Roman" w:cs="Arial"/>
    </w:rPr>
  </w:style>
  <w:style w:type="character" w:customStyle="1" w:styleId="ListLabel65">
    <w:name w:val="ListLabel 65"/>
    <w:qFormat/>
    <w:rPr>
      <w:rFonts w:cs="Courier New"/>
    </w:rPr>
  </w:style>
  <w:style w:type="character" w:customStyle="1" w:styleId="ListLabel66">
    <w:name w:val="ListLabel 66"/>
    <w:qFormat/>
    <w:rPr>
      <w:rFonts w:cs="Courier New"/>
    </w:rPr>
  </w:style>
  <w:style w:type="character" w:customStyle="1" w:styleId="ListLabel67">
    <w:name w:val="ListLabel 67"/>
    <w:qFormat/>
    <w:rPr>
      <w:rFonts w:eastAsia="Calibri" w:cs="Times New Roman"/>
    </w:rPr>
  </w:style>
  <w:style w:type="character" w:customStyle="1" w:styleId="ListLabel68">
    <w:name w:val="ListLabel 68"/>
    <w:qFormat/>
    <w:rPr>
      <w:rFonts w:cs="Courier New"/>
    </w:rPr>
  </w:style>
  <w:style w:type="character" w:customStyle="1" w:styleId="ListLabel69">
    <w:name w:val="ListLabel 69"/>
    <w:qFormat/>
    <w:rPr>
      <w:rFonts w:cs="Courier New"/>
    </w:rPr>
  </w:style>
  <w:style w:type="character" w:customStyle="1" w:styleId="ListLabel70">
    <w:name w:val="ListLabel 70"/>
    <w:qFormat/>
    <w:rPr>
      <w:rFonts w:cs="Courier New"/>
    </w:rPr>
  </w:style>
  <w:style w:type="character" w:customStyle="1" w:styleId="ListLabel71">
    <w:name w:val="ListLabel 71"/>
    <w:qFormat/>
    <w:rPr>
      <w:rFonts w:cs="Courier New"/>
    </w:rPr>
  </w:style>
  <w:style w:type="character" w:customStyle="1" w:styleId="ListLabel72">
    <w:name w:val="ListLabel 72"/>
    <w:qFormat/>
    <w:rPr>
      <w:rFonts w:cs="Courier New"/>
    </w:rPr>
  </w:style>
  <w:style w:type="character" w:customStyle="1" w:styleId="ListLabel73">
    <w:name w:val="ListLabel 73"/>
    <w:qFormat/>
    <w:rPr>
      <w:rFonts w:cs="Courier New"/>
    </w:rPr>
  </w:style>
  <w:style w:type="character" w:customStyle="1" w:styleId="ListLabel74">
    <w:name w:val="ListLabel 74"/>
    <w:qFormat/>
    <w:rPr>
      <w:rFonts w:eastAsia="Calibri" w:cs="Times New Roman"/>
    </w:rPr>
  </w:style>
  <w:style w:type="character" w:customStyle="1" w:styleId="ListLabel75">
    <w:name w:val="ListLabel 75"/>
    <w:qFormat/>
    <w:rPr>
      <w:rFonts w:cs="Courier New"/>
    </w:rPr>
  </w:style>
  <w:style w:type="character" w:customStyle="1" w:styleId="ListLabel76">
    <w:name w:val="ListLabel 76"/>
    <w:qFormat/>
    <w:rPr>
      <w:rFonts w:cs="Courier New"/>
    </w:rPr>
  </w:style>
  <w:style w:type="character" w:customStyle="1" w:styleId="ListLabel77">
    <w:name w:val="ListLabel 77"/>
    <w:qFormat/>
    <w:rPr>
      <w:rFonts w:cs="Courier New"/>
    </w:rPr>
  </w:style>
  <w:style w:type="character" w:customStyle="1" w:styleId="ListLabel78">
    <w:name w:val="ListLabel 78"/>
    <w:qFormat/>
    <w:rPr>
      <w:rFonts w:eastAsia="Calibri" w:cs="Times New Roman"/>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eastAsia="Calibri" w:cs="Times New Roman"/>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eastAsia="Calibri"/>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b w:val="0"/>
      <w:bCs w:val="0"/>
      <w:i w:val="0"/>
      <w:iCs w:val="0"/>
      <w:caps w:val="0"/>
      <w:smallCaps w:val="0"/>
      <w:strike w:val="0"/>
      <w:dstrike w:val="0"/>
      <w:vanish w:val="0"/>
      <w:color w:val="54883D"/>
      <w:spacing w:val="0"/>
      <w:kern w:val="0"/>
      <w:position w:val="0"/>
      <w:sz w:val="22"/>
      <w:u w:val="none"/>
      <w:effect w:val="none"/>
      <w:vertAlign w:val="baseline"/>
      <w:em w:val="none"/>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b w:val="0"/>
      <w:bCs w:val="0"/>
      <w:i w:val="0"/>
      <w:iCs w:val="0"/>
      <w:caps w:val="0"/>
      <w:smallCaps w:val="0"/>
      <w:strike w:val="0"/>
      <w:dstrike w:val="0"/>
      <w:vanish w:val="0"/>
      <w:color w:val="54883D"/>
      <w:spacing w:val="0"/>
      <w:kern w:val="0"/>
      <w:position w:val="0"/>
      <w:sz w:val="22"/>
      <w:u w:val="none"/>
      <w:effect w:val="none"/>
      <w:vertAlign w:val="baseline"/>
      <w:em w:val="none"/>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b/>
      <w:bCs/>
      <w:szCs w:val="22"/>
      <w:lang w:eastAsia="hr-HR"/>
    </w:rPr>
  </w:style>
  <w:style w:type="character" w:customStyle="1" w:styleId="ListLabel126">
    <w:name w:val="ListLabel 126"/>
    <w:qFormat/>
  </w:style>
  <w:style w:type="character" w:customStyle="1" w:styleId="ListLabel127">
    <w:name w:val="ListLabel 127"/>
    <w:qFormat/>
    <w:rPr>
      <w:color w:val="auto"/>
      <w:sz w:val="20"/>
      <w:szCs w:val="20"/>
      <w:u w:val="none"/>
    </w:rPr>
  </w:style>
  <w:style w:type="character" w:customStyle="1" w:styleId="ListLabel128">
    <w:name w:val="ListLabel 128"/>
    <w:qFormat/>
    <w:rPr>
      <w:rFonts w:cs="Arial"/>
      <w:color w:val="auto"/>
      <w:sz w:val="20"/>
      <w:szCs w:val="20"/>
      <w:u w:val="none"/>
    </w:rPr>
  </w:style>
  <w:style w:type="character" w:customStyle="1" w:styleId="ListLabel129">
    <w:name w:val="ListLabel 129"/>
    <w:qFormat/>
  </w:style>
  <w:style w:type="character" w:customStyle="1" w:styleId="ListLabel130">
    <w:name w:val="ListLabel 130"/>
    <w:qFormat/>
    <w:rPr>
      <w:rFonts w:eastAsia="Calibri"/>
      <w:bCs/>
      <w:sz w:val="20"/>
      <w:szCs w:val="18"/>
      <w:lang w:bidi="en-US"/>
    </w:rPr>
  </w:style>
  <w:style w:type="character" w:customStyle="1" w:styleId="ListLabel131">
    <w:name w:val="ListLabel 131"/>
    <w:qFormat/>
    <w:rPr>
      <w:sz w:val="22"/>
    </w:rPr>
  </w:style>
  <w:style w:type="character" w:customStyle="1" w:styleId="ListLabel132">
    <w:name w:val="ListLabel 132"/>
    <w:qFormat/>
    <w:rPr>
      <w:rFonts w:eastAsiaTheme="minorHAnsi"/>
      <w:bCs/>
      <w:szCs w:val="22"/>
    </w:rPr>
  </w:style>
  <w:style w:type="character" w:customStyle="1" w:styleId="Indeksirajvezu">
    <w:name w:val="Indeksiraj vezu"/>
    <w:qFormat/>
  </w:style>
  <w:style w:type="character" w:customStyle="1" w:styleId="Znakovifusnote">
    <w:name w:val="Znakovi fusnote"/>
    <w:qFormat/>
  </w:style>
  <w:style w:type="character" w:customStyle="1" w:styleId="Znakovioznaavanjazavrnihbiljeki">
    <w:name w:val="Znakovi označavanja završnih bilješki"/>
    <w:qFormat/>
  </w:style>
  <w:style w:type="paragraph" w:customStyle="1" w:styleId="Stilnaslova">
    <w:name w:val="Stil naslova"/>
    <w:basedOn w:val="Normal"/>
    <w:next w:val="Tijeloteksta"/>
    <w:qFormat/>
    <w:pPr>
      <w:keepNext/>
      <w:spacing w:before="240" w:after="120"/>
    </w:pPr>
    <w:rPr>
      <w:rFonts w:ascii="Liberation Sans" w:eastAsia="Microsoft YaHei" w:hAnsi="Liberation Sans"/>
      <w:sz w:val="28"/>
      <w:szCs w:val="28"/>
    </w:rPr>
  </w:style>
  <w:style w:type="paragraph" w:styleId="Tijeloteksta">
    <w:name w:val="Body Text"/>
    <w:basedOn w:val="Normal"/>
    <w:link w:val="TijelotekstaChar"/>
    <w:semiHidden/>
    <w:unhideWhenUsed/>
    <w:rsid w:val="00E23981"/>
    <w:pPr>
      <w:spacing w:after="120"/>
    </w:pPr>
  </w:style>
  <w:style w:type="paragraph" w:styleId="Popis">
    <w:name w:val="List"/>
    <w:basedOn w:val="Tijeloteksta"/>
  </w:style>
  <w:style w:type="paragraph" w:styleId="Opisslike">
    <w:name w:val="caption"/>
    <w:basedOn w:val="Normal"/>
    <w:next w:val="Normal"/>
    <w:autoRedefine/>
    <w:uiPriority w:val="35"/>
    <w:unhideWhenUsed/>
    <w:qFormat/>
    <w:rsid w:val="00F3374A"/>
    <w:pPr>
      <w:spacing w:before="0" w:after="240" w:line="240" w:lineRule="auto"/>
      <w:jc w:val="center"/>
    </w:pPr>
    <w:rPr>
      <w:rFonts w:eastAsiaTheme="minorHAnsi"/>
      <w:bCs/>
      <w:color w:val="54883D"/>
      <w:sz w:val="20"/>
      <w:szCs w:val="18"/>
      <w:lang w:bidi="en-US"/>
    </w:rPr>
  </w:style>
  <w:style w:type="paragraph" w:customStyle="1" w:styleId="Indeks">
    <w:name w:val="Indeks"/>
    <w:basedOn w:val="Normal"/>
    <w:qFormat/>
    <w:pPr>
      <w:suppressLineNumbers/>
    </w:pPr>
  </w:style>
  <w:style w:type="paragraph" w:styleId="Tekstbalonia">
    <w:name w:val="Balloon Text"/>
    <w:basedOn w:val="Normal"/>
    <w:link w:val="TekstbaloniaChar"/>
    <w:uiPriority w:val="99"/>
    <w:semiHidden/>
    <w:unhideWhenUsed/>
    <w:qFormat/>
    <w:rsid w:val="00E23981"/>
    <w:rPr>
      <w:rFonts w:ascii="Tahoma" w:hAnsi="Tahoma" w:cs="Tahoma"/>
      <w:sz w:val="16"/>
      <w:szCs w:val="16"/>
    </w:rPr>
  </w:style>
  <w:style w:type="paragraph" w:styleId="Zaglavlje">
    <w:name w:val="header"/>
    <w:basedOn w:val="Normal"/>
    <w:link w:val="ZaglavljeChar"/>
    <w:autoRedefine/>
    <w:uiPriority w:val="99"/>
    <w:unhideWhenUsed/>
    <w:rsid w:val="000B54BF"/>
    <w:pPr>
      <w:tabs>
        <w:tab w:val="left" w:pos="-142"/>
        <w:tab w:val="center" w:pos="4536"/>
        <w:tab w:val="right" w:pos="9072"/>
        <w:tab w:val="right" w:pos="9923"/>
      </w:tabs>
      <w:spacing w:before="0" w:after="0"/>
    </w:pPr>
    <w:rPr>
      <w:color w:val="595959" w:themeColor="text1" w:themeTint="A6"/>
    </w:rPr>
  </w:style>
  <w:style w:type="paragraph" w:styleId="Podnoje">
    <w:name w:val="footer"/>
    <w:basedOn w:val="Normal"/>
    <w:link w:val="PodnojeChar"/>
    <w:autoRedefine/>
    <w:uiPriority w:val="99"/>
    <w:unhideWhenUsed/>
    <w:rsid w:val="00E03BF5"/>
    <w:pPr>
      <w:tabs>
        <w:tab w:val="center" w:pos="4536"/>
        <w:tab w:val="right" w:pos="9072"/>
      </w:tabs>
      <w:jc w:val="right"/>
    </w:pPr>
  </w:style>
  <w:style w:type="paragraph" w:styleId="Odlomakpopisa">
    <w:name w:val="List Paragraph"/>
    <w:basedOn w:val="Normal"/>
    <w:link w:val="OdlomakpopisaChar"/>
    <w:autoRedefine/>
    <w:uiPriority w:val="34"/>
    <w:qFormat/>
    <w:rsid w:val="00B341AA"/>
    <w:pPr>
      <w:tabs>
        <w:tab w:val="left" w:pos="360"/>
        <w:tab w:val="left" w:pos="2445"/>
      </w:tabs>
      <w:spacing w:before="72" w:after="72" w:line="240" w:lineRule="auto"/>
      <w:contextualSpacing/>
    </w:pPr>
    <w:rPr>
      <w:sz w:val="20"/>
      <w:szCs w:val="22"/>
      <w:lang w:eastAsia="hr-HR"/>
    </w:rPr>
  </w:style>
  <w:style w:type="paragraph" w:styleId="Naglaencitat">
    <w:name w:val="Intense Quote"/>
    <w:basedOn w:val="Normal"/>
    <w:next w:val="Normal"/>
    <w:link w:val="NaglaencitatChar"/>
    <w:autoRedefine/>
    <w:qFormat/>
    <w:rsid w:val="00FE73E7"/>
    <w:pPr>
      <w:spacing w:before="240" w:after="240"/>
      <w:ind w:right="864"/>
      <w:jc w:val="left"/>
    </w:pPr>
    <w:rPr>
      <w:i/>
      <w:iCs/>
      <w:color w:val="54883D"/>
    </w:rPr>
  </w:style>
  <w:style w:type="paragraph" w:styleId="Tablicaslika">
    <w:name w:val="table of figures"/>
    <w:basedOn w:val="Normal"/>
    <w:next w:val="Normal"/>
    <w:autoRedefine/>
    <w:uiPriority w:val="99"/>
    <w:unhideWhenUsed/>
    <w:qFormat/>
    <w:rsid w:val="009762C8"/>
    <w:pPr>
      <w:tabs>
        <w:tab w:val="left" w:pos="851"/>
        <w:tab w:val="right" w:pos="8222"/>
      </w:tabs>
      <w:spacing w:after="0"/>
      <w:jc w:val="left"/>
    </w:pPr>
    <w:rPr>
      <w:bCs/>
      <w:sz w:val="20"/>
      <w:szCs w:val="20"/>
      <w:u w:val="single"/>
    </w:rPr>
  </w:style>
  <w:style w:type="paragraph" w:styleId="Tekstkomentara">
    <w:name w:val="annotation text"/>
    <w:basedOn w:val="Normal"/>
    <w:link w:val="TekstkomentaraChar"/>
    <w:uiPriority w:val="99"/>
    <w:semiHidden/>
    <w:unhideWhenUsed/>
    <w:qFormat/>
    <w:rsid w:val="005D146B"/>
    <w:rPr>
      <w:sz w:val="20"/>
      <w:szCs w:val="20"/>
    </w:rPr>
  </w:style>
  <w:style w:type="paragraph" w:styleId="Predmetkomentara">
    <w:name w:val="annotation subject"/>
    <w:basedOn w:val="Tekstkomentara"/>
    <w:next w:val="Tekstkomentara"/>
    <w:link w:val="PredmetkomentaraChar"/>
    <w:uiPriority w:val="99"/>
    <w:semiHidden/>
    <w:unhideWhenUsed/>
    <w:qFormat/>
    <w:rsid w:val="005D146B"/>
    <w:rPr>
      <w:b/>
      <w:bCs/>
    </w:rPr>
  </w:style>
  <w:style w:type="paragraph" w:styleId="Sadraj1">
    <w:name w:val="toc 1"/>
    <w:basedOn w:val="Normal"/>
    <w:next w:val="Normal"/>
    <w:autoRedefine/>
    <w:uiPriority w:val="39"/>
    <w:unhideWhenUsed/>
    <w:rsid w:val="00CC625A"/>
    <w:pPr>
      <w:spacing w:before="360" w:after="360"/>
    </w:pPr>
    <w:rPr>
      <w:b/>
      <w:bCs/>
      <w:caps/>
      <w:u w:val="single"/>
    </w:rPr>
  </w:style>
  <w:style w:type="paragraph" w:styleId="Sadraj2">
    <w:name w:val="toc 2"/>
    <w:basedOn w:val="Normal"/>
    <w:next w:val="Normal"/>
    <w:autoRedefine/>
    <w:uiPriority w:val="39"/>
    <w:unhideWhenUsed/>
    <w:rsid w:val="00CC625A"/>
    <w:pPr>
      <w:spacing w:after="0"/>
    </w:pPr>
    <w:rPr>
      <w:b/>
      <w:bCs/>
      <w:smallCaps/>
    </w:rPr>
  </w:style>
  <w:style w:type="paragraph" w:styleId="Sadraj3">
    <w:name w:val="toc 3"/>
    <w:basedOn w:val="Normal"/>
    <w:next w:val="Normal"/>
    <w:autoRedefine/>
    <w:uiPriority w:val="39"/>
    <w:unhideWhenUsed/>
    <w:rsid w:val="00CC625A"/>
    <w:pPr>
      <w:spacing w:after="0"/>
    </w:pPr>
    <w:rPr>
      <w:smallCaps/>
    </w:rPr>
  </w:style>
  <w:style w:type="paragraph" w:styleId="Sadraj4">
    <w:name w:val="toc 4"/>
    <w:basedOn w:val="Normal"/>
    <w:next w:val="Normal"/>
    <w:autoRedefine/>
    <w:uiPriority w:val="39"/>
    <w:unhideWhenUsed/>
    <w:rsid w:val="00CC625A"/>
    <w:pPr>
      <w:spacing w:after="0"/>
    </w:pPr>
  </w:style>
  <w:style w:type="paragraph" w:styleId="Sadraj5">
    <w:name w:val="toc 5"/>
    <w:basedOn w:val="Normal"/>
    <w:next w:val="Normal"/>
    <w:autoRedefine/>
    <w:uiPriority w:val="39"/>
    <w:unhideWhenUsed/>
    <w:rsid w:val="00CC625A"/>
    <w:pPr>
      <w:spacing w:after="0"/>
    </w:pPr>
  </w:style>
  <w:style w:type="paragraph" w:styleId="Sadraj6">
    <w:name w:val="toc 6"/>
    <w:basedOn w:val="Normal"/>
    <w:next w:val="Normal"/>
    <w:autoRedefine/>
    <w:uiPriority w:val="39"/>
    <w:unhideWhenUsed/>
    <w:rsid w:val="00CC625A"/>
    <w:pPr>
      <w:spacing w:after="0"/>
    </w:pPr>
  </w:style>
  <w:style w:type="paragraph" w:styleId="Sadraj7">
    <w:name w:val="toc 7"/>
    <w:basedOn w:val="Normal"/>
    <w:next w:val="Normal"/>
    <w:autoRedefine/>
    <w:uiPriority w:val="39"/>
    <w:unhideWhenUsed/>
    <w:rsid w:val="00CC625A"/>
    <w:pPr>
      <w:spacing w:after="0"/>
    </w:pPr>
  </w:style>
  <w:style w:type="paragraph" w:styleId="Sadraj8">
    <w:name w:val="toc 8"/>
    <w:basedOn w:val="Normal"/>
    <w:next w:val="Normal"/>
    <w:autoRedefine/>
    <w:uiPriority w:val="39"/>
    <w:unhideWhenUsed/>
    <w:rsid w:val="00CC625A"/>
    <w:pPr>
      <w:spacing w:after="0"/>
    </w:pPr>
  </w:style>
  <w:style w:type="paragraph" w:styleId="Sadraj9">
    <w:name w:val="toc 9"/>
    <w:basedOn w:val="Normal"/>
    <w:next w:val="Normal"/>
    <w:autoRedefine/>
    <w:uiPriority w:val="39"/>
    <w:unhideWhenUsed/>
    <w:rsid w:val="00CC625A"/>
    <w:pPr>
      <w:spacing w:after="0"/>
    </w:pPr>
  </w:style>
  <w:style w:type="paragraph" w:styleId="Uvuenotijeloteksta">
    <w:name w:val="Body Text Indent"/>
    <w:basedOn w:val="Tijeloteksta"/>
    <w:link w:val="UvuenotijelotekstaChar"/>
    <w:autoRedefine/>
    <w:qFormat/>
    <w:rsid w:val="00777B54"/>
    <w:pPr>
      <w:spacing w:after="0"/>
      <w:ind w:firstLine="360"/>
    </w:pPr>
  </w:style>
  <w:style w:type="paragraph" w:customStyle="1" w:styleId="Bulletlist">
    <w:name w:val="Bullet list"/>
    <w:basedOn w:val="Odlomakpopisa"/>
    <w:autoRedefine/>
    <w:qFormat/>
    <w:rsid w:val="00777B54"/>
    <w:pPr>
      <w:spacing w:after="320" w:line="288" w:lineRule="auto"/>
    </w:pPr>
  </w:style>
  <w:style w:type="paragraph" w:styleId="Datum">
    <w:name w:val="Date"/>
    <w:basedOn w:val="Normal"/>
    <w:next w:val="Normal"/>
    <w:link w:val="DatumChar"/>
    <w:autoRedefine/>
    <w:qFormat/>
    <w:rsid w:val="008F28B1"/>
    <w:pPr>
      <w:jc w:val="center"/>
    </w:pPr>
  </w:style>
  <w:style w:type="paragraph" w:styleId="Grafikeoznake5">
    <w:name w:val="List Bullet 5"/>
    <w:basedOn w:val="Normal"/>
    <w:autoRedefine/>
    <w:rsid w:val="00E23981"/>
    <w:pPr>
      <w:ind w:left="1132" w:hanging="283"/>
      <w:contextualSpacing/>
    </w:pPr>
  </w:style>
  <w:style w:type="paragraph" w:styleId="Brojevi">
    <w:name w:val="List Number"/>
    <w:basedOn w:val="Normal"/>
    <w:autoRedefine/>
    <w:qFormat/>
    <w:rsid w:val="00E23981"/>
    <w:pPr>
      <w:contextualSpacing/>
    </w:pPr>
    <w:rPr>
      <w:b/>
      <w:i/>
      <w:sz w:val="28"/>
      <w:u w:val="single"/>
    </w:rPr>
  </w:style>
  <w:style w:type="paragraph" w:styleId="Bezproreda">
    <w:name w:val="No Spacing"/>
    <w:link w:val="BezproredaChar"/>
    <w:autoRedefine/>
    <w:uiPriority w:val="1"/>
    <w:qFormat/>
    <w:rsid w:val="00777B54"/>
    <w:rPr>
      <w:rFonts w:ascii="Arial" w:eastAsia="Times New Roman" w:hAnsi="Arial" w:cs="Times New Roman"/>
      <w:sz w:val="24"/>
      <w:szCs w:val="24"/>
    </w:rPr>
  </w:style>
  <w:style w:type="paragraph" w:customStyle="1" w:styleId="Opis">
    <w:name w:val="Opis"/>
    <w:basedOn w:val="Normal"/>
    <w:autoRedefine/>
    <w:qFormat/>
    <w:rsid w:val="00E23981"/>
    <w:rPr>
      <w:rFonts w:cs="Tahoma"/>
      <w:b/>
      <w:color w:val="54883D"/>
      <w:sz w:val="32"/>
    </w:rPr>
  </w:style>
  <w:style w:type="paragraph" w:styleId="Citat">
    <w:name w:val="Quote"/>
    <w:basedOn w:val="Normal"/>
    <w:next w:val="Normal"/>
    <w:link w:val="CitatChar"/>
    <w:autoRedefine/>
    <w:qFormat/>
    <w:rsid w:val="00E23981"/>
    <w:pPr>
      <w:spacing w:before="200"/>
      <w:ind w:left="864" w:right="864"/>
      <w:jc w:val="center"/>
    </w:pPr>
    <w:rPr>
      <w:i/>
      <w:iCs/>
      <w:color w:val="404040" w:themeColor="text1" w:themeTint="BF"/>
    </w:rPr>
  </w:style>
  <w:style w:type="paragraph" w:customStyle="1" w:styleId="sadraopisaBOLD">
    <w:name w:val="sadrža opisa BOLD"/>
    <w:basedOn w:val="Normal"/>
    <w:autoRedefine/>
    <w:qFormat/>
    <w:rsid w:val="00203619"/>
    <w:rPr>
      <w:sz w:val="40"/>
      <w:szCs w:val="40"/>
    </w:rPr>
  </w:style>
  <w:style w:type="paragraph" w:customStyle="1" w:styleId="sadrajopisa">
    <w:name w:val="sadržaj opisa"/>
    <w:basedOn w:val="sadraopisaBOLD"/>
    <w:autoRedefine/>
    <w:qFormat/>
    <w:rsid w:val="00E23981"/>
    <w:rPr>
      <w:sz w:val="28"/>
    </w:rPr>
  </w:style>
  <w:style w:type="paragraph" w:styleId="Pozdrav">
    <w:name w:val="Salutation"/>
    <w:basedOn w:val="Normal"/>
    <w:next w:val="Normal"/>
    <w:link w:val="PozdravChar"/>
    <w:autoRedefine/>
    <w:rsid w:val="00E23981"/>
    <w:rPr>
      <w:sz w:val="28"/>
    </w:rPr>
  </w:style>
  <w:style w:type="paragraph" w:styleId="Podnaslov">
    <w:name w:val="Subtitle"/>
    <w:basedOn w:val="Normal"/>
    <w:next w:val="Normal"/>
    <w:link w:val="PodnaslovChar"/>
    <w:autoRedefine/>
    <w:qFormat/>
    <w:rsid w:val="00E23981"/>
    <w:rPr>
      <w:rFonts w:eastAsiaTheme="minorEastAsia" w:cstheme="minorBidi"/>
      <w:color w:val="5A5A5A" w:themeColor="text1" w:themeTint="A5"/>
      <w:spacing w:val="15"/>
      <w:szCs w:val="22"/>
    </w:rPr>
  </w:style>
  <w:style w:type="paragraph" w:styleId="Naslov">
    <w:name w:val="Title"/>
    <w:basedOn w:val="Normal"/>
    <w:next w:val="Normal"/>
    <w:link w:val="NaslovChar"/>
    <w:autoRedefine/>
    <w:qFormat/>
    <w:rsid w:val="00E23981"/>
    <w:pPr>
      <w:contextualSpacing/>
    </w:pPr>
    <w:rPr>
      <w:rFonts w:eastAsiaTheme="majorEastAsia" w:cstheme="majorBidi"/>
      <w:spacing w:val="-10"/>
      <w:kern w:val="2"/>
      <w:sz w:val="56"/>
      <w:szCs w:val="56"/>
    </w:rPr>
  </w:style>
  <w:style w:type="paragraph" w:styleId="Tekstfusnote">
    <w:name w:val="footnote text"/>
    <w:basedOn w:val="Normal"/>
    <w:link w:val="TekstfusnoteChar"/>
    <w:uiPriority w:val="99"/>
    <w:unhideWhenUsed/>
    <w:rsid w:val="00FE73E7"/>
    <w:pPr>
      <w:spacing w:before="0" w:after="0" w:line="240" w:lineRule="auto"/>
    </w:pPr>
    <w:rPr>
      <w:sz w:val="20"/>
      <w:szCs w:val="20"/>
    </w:rPr>
  </w:style>
  <w:style w:type="paragraph" w:customStyle="1" w:styleId="FootnoteDLS">
    <w:name w:val="Footnote DLS"/>
    <w:basedOn w:val="Tekstfusnote"/>
    <w:autoRedefine/>
    <w:qFormat/>
    <w:rsid w:val="00777B54"/>
    <w:rPr>
      <w:sz w:val="18"/>
    </w:rPr>
  </w:style>
  <w:style w:type="paragraph" w:customStyle="1" w:styleId="Odlomak">
    <w:name w:val="Odlomak"/>
    <w:basedOn w:val="Normal"/>
    <w:qFormat/>
    <w:rsid w:val="00BB2E23"/>
    <w:pPr>
      <w:shd w:val="clear" w:color="auto" w:fill="FFFFFF"/>
      <w:suppressAutoHyphens/>
      <w:spacing w:before="0" w:after="0" w:line="360" w:lineRule="auto"/>
      <w:ind w:left="5" w:right="72" w:firstLine="703"/>
      <w:textAlignment w:val="baseline"/>
    </w:pPr>
    <w:rPr>
      <w:rFonts w:eastAsia="Calibri" w:cs="Times New Roman"/>
      <w:color w:val="auto"/>
      <w:sz w:val="24"/>
      <w:lang w:eastAsia="hr-HR"/>
    </w:rPr>
  </w:style>
  <w:style w:type="paragraph" w:styleId="Tijeloteksta2">
    <w:name w:val="Body Text 2"/>
    <w:basedOn w:val="Normal"/>
    <w:link w:val="Tijeloteksta2Char"/>
    <w:uiPriority w:val="99"/>
    <w:unhideWhenUsed/>
    <w:qFormat/>
    <w:rsid w:val="004464CA"/>
    <w:pPr>
      <w:spacing w:after="120" w:line="480" w:lineRule="auto"/>
    </w:pPr>
  </w:style>
  <w:style w:type="paragraph" w:customStyle="1" w:styleId="Default">
    <w:name w:val="Default"/>
    <w:qFormat/>
    <w:rsid w:val="00894BDE"/>
    <w:rPr>
      <w:rFonts w:ascii="Times New Roman" w:eastAsia="Calibri" w:hAnsi="Times New Roman" w:cs="Times New Roman"/>
      <w:color w:val="000000"/>
      <w:sz w:val="24"/>
      <w:szCs w:val="24"/>
    </w:rPr>
  </w:style>
  <w:style w:type="paragraph" w:styleId="StandardWeb">
    <w:name w:val="Normal (Web)"/>
    <w:basedOn w:val="Normal"/>
    <w:uiPriority w:val="99"/>
    <w:unhideWhenUsed/>
    <w:qFormat/>
    <w:rsid w:val="006551AA"/>
    <w:pPr>
      <w:spacing w:beforeAutospacing="1" w:afterAutospacing="1" w:line="240" w:lineRule="auto"/>
      <w:jc w:val="left"/>
    </w:pPr>
    <w:rPr>
      <w:rFonts w:ascii="Times New Roman" w:hAnsi="Times New Roman" w:cs="Times New Roman"/>
      <w:color w:val="auto"/>
      <w:sz w:val="24"/>
      <w:lang w:eastAsia="hr-HR"/>
    </w:rPr>
  </w:style>
  <w:style w:type="paragraph" w:customStyle="1" w:styleId="TableParagraph">
    <w:name w:val="Table Paragraph"/>
    <w:basedOn w:val="Normal"/>
    <w:uiPriority w:val="1"/>
    <w:qFormat/>
    <w:rsid w:val="006B4325"/>
    <w:pPr>
      <w:widowControl w:val="0"/>
      <w:spacing w:before="0" w:after="0" w:line="240" w:lineRule="auto"/>
      <w:jc w:val="left"/>
    </w:pPr>
    <w:rPr>
      <w:rFonts w:asciiTheme="minorHAnsi" w:eastAsiaTheme="minorHAnsi" w:hAnsiTheme="minorHAnsi" w:cstheme="minorBidi"/>
      <w:color w:val="auto"/>
      <w:szCs w:val="22"/>
      <w:lang w:val="en-US"/>
    </w:rPr>
  </w:style>
  <w:style w:type="paragraph" w:customStyle="1" w:styleId="OdlomakChar">
    <w:name w:val="Odlomak Char"/>
    <w:basedOn w:val="Normal"/>
    <w:link w:val="OdlomakCharChar"/>
    <w:qFormat/>
    <w:rsid w:val="00A80364"/>
    <w:pPr>
      <w:shd w:val="clear" w:color="auto" w:fill="FFFFFF"/>
      <w:suppressAutoHyphens/>
      <w:spacing w:before="0" w:after="0" w:line="360" w:lineRule="auto"/>
      <w:ind w:left="5" w:right="72" w:firstLine="703"/>
      <w:textAlignment w:val="baseline"/>
    </w:pPr>
    <w:rPr>
      <w:rFonts w:eastAsia="Calibri" w:cs="Times New Roman"/>
      <w:color w:val="auto"/>
      <w:sz w:val="24"/>
      <w:lang w:eastAsia="hr-HR"/>
    </w:rPr>
  </w:style>
  <w:style w:type="paragraph" w:customStyle="1" w:styleId="ColorfulList-Accent11">
    <w:name w:val="Colorful List - Accent 11"/>
    <w:basedOn w:val="Normal"/>
    <w:qFormat/>
    <w:rsid w:val="00A80364"/>
    <w:pPr>
      <w:suppressAutoHyphens/>
      <w:spacing w:before="0" w:after="0" w:line="360" w:lineRule="auto"/>
      <w:ind w:left="720"/>
      <w:textAlignment w:val="baseline"/>
    </w:pPr>
    <w:rPr>
      <w:rFonts w:ascii="Times New Roman" w:eastAsia="Calibri" w:hAnsi="Times New Roman" w:cs="Times New Roman"/>
      <w:color w:val="auto"/>
      <w:sz w:val="24"/>
      <w:lang w:eastAsia="hr-HR"/>
    </w:rPr>
  </w:style>
  <w:style w:type="paragraph" w:styleId="Tekstkrajnjebiljeke">
    <w:name w:val="endnote text"/>
    <w:basedOn w:val="Normal"/>
    <w:link w:val="TekstkrajnjebiljekeChar"/>
    <w:uiPriority w:val="99"/>
    <w:semiHidden/>
    <w:unhideWhenUsed/>
    <w:rsid w:val="00052606"/>
    <w:pPr>
      <w:spacing w:before="0" w:after="0" w:line="240" w:lineRule="auto"/>
    </w:pPr>
    <w:rPr>
      <w:sz w:val="20"/>
      <w:szCs w:val="20"/>
    </w:rPr>
  </w:style>
  <w:style w:type="paragraph" w:customStyle="1" w:styleId="Bezproreda3">
    <w:name w:val="Bez proreda3"/>
    <w:uiPriority w:val="1"/>
    <w:qFormat/>
    <w:rsid w:val="0035717D"/>
    <w:rPr>
      <w:rFonts w:eastAsia="Times New Roman" w:cs="Times New Roman"/>
    </w:rPr>
  </w:style>
  <w:style w:type="paragraph" w:customStyle="1" w:styleId="marine">
    <w:name w:val="marine"/>
    <w:basedOn w:val="Normal"/>
    <w:qFormat/>
    <w:rsid w:val="000D0E32"/>
    <w:pPr>
      <w:spacing w:before="0" w:after="0" w:line="240" w:lineRule="auto"/>
    </w:pPr>
    <w:rPr>
      <w:rFonts w:ascii="CRO_Korinna" w:hAnsi="CRO_Korinna" w:cs="Times New Roman"/>
      <w:color w:val="auto"/>
      <w:szCs w:val="20"/>
      <w:lang w:eastAsia="hr-HR"/>
    </w:rPr>
  </w:style>
  <w:style w:type="paragraph" w:customStyle="1" w:styleId="ZTekst1">
    <w:name w:val="ZTekst1"/>
    <w:basedOn w:val="Normal"/>
    <w:uiPriority w:val="99"/>
    <w:semiHidden/>
    <w:qFormat/>
    <w:rsid w:val="000D0E32"/>
    <w:pPr>
      <w:spacing w:before="0" w:after="140" w:line="240" w:lineRule="auto"/>
    </w:pPr>
    <w:rPr>
      <w:rFonts w:ascii="Aldine401 BT" w:hAnsi="Aldine401 BT"/>
      <w:color w:val="auto"/>
      <w:sz w:val="20"/>
      <w:lang w:eastAsia="hr-HR"/>
    </w:rPr>
  </w:style>
  <w:style w:type="paragraph" w:customStyle="1" w:styleId="Bezproreda1">
    <w:name w:val="Bez proreda1"/>
    <w:qFormat/>
    <w:rsid w:val="000D0E32"/>
    <w:rPr>
      <w:rFonts w:cs="Arial"/>
      <w:lang w:val="en-US"/>
    </w:rPr>
  </w:style>
  <w:style w:type="paragraph" w:customStyle="1" w:styleId="Tablicasadraj2">
    <w:name w:val="Tablica sadržaj2"/>
    <w:basedOn w:val="Normal"/>
    <w:uiPriority w:val="99"/>
    <w:semiHidden/>
    <w:qFormat/>
    <w:rsid w:val="000D0E32"/>
    <w:pPr>
      <w:tabs>
        <w:tab w:val="left" w:pos="1091"/>
        <w:tab w:val="left" w:pos="1553"/>
      </w:tabs>
      <w:spacing w:before="0" w:after="0" w:line="240" w:lineRule="auto"/>
      <w:jc w:val="center"/>
    </w:pPr>
    <w:rPr>
      <w:rFonts w:ascii="Aldine401 BT" w:hAnsi="Aldine401 BT"/>
      <w:color w:val="auto"/>
      <w:sz w:val="20"/>
      <w:lang w:eastAsia="hr-HR"/>
    </w:rPr>
  </w:style>
  <w:style w:type="paragraph" w:customStyle="1" w:styleId="SadrajTabliceOK">
    <w:name w:val="SadržajTablice OK"/>
    <w:basedOn w:val="Normal"/>
    <w:uiPriority w:val="99"/>
    <w:semiHidden/>
    <w:qFormat/>
    <w:rsid w:val="000D0E32"/>
    <w:pPr>
      <w:spacing w:before="0" w:after="0" w:line="240" w:lineRule="auto"/>
      <w:jc w:val="center"/>
    </w:pPr>
    <w:rPr>
      <w:rFonts w:ascii="Aldine401 BT" w:hAnsi="Aldine401 BT"/>
      <w:color w:val="auto"/>
      <w:sz w:val="16"/>
      <w:lang w:eastAsia="hr-HR"/>
    </w:rPr>
  </w:style>
  <w:style w:type="paragraph" w:customStyle="1" w:styleId="ZNaslov6">
    <w:name w:val="ZNaslov6"/>
    <w:basedOn w:val="Normal"/>
    <w:uiPriority w:val="99"/>
    <w:semiHidden/>
    <w:qFormat/>
    <w:rsid w:val="000D0E32"/>
    <w:pPr>
      <w:spacing w:before="0" w:after="100" w:line="240" w:lineRule="auto"/>
      <w:ind w:left="907"/>
      <w:jc w:val="left"/>
    </w:pPr>
    <w:rPr>
      <w:rFonts w:ascii="Aldine401 BT" w:hAnsi="Aldine401 BT"/>
      <w:bCs/>
      <w:color w:val="auto"/>
      <w:sz w:val="20"/>
      <w:lang w:eastAsia="hr-HR"/>
    </w:rPr>
  </w:style>
  <w:style w:type="paragraph" w:styleId="Tijeloteksta-uvlaka3">
    <w:name w:val="Body Text Indent 3"/>
    <w:basedOn w:val="Normal"/>
    <w:link w:val="Tijeloteksta-uvlaka3Char"/>
    <w:uiPriority w:val="99"/>
    <w:semiHidden/>
    <w:unhideWhenUsed/>
    <w:qFormat/>
    <w:rsid w:val="000D0E32"/>
    <w:pPr>
      <w:spacing w:after="120"/>
      <w:ind w:left="283"/>
    </w:pPr>
    <w:rPr>
      <w:sz w:val="16"/>
      <w:szCs w:val="16"/>
    </w:rPr>
  </w:style>
  <w:style w:type="paragraph" w:customStyle="1" w:styleId="Sadrajitablice">
    <w:name w:val="Sadržaji tablice"/>
    <w:basedOn w:val="Normal"/>
    <w:qFormat/>
  </w:style>
  <w:style w:type="paragraph" w:customStyle="1" w:styleId="Naslovtablice">
    <w:name w:val="Naslov tablice"/>
    <w:basedOn w:val="Normal"/>
    <w:uiPriority w:val="99"/>
    <w:semiHidden/>
    <w:qFormat/>
    <w:rsid w:val="000D0E32"/>
    <w:pPr>
      <w:spacing w:before="480" w:after="40" w:line="240" w:lineRule="auto"/>
      <w:jc w:val="center"/>
    </w:pPr>
    <w:rPr>
      <w:rFonts w:ascii="Aldine401 BT" w:hAnsi="Aldine401 BT" w:cs="Times New Roman"/>
      <w:caps/>
      <w:color w:val="auto"/>
      <w:sz w:val="20"/>
      <w:szCs w:val="20"/>
      <w:lang w:eastAsia="hr-HR"/>
    </w:rPr>
  </w:style>
  <w:style w:type="paragraph" w:customStyle="1" w:styleId="Odlomakpopisa1">
    <w:name w:val="Odlomak popisa1"/>
    <w:basedOn w:val="Normal"/>
    <w:qFormat/>
    <w:rsid w:val="000D0E32"/>
    <w:rPr>
      <w:rFonts w:eastAsiaTheme="minorHAnsi"/>
    </w:rPr>
  </w:style>
  <w:style w:type="paragraph" w:customStyle="1" w:styleId="naslov30">
    <w:name w:val="naslov 3"/>
    <w:basedOn w:val="Normal"/>
    <w:qFormat/>
    <w:rsid w:val="008D058C"/>
    <w:rPr>
      <w:color w:val="54883D"/>
      <w:u w:val="single"/>
    </w:rPr>
  </w:style>
  <w:style w:type="paragraph" w:styleId="TOCNaslov">
    <w:name w:val="TOC Heading"/>
    <w:basedOn w:val="Naslov1"/>
    <w:next w:val="Normal"/>
    <w:uiPriority w:val="39"/>
    <w:unhideWhenUsed/>
    <w:qFormat/>
    <w:rsid w:val="00015D7A"/>
    <w:pPr>
      <w:numPr>
        <w:numId w:val="0"/>
      </w:numPr>
      <w:spacing w:after="0" w:line="259" w:lineRule="auto"/>
      <w:jc w:val="left"/>
    </w:pPr>
    <w:rPr>
      <w:rFonts w:asciiTheme="majorHAnsi" w:hAnsiTheme="majorHAnsi" w:cstheme="majorBidi"/>
      <w:b w:val="0"/>
      <w:color w:val="365F91" w:themeColor="accent1" w:themeShade="BF"/>
      <w:lang w:eastAsia="hr-HR"/>
    </w:rPr>
  </w:style>
  <w:style w:type="paragraph" w:customStyle="1" w:styleId="bulett1">
    <w:name w:val="bulett1"/>
    <w:basedOn w:val="Normal"/>
    <w:qFormat/>
    <w:rsid w:val="00C773EB"/>
    <w:pPr>
      <w:tabs>
        <w:tab w:val="left" w:pos="680"/>
      </w:tabs>
      <w:spacing w:before="0" w:after="0" w:line="400" w:lineRule="atLeast"/>
      <w:ind w:left="680" w:hanging="396"/>
    </w:pPr>
    <w:rPr>
      <w:rFonts w:ascii="Tahoma" w:eastAsia="Calibri" w:hAnsi="Tahoma" w:cs="Tahoma"/>
      <w:i/>
      <w:iCs/>
      <w:color w:val="auto"/>
      <w:szCs w:val="22"/>
      <w:lang w:eastAsia="hr-HR"/>
    </w:rPr>
  </w:style>
  <w:style w:type="paragraph" w:customStyle="1" w:styleId="StandardWeb1">
    <w:name w:val="Standard (Web)1"/>
    <w:basedOn w:val="Normal"/>
    <w:qFormat/>
    <w:rsid w:val="00C773EB"/>
    <w:pPr>
      <w:suppressAutoHyphens/>
      <w:spacing w:before="100" w:after="100" w:line="240" w:lineRule="auto"/>
      <w:jc w:val="left"/>
    </w:pPr>
    <w:rPr>
      <w:rFonts w:ascii="Times New Roman" w:hAnsi="Times New Roman" w:cs="Times New Roman"/>
      <w:color w:val="000000"/>
      <w:sz w:val="24"/>
      <w:szCs w:val="20"/>
      <w:lang w:eastAsia="ar-SA"/>
    </w:rPr>
  </w:style>
  <w:style w:type="paragraph" w:customStyle="1" w:styleId="Tablica">
    <w:name w:val="Tablica"/>
    <w:basedOn w:val="Normal"/>
    <w:link w:val="TablicaChar"/>
    <w:qFormat/>
    <w:rsid w:val="00C773EB"/>
    <w:pPr>
      <w:spacing w:before="0" w:after="0" w:line="240" w:lineRule="auto"/>
      <w:jc w:val="left"/>
    </w:pPr>
    <w:rPr>
      <w:bCs/>
      <w:color w:val="auto"/>
      <w:sz w:val="16"/>
      <w:szCs w:val="16"/>
      <w:lang w:eastAsia="hr-HR"/>
    </w:rPr>
  </w:style>
  <w:style w:type="paragraph" w:customStyle="1" w:styleId="Zaglavljelijevo">
    <w:name w:val="Zaglavlje lijevo"/>
    <w:basedOn w:val="Normal"/>
    <w:qFormat/>
    <w:rsid w:val="00C773EB"/>
    <w:pPr>
      <w:suppressLineNumbers/>
      <w:tabs>
        <w:tab w:val="center" w:pos="4677"/>
        <w:tab w:val="right" w:pos="9354"/>
      </w:tabs>
      <w:suppressAutoHyphens/>
      <w:spacing w:before="0" w:after="0" w:line="240" w:lineRule="auto"/>
      <w:jc w:val="left"/>
    </w:pPr>
    <w:rPr>
      <w:rFonts w:ascii="Times New Roman" w:hAnsi="Times New Roman" w:cs="Times New Roman"/>
      <w:color w:val="auto"/>
      <w:kern w:val="2"/>
      <w:sz w:val="20"/>
      <w:szCs w:val="20"/>
      <w:lang w:eastAsia="ar-SA"/>
    </w:rPr>
  </w:style>
  <w:style w:type="paragraph" w:customStyle="1" w:styleId="WW-Tijeloteksta">
    <w:name w:val="WW-Tijelo teksta"/>
    <w:basedOn w:val="Normal"/>
    <w:qFormat/>
    <w:rsid w:val="00C773EB"/>
    <w:pPr>
      <w:suppressAutoHyphens/>
      <w:spacing w:before="0" w:after="0" w:line="240" w:lineRule="auto"/>
      <w:ind w:firstLine="709"/>
      <w:jc w:val="left"/>
      <w:textAlignment w:val="baseline"/>
    </w:pPr>
    <w:rPr>
      <w:rFonts w:ascii="Times New Roman" w:hAnsi="Times New Roman" w:cs="Times New Roman"/>
      <w:color w:val="auto"/>
      <w:sz w:val="24"/>
      <w:szCs w:val="20"/>
      <w:lang w:eastAsia="ar-SA"/>
    </w:rPr>
  </w:style>
  <w:style w:type="paragraph" w:customStyle="1" w:styleId="Obtekst">
    <w:name w:val="Obtekst"/>
    <w:qFormat/>
    <w:rsid w:val="00C773EB"/>
    <w:pPr>
      <w:widowControl w:val="0"/>
      <w:suppressAutoHyphens/>
    </w:pPr>
    <w:rPr>
      <w:rFonts w:ascii="Times New Roman" w:eastAsia="Times New Roman" w:hAnsi="Times New Roman" w:cs="Times New Roman"/>
      <w:kern w:val="2"/>
      <w:sz w:val="20"/>
      <w:szCs w:val="20"/>
      <w:lang w:eastAsia="ar-SA"/>
    </w:rPr>
  </w:style>
  <w:style w:type="paragraph" w:customStyle="1" w:styleId="Sadrajokvira">
    <w:name w:val="Sadržaj okvira"/>
    <w:basedOn w:val="Normal"/>
    <w:qFormat/>
  </w:style>
  <w:style w:type="numbering" w:customStyle="1" w:styleId="WWOutlineListStyle1">
    <w:name w:val="WW_OutlineListStyle_1"/>
    <w:qFormat/>
    <w:rsid w:val="00396F1E"/>
  </w:style>
  <w:style w:type="numbering" w:customStyle="1" w:styleId="Bezpopisa1">
    <w:name w:val="Bez popisa1"/>
    <w:uiPriority w:val="99"/>
    <w:semiHidden/>
    <w:unhideWhenUsed/>
    <w:qFormat/>
    <w:rsid w:val="00450DCB"/>
  </w:style>
  <w:style w:type="numbering" w:customStyle="1" w:styleId="Bezpopisa2">
    <w:name w:val="Bez popisa2"/>
    <w:uiPriority w:val="99"/>
    <w:semiHidden/>
    <w:unhideWhenUsed/>
    <w:qFormat/>
    <w:rsid w:val="000D0E32"/>
  </w:style>
  <w:style w:type="numbering" w:customStyle="1" w:styleId="Bezpopisa11">
    <w:name w:val="Bez popisa11"/>
    <w:uiPriority w:val="99"/>
    <w:semiHidden/>
    <w:unhideWhenUsed/>
    <w:qFormat/>
    <w:rsid w:val="000D0E32"/>
  </w:style>
  <w:style w:type="table" w:styleId="Reetkatablice">
    <w:name w:val="Table Grid"/>
    <w:basedOn w:val="Obinatablica"/>
    <w:uiPriority w:val="59"/>
    <w:rsid w:val="00E23981"/>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Svijetlosjenanje-Isticanje1">
    <w:name w:val="Light Shading Accent 1"/>
    <w:basedOn w:val="Obinatablica"/>
    <w:uiPriority w:val="60"/>
    <w:rsid w:val="005D146B"/>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
    <w:name w:val="DLS LIGHT 2015"/>
    <w:basedOn w:val="Obinatablica"/>
    <w:uiPriority w:val="99"/>
    <w:rsid w:val="00E23981"/>
    <w:pPr>
      <w:jc w:val="center"/>
    </w:pPr>
    <w:rPr>
      <w:color w:val="000000" w:themeColor="text1"/>
      <w:sz w:val="24"/>
      <w:szCs w:val="24"/>
      <w:lang w:eastAsia="hr-HR"/>
    </w:rPr>
    <w:tblPr>
      <w:tblStyleRowBandSize w:val="1"/>
      <w:tblBorders>
        <w:top w:val="single" w:sz="2" w:space="0" w:color="6EAA42"/>
        <w:bottom w:val="single" w:sz="2" w:space="0" w:color="6EAA42"/>
        <w:insideH w:val="single" w:sz="2" w:space="0" w:color="6EAA42"/>
      </w:tblBorders>
    </w:tbl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
    <w:name w:val="Grid Table 2 - Accent 31"/>
    <w:basedOn w:val="Obinatablica"/>
    <w:uiPriority w:val="47"/>
    <w:rsid w:val="00E23981"/>
    <w:rPr>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
    <w:name w:val="Light Grid - Accent 12"/>
    <w:basedOn w:val="Obinatablica"/>
    <w:rsid w:val="00E23981"/>
    <w:rPr>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stTable2-Accent31">
    <w:name w:val="List Table 2 - Accent 31"/>
    <w:basedOn w:val="Obinatablica"/>
    <w:uiPriority w:val="47"/>
    <w:rsid w:val="00E23981"/>
    <w:rPr>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Obinatablica"/>
    <w:rsid w:val="00E23981"/>
    <w:rPr>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
    <w:name w:val="Plain Table 41"/>
    <w:basedOn w:val="Obinatablica"/>
    <w:uiPriority w:val="44"/>
    <w:rsid w:val="00E23981"/>
    <w:rPr>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Obinatablica"/>
    <w:uiPriority w:val="40"/>
    <w:rsid w:val="00EC196E"/>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Svijetlatablicareetke11">
    <w:name w:val="Svijetla tablica rešetke 11"/>
    <w:basedOn w:val="Obinatablica"/>
    <w:uiPriority w:val="46"/>
    <w:rsid w:val="000851F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Obinatablica11">
    <w:name w:val="Obična tablica 11"/>
    <w:basedOn w:val="Obinatablica"/>
    <w:uiPriority w:val="41"/>
    <w:rsid w:val="000E02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1">
    <w:name w:val="Živopisna tablica rešetke 6 - isticanje 31"/>
    <w:basedOn w:val="Obinatablica"/>
    <w:uiPriority w:val="51"/>
    <w:rsid w:val="0042797E"/>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1">
    <w:name w:val="Tablica rešetke 4 - isticanje 31"/>
    <w:basedOn w:val="Obinatablica"/>
    <w:uiPriority w:val="49"/>
    <w:rsid w:val="00A80364"/>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1">
    <w:name w:val="Tablica rešetke 4 - isticanje 61"/>
    <w:basedOn w:val="Obinatablica"/>
    <w:uiPriority w:val="49"/>
    <w:rsid w:val="00A80364"/>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1">
    <w:name w:val="Živopisna tablica 7 - isticanje 31"/>
    <w:basedOn w:val="Obinatablica"/>
    <w:uiPriority w:val="52"/>
    <w:rsid w:val="00C27444"/>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
    <w:name w:val="Tablica popisa 4 - isticanje 31"/>
    <w:basedOn w:val="Obinatablica"/>
    <w:uiPriority w:val="49"/>
    <w:rsid w:val="00470C48"/>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1">
    <w:name w:val="Živopisna tablica popisa 6 - isticanje 31"/>
    <w:basedOn w:val="Obinatablica"/>
    <w:uiPriority w:val="51"/>
    <w:rsid w:val="00470C48"/>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1">
    <w:name w:val="Svijetla tablica popisa 1 - isticanje 31"/>
    <w:basedOn w:val="Obinatablica"/>
    <w:uiPriority w:val="46"/>
    <w:rsid w:val="00400797"/>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1">
    <w:name w:val="Tablica rešetke 2 - isticanje 31"/>
    <w:basedOn w:val="Obinatablica"/>
    <w:uiPriority w:val="47"/>
    <w:rsid w:val="00D57DB7"/>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9">
    <w:name w:val="Živopisna tablica rešetke 6 - isticanje 319"/>
    <w:basedOn w:val="Obinatablica"/>
    <w:uiPriority w:val="51"/>
    <w:rsid w:val="00180C90"/>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
    <w:name w:val="Živopisna tablica rešetke 6 - isticanje 32"/>
    <w:basedOn w:val="Obinatablica"/>
    <w:uiPriority w:val="51"/>
    <w:rsid w:val="00E26261"/>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Srednjareetka3-Isticanje4">
    <w:name w:val="Medium Grid 3 Accent 4"/>
    <w:basedOn w:val="Obinatablica"/>
    <w:uiPriority w:val="69"/>
    <w:rsid w:val="00230945"/>
    <w:rPr>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icareetke3-isticanje31">
    <w:name w:val="Tablica rešetke 3 - isticanje 31"/>
    <w:basedOn w:val="Obinatablica"/>
    <w:uiPriority w:val="48"/>
    <w:rsid w:val="00230945"/>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ivopisnatablicareetke6-isticanje321">
    <w:name w:val="Živopisna tablica rešetke 6 - isticanje 321"/>
    <w:basedOn w:val="Obinatablica"/>
    <w:uiPriority w:val="51"/>
    <w:rsid w:val="00D9436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
    <w:name w:val="Živopisna tablica rešetke 6 - isticanje 322"/>
    <w:basedOn w:val="Obinatablica"/>
    <w:uiPriority w:val="51"/>
    <w:rsid w:val="00C6789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
    <w:name w:val="Živopisna tablica rešetke 6 - isticanje 33"/>
    <w:basedOn w:val="Obinatablica"/>
    <w:uiPriority w:val="51"/>
    <w:rsid w:val="00C6789C"/>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
    <w:name w:val="Živopisna tablica rešetke 6 - isticanje 311"/>
    <w:basedOn w:val="Obinatablica"/>
    <w:uiPriority w:val="51"/>
    <w:rsid w:val="00C6789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
    <w:name w:val="Živopisna tablica rešetke 6 - isticanje 331"/>
    <w:basedOn w:val="Obinatablica"/>
    <w:uiPriority w:val="51"/>
    <w:rsid w:val="00C6789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
    <w:name w:val="Živopisna tablica rešetke 6 - isticanje 34"/>
    <w:basedOn w:val="Obinatablica"/>
    <w:uiPriority w:val="51"/>
    <w:rsid w:val="00C6789C"/>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
    <w:name w:val="Živopisna tablica rešetke 6 - isticanje 312"/>
    <w:basedOn w:val="Obinatablica"/>
    <w:uiPriority w:val="51"/>
    <w:rsid w:val="0064522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
    <w:name w:val="Živopisna tablica rešetke 6 - isticanje 323"/>
    <w:basedOn w:val="Obinatablica"/>
    <w:uiPriority w:val="51"/>
    <w:rsid w:val="0064522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
    <w:name w:val="Živopisna tablica rešetke 6 - isticanje 324"/>
    <w:basedOn w:val="Obinatablica"/>
    <w:uiPriority w:val="51"/>
    <w:rsid w:val="0064522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
    <w:name w:val="Rešetka tablice1"/>
    <w:basedOn w:val="Obinatablica"/>
    <w:rsid w:val="00A87FF1"/>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
    <w:name w:val="Živopisna tablica rešetke 6 - isticanje 313"/>
    <w:basedOn w:val="Obinatablica"/>
    <w:uiPriority w:val="51"/>
    <w:rsid w:val="007C280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
    <w:name w:val="Živopisna tablica rešetke 6 - isticanje 325"/>
    <w:basedOn w:val="Obinatablica"/>
    <w:uiPriority w:val="51"/>
    <w:rsid w:val="007C280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
    <w:name w:val="Živopisna tablica rešetke 6 - isticanje 326"/>
    <w:basedOn w:val="Obinatablica"/>
    <w:uiPriority w:val="51"/>
    <w:rsid w:val="0020364E"/>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
    <w:name w:val="Živopisna tablica rešetke 6 - isticanje 327"/>
    <w:basedOn w:val="Obinatablica"/>
    <w:uiPriority w:val="51"/>
    <w:rsid w:val="0020364E"/>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
    <w:name w:val="Živopisna tablica rešetke 6 - isticanje 314"/>
    <w:basedOn w:val="Obinatablica"/>
    <w:uiPriority w:val="51"/>
    <w:rsid w:val="004A6A17"/>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
    <w:name w:val="Živopisna tablica rešetke 6 - isticanje 328"/>
    <w:basedOn w:val="Obinatablica"/>
    <w:uiPriority w:val="51"/>
    <w:rsid w:val="00B431A7"/>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
    <w:name w:val="Živopisna tablica rešetke 6 - isticanje 329"/>
    <w:basedOn w:val="Obinatablica"/>
    <w:uiPriority w:val="51"/>
    <w:rsid w:val="00B431A7"/>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
    <w:name w:val="Živopisna tablica rešetke 6 - isticanje 3210"/>
    <w:basedOn w:val="Obinatablica"/>
    <w:uiPriority w:val="51"/>
    <w:rsid w:val="00B431A7"/>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
    <w:name w:val="Živopisna tablica rešetke 6 - isticanje 315"/>
    <w:basedOn w:val="Obinatablica"/>
    <w:uiPriority w:val="51"/>
    <w:rsid w:val="00E54B7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
    <w:name w:val="Živopisna tablica rešetke 6 - isticanje 3211"/>
    <w:basedOn w:val="Obinatablica"/>
    <w:uiPriority w:val="51"/>
    <w:rsid w:val="00E54B7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
    <w:name w:val="Živopisna tablica rešetke 6 - isticanje 3212"/>
    <w:basedOn w:val="Obinatablica"/>
    <w:uiPriority w:val="51"/>
    <w:rsid w:val="00E54B7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
    <w:name w:val="Živopisna tablica rešetke 6 - isticanje 3213"/>
    <w:basedOn w:val="Obinatablica"/>
    <w:uiPriority w:val="51"/>
    <w:rsid w:val="00E54B7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
    <w:name w:val="Živopisna tablica rešetke 6 - isticanje 316"/>
    <w:basedOn w:val="Obinatablica"/>
    <w:uiPriority w:val="51"/>
    <w:rsid w:val="00607D74"/>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
    <w:name w:val="Živopisna tablica rešetke 6 - isticanje 3214"/>
    <w:basedOn w:val="Obinatablica"/>
    <w:uiPriority w:val="51"/>
    <w:rsid w:val="00607D74"/>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
    <w:name w:val="Živopisna tablica rešetke 6 - isticanje 341"/>
    <w:basedOn w:val="Obinatablica"/>
    <w:uiPriority w:val="51"/>
    <w:rsid w:val="00C56F9D"/>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
    <w:name w:val="Živopisna tablica rešetke 6 - isticanje 342"/>
    <w:basedOn w:val="Obinatablica"/>
    <w:uiPriority w:val="51"/>
    <w:rsid w:val="00130281"/>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
    <w:name w:val="Živopisna tablica rešetke 6 - isticanje 3121"/>
    <w:basedOn w:val="Obinatablica"/>
    <w:uiPriority w:val="51"/>
    <w:rsid w:val="007248CA"/>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2">
    <w:name w:val="Živopisna tablica rešetke 6 - isticanje 3122"/>
    <w:basedOn w:val="Obinatablica"/>
    <w:uiPriority w:val="51"/>
    <w:rsid w:val="00301B06"/>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
    <w:name w:val="Živopisna tablica rešetke 6 - isticanje 3123"/>
    <w:basedOn w:val="Obinatablica"/>
    <w:uiPriority w:val="51"/>
    <w:rsid w:val="00301B06"/>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
    <w:name w:val="Živopisna tablica rešetke 6 - isticanje 3124"/>
    <w:basedOn w:val="Obinatablica"/>
    <w:uiPriority w:val="51"/>
    <w:rsid w:val="00EA3925"/>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
    <w:name w:val="Živopisna tablica rešetke 6 - isticanje 3231"/>
    <w:basedOn w:val="Obinatablica"/>
    <w:uiPriority w:val="51"/>
    <w:rsid w:val="00E744F8"/>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
    <w:name w:val="Živopisna tablica rešetke 6 - isticanje 3232"/>
    <w:basedOn w:val="Obinatablica"/>
    <w:uiPriority w:val="51"/>
    <w:rsid w:val="002A465E"/>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3">
    <w:name w:val="Živopisna tablica rešetke 6 - isticanje 3233"/>
    <w:basedOn w:val="Obinatablica"/>
    <w:uiPriority w:val="51"/>
    <w:rsid w:val="00FD517D"/>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4">
    <w:name w:val="Živopisna tablica rešetke 6 - isticanje 3234"/>
    <w:basedOn w:val="Obinatablica"/>
    <w:uiPriority w:val="51"/>
    <w:rsid w:val="007E41A0"/>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5">
    <w:name w:val="Živopisna tablica rešetke 6 - isticanje 3235"/>
    <w:basedOn w:val="Obinatablica"/>
    <w:uiPriority w:val="51"/>
    <w:rsid w:val="0056724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6">
    <w:name w:val="Živopisna tablica rešetke 6 - isticanje 3236"/>
    <w:basedOn w:val="Obinatablica"/>
    <w:uiPriority w:val="51"/>
    <w:rsid w:val="0056724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
    <w:name w:val="Živopisna tablica rešetke 6 - isticanje 35"/>
    <w:basedOn w:val="Obinatablica"/>
    <w:uiPriority w:val="51"/>
    <w:rsid w:val="0056724F"/>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31">
    <w:name w:val="Živopisna tablica rešetke 6 - isticanje 31231"/>
    <w:basedOn w:val="Obinatablica"/>
    <w:uiPriority w:val="51"/>
    <w:rsid w:val="0056724F"/>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7">
    <w:name w:val="Živopisna tablica rešetke 6 - isticanje 3237"/>
    <w:basedOn w:val="Obinatablica"/>
    <w:uiPriority w:val="51"/>
    <w:rsid w:val="00321524"/>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8">
    <w:name w:val="Živopisna tablica rešetke 6 - isticanje 3238"/>
    <w:basedOn w:val="Obinatablica"/>
    <w:uiPriority w:val="51"/>
    <w:rsid w:val="00692691"/>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9">
    <w:name w:val="Živopisna tablica rešetke 6 - isticanje 3239"/>
    <w:basedOn w:val="Obinatablica"/>
    <w:uiPriority w:val="51"/>
    <w:rsid w:val="00D33D7D"/>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0">
    <w:name w:val="Živopisna tablica rešetke 6 - isticanje 32310"/>
    <w:basedOn w:val="Obinatablica"/>
    <w:uiPriority w:val="51"/>
    <w:rsid w:val="00D33D7D"/>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
    <w:name w:val="Rešetka tablice2"/>
    <w:basedOn w:val="Obinatablica"/>
    <w:uiPriority w:val="59"/>
    <w:rsid w:val="00D33D7D"/>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6">
    <w:name w:val="Živopisna tablica rešetke 6 - isticanje 36"/>
    <w:basedOn w:val="Obinatablica"/>
    <w:uiPriority w:val="51"/>
    <w:rsid w:val="00D33D7D"/>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11">
    <w:name w:val="Živopisna tablica rešetke 6 - isticanje 31211"/>
    <w:basedOn w:val="Obinatablica"/>
    <w:uiPriority w:val="51"/>
    <w:rsid w:val="00D33D7D"/>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1">
    <w:name w:val="Živopisna tablica rešetke 6 - isticanje 32311"/>
    <w:basedOn w:val="Obinatablica"/>
    <w:uiPriority w:val="51"/>
    <w:rsid w:val="00F41EE5"/>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3">
    <w:name w:val="Rešetka tablice3"/>
    <w:basedOn w:val="Obinatablica"/>
    <w:uiPriority w:val="59"/>
    <w:rsid w:val="00450DCB"/>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1">
    <w:name w:val="Svijetlo sjenčanje - Isticanje 11"/>
    <w:basedOn w:val="Obinatablica"/>
    <w:uiPriority w:val="60"/>
    <w:rsid w:val="00450DCB"/>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1">
    <w:name w:val="DLS LIGHT 20151"/>
    <w:basedOn w:val="Obinatablica"/>
    <w:uiPriority w:val="99"/>
    <w:rsid w:val="00450DCB"/>
    <w:pPr>
      <w:jc w:val="center"/>
    </w:pPr>
    <w:rPr>
      <w:color w:val="000000" w:themeColor="text1"/>
      <w:sz w:val="24"/>
      <w:szCs w:val="24"/>
      <w:lang w:eastAsia="hr-HR"/>
    </w:rPr>
    <w:tblPr>
      <w:tblStyleRowBandSize w:val="1"/>
      <w:tblBorders>
        <w:top w:val="single" w:sz="2" w:space="0" w:color="6EAA42"/>
        <w:bottom w:val="single" w:sz="2" w:space="0" w:color="6EAA42"/>
        <w:insideH w:val="single" w:sz="2" w:space="0" w:color="6EAA42"/>
      </w:tblBorders>
    </w:tbl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1">
    <w:name w:val="Grid Table 2 - Accent 311"/>
    <w:basedOn w:val="Obinatablica"/>
    <w:uiPriority w:val="47"/>
    <w:rsid w:val="00450DCB"/>
    <w:rPr>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1">
    <w:name w:val="Light Grid - Accent 121"/>
    <w:basedOn w:val="Obinatablica"/>
    <w:rsid w:val="00450DCB"/>
    <w:rPr>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DLSLIGHT1">
    <w:name w:val="DLS LIGHT1"/>
    <w:basedOn w:val="Obinatablica"/>
    <w:uiPriority w:val="47"/>
    <w:rsid w:val="00450DCB"/>
    <w:rPr>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1">
    <w:name w:val="Medium Shading 1 - Accent 111"/>
    <w:basedOn w:val="Obinatablica"/>
    <w:rsid w:val="00450DCB"/>
    <w:rPr>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1">
    <w:name w:val="Plain Table 411"/>
    <w:basedOn w:val="Obinatablica"/>
    <w:uiPriority w:val="44"/>
    <w:rsid w:val="00450DCB"/>
    <w:rPr>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
    <w:name w:val="Table Grid Light11"/>
    <w:basedOn w:val="Obinatablica"/>
    <w:uiPriority w:val="40"/>
    <w:rsid w:val="00450DCB"/>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Svijetlatablicareetke112">
    <w:name w:val="Svijetla tablica rešetke 112"/>
    <w:basedOn w:val="Obinatablica"/>
    <w:uiPriority w:val="46"/>
    <w:rsid w:val="00450DC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Obinatablica112">
    <w:name w:val="Obična tablica 112"/>
    <w:basedOn w:val="Obinatablica"/>
    <w:uiPriority w:val="41"/>
    <w:rsid w:val="00450DC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7">
    <w:name w:val="Živopisna tablica rešetke 6 - isticanje 37"/>
    <w:basedOn w:val="Obinatablica"/>
    <w:uiPriority w:val="51"/>
    <w:rsid w:val="00450DCB"/>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12">
    <w:name w:val="Tablica rešetke 4 - isticanje 312"/>
    <w:basedOn w:val="Obinatablica"/>
    <w:uiPriority w:val="49"/>
    <w:rsid w:val="00450DC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12">
    <w:name w:val="Tablica rešetke 4 - isticanje 612"/>
    <w:basedOn w:val="Obinatablica"/>
    <w:uiPriority w:val="49"/>
    <w:rsid w:val="00450DCB"/>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12">
    <w:name w:val="Živopisna tablica 7 - isticanje 312"/>
    <w:basedOn w:val="Obinatablica"/>
    <w:uiPriority w:val="52"/>
    <w:rsid w:val="00450DCB"/>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2">
    <w:name w:val="Tablica popisa 4 - isticanje 312"/>
    <w:basedOn w:val="Obinatablica"/>
    <w:uiPriority w:val="49"/>
    <w:rsid w:val="00450DC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12">
    <w:name w:val="Živopisna tablica popisa 6 - isticanje 312"/>
    <w:basedOn w:val="Obinatablica"/>
    <w:uiPriority w:val="51"/>
    <w:rsid w:val="00450DCB"/>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12">
    <w:name w:val="Svijetla tablica popisa 1 - isticanje 312"/>
    <w:basedOn w:val="Obinatablica"/>
    <w:uiPriority w:val="46"/>
    <w:rsid w:val="00450DCB"/>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12">
    <w:name w:val="Tablica rešetke 2 - isticanje 312"/>
    <w:basedOn w:val="Obinatablica"/>
    <w:uiPriority w:val="47"/>
    <w:rsid w:val="00450DCB"/>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7">
    <w:name w:val="Živopisna tablica rešetke 6 - isticanje 317"/>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5">
    <w:name w:val="Živopisna tablica rešetke 6 - isticanje 3215"/>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1">
    <w:name w:val="Srednja rešetka 3 - Isticanje 41"/>
    <w:basedOn w:val="Obinatablica"/>
    <w:uiPriority w:val="69"/>
    <w:rsid w:val="00450DCB"/>
    <w:rPr>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icareetke3-isticanje312">
    <w:name w:val="Tablica rešetke 3 - isticanje 312"/>
    <w:basedOn w:val="Obinatablica"/>
    <w:uiPriority w:val="48"/>
    <w:rsid w:val="00450DC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ivopisnatablicareetke6-isticanje3216">
    <w:name w:val="Živopisna tablica rešetke 6 - isticanje 3216"/>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1">
    <w:name w:val="Živopisna tablica rešetke 6 - isticanje 322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2">
    <w:name w:val="Živopisna tablica rešetke 6 - isticanje 332"/>
    <w:basedOn w:val="Obinatablica"/>
    <w:uiPriority w:val="51"/>
    <w:rsid w:val="00450DCB"/>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1">
    <w:name w:val="Živopisna tablica rešetke 6 - isticanje 311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1">
    <w:name w:val="Živopisna tablica rešetke 6 - isticanje 331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3">
    <w:name w:val="Živopisna tablica rešetke 6 - isticanje 343"/>
    <w:basedOn w:val="Obinatablica"/>
    <w:uiPriority w:val="51"/>
    <w:rsid w:val="00450DCB"/>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5">
    <w:name w:val="Živopisna tablica rešetke 6 - isticanje 3125"/>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2">
    <w:name w:val="Živopisna tablica rešetke 6 - isticanje 32312"/>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1">
    <w:name w:val="Živopisna tablica rešetke 6 - isticanje 324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1">
    <w:name w:val="Rešetka tablice11"/>
    <w:basedOn w:val="Obinatablica"/>
    <w:uiPriority w:val="59"/>
    <w:rsid w:val="00450DCB"/>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1">
    <w:name w:val="Živopisna tablica rešetke 6 - isticanje 313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1">
    <w:name w:val="Živopisna tablica rešetke 6 - isticanje 325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1">
    <w:name w:val="Živopisna tablica rešetke 6 - isticanje 326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1">
    <w:name w:val="Živopisna tablica rešetke 6 - isticanje 327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1">
    <w:name w:val="Živopisna tablica rešetke 6 - isticanje 314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1">
    <w:name w:val="Živopisna tablica rešetke 6 - isticanje 328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1">
    <w:name w:val="Živopisna tablica rešetke 6 - isticanje 329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1">
    <w:name w:val="Živopisna tablica rešetke 6 - isticanje 3210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1">
    <w:name w:val="Živopisna tablica rešetke 6 - isticanje 315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1">
    <w:name w:val="Živopisna tablica rešetke 6 - isticanje 3211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1">
    <w:name w:val="Živopisna tablica rešetke 6 - isticanje 3212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1">
    <w:name w:val="Živopisna tablica rešetke 6 - isticanje 3213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1">
    <w:name w:val="Živopisna tablica rešetke 6 - isticanje 316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1">
    <w:name w:val="Živopisna tablica rešetke 6 - isticanje 3214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1">
    <w:name w:val="Živopisna tablica rešetke 6 - isticanje 341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1">
    <w:name w:val="Živopisna tablica rešetke 6 - isticanje 342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2">
    <w:name w:val="Živopisna tablica rešetke 6 - isticanje 31212"/>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1">
    <w:name w:val="Živopisna tablica rešetke 6 - isticanje 351"/>
    <w:basedOn w:val="Obinatablica"/>
    <w:uiPriority w:val="51"/>
    <w:rsid w:val="00450DCB"/>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21">
    <w:name w:val="Živopisna tablica rešetke 6 - isticanje 3122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2">
    <w:name w:val="Živopisna tablica rešetke 6 - isticanje 31232"/>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1">
    <w:name w:val="Živopisna tablica rešetke 6 - isticanje 31241"/>
    <w:basedOn w:val="Obinatablica"/>
    <w:uiPriority w:val="51"/>
    <w:rsid w:val="00450DCB"/>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
    <w:name w:val="Živopisna tablica rešetke 6 - isticanje 38"/>
    <w:basedOn w:val="Obinatablica"/>
    <w:uiPriority w:val="51"/>
    <w:rsid w:val="002572E7"/>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Reetkatablice4">
    <w:name w:val="Rešetka tablice4"/>
    <w:basedOn w:val="Obinatablica"/>
    <w:uiPriority w:val="59"/>
    <w:rsid w:val="00A21FF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5">
    <w:name w:val="Rešetka tablice5"/>
    <w:basedOn w:val="Obinatablica"/>
    <w:uiPriority w:val="59"/>
    <w:rsid w:val="00A21FF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6">
    <w:name w:val="Rešetka tablice6"/>
    <w:basedOn w:val="Obinatablica"/>
    <w:uiPriority w:val="59"/>
    <w:rsid w:val="00A21FF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7">
    <w:name w:val="Rešetka tablice7"/>
    <w:basedOn w:val="Obinatablica"/>
    <w:uiPriority w:val="59"/>
    <w:rsid w:val="00A21FF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8">
    <w:name w:val="Rešetka tablice8"/>
    <w:basedOn w:val="Obinatablica"/>
    <w:uiPriority w:val="59"/>
    <w:rsid w:val="00261B54"/>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33">
    <w:name w:val="Živopisna tablica rešetke 6 - isticanje 333"/>
    <w:basedOn w:val="Obinatablica"/>
    <w:uiPriority w:val="51"/>
    <w:rsid w:val="0070102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
    <w:name w:val="Živopisna tablica rešetke 6 - isticanje 371"/>
    <w:basedOn w:val="Obinatablica"/>
    <w:uiPriority w:val="51"/>
    <w:rsid w:val="00913C66"/>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1">
    <w:name w:val="Živopisna tablica rešetke 6 - isticanje 3711"/>
    <w:basedOn w:val="Obinatablica"/>
    <w:uiPriority w:val="51"/>
    <w:rsid w:val="00E00B59"/>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
    <w:name w:val="Rešetka tablice9"/>
    <w:basedOn w:val="Obinatablica"/>
    <w:rsid w:val="00723D07"/>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72">
    <w:name w:val="Živopisna tablica rešetke 6 - isticanje 372"/>
    <w:basedOn w:val="Obinatablica"/>
    <w:uiPriority w:val="51"/>
    <w:rsid w:val="009931F6"/>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2">
    <w:name w:val="Table Grid2"/>
    <w:basedOn w:val="Obinatablica"/>
    <w:uiPriority w:val="59"/>
    <w:rsid w:val="006B257E"/>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rsid w:val="005026BC"/>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
    <w:name w:val="Rešetka tablice12"/>
    <w:basedOn w:val="Obinatablica"/>
    <w:rsid w:val="005026BC"/>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3">
    <w:name w:val="Rešetka tablice13"/>
    <w:basedOn w:val="Obinatablica"/>
    <w:rsid w:val="005026BC"/>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1">
    <w:name w:val="Table Normal1"/>
    <w:uiPriority w:val="2"/>
    <w:semiHidden/>
    <w:unhideWhenUsed/>
    <w:qFormat/>
    <w:rsid w:val="00881E9F"/>
    <w:rPr>
      <w:lang w:val="en-US"/>
    </w:rPr>
    <w:tblPr>
      <w:tblInd w:w="0" w:type="dxa"/>
      <w:tblCellMar>
        <w:top w:w="0" w:type="dxa"/>
        <w:left w:w="0" w:type="dxa"/>
        <w:bottom w:w="0" w:type="dxa"/>
        <w:right w:w="0" w:type="dxa"/>
      </w:tblCellMar>
    </w:tblPr>
  </w:style>
  <w:style w:type="table" w:customStyle="1" w:styleId="Reetkatablice14">
    <w:name w:val="Rešetka tablice14"/>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2">
    <w:name w:val="Svijetlo sjenčanje - Isticanje 12"/>
    <w:basedOn w:val="Obinatablica"/>
    <w:uiPriority w:val="60"/>
    <w:rsid w:val="000D0E32"/>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2">
    <w:name w:val="DLS LIGHT 20152"/>
    <w:basedOn w:val="Obinatablica"/>
    <w:uiPriority w:val="99"/>
    <w:rsid w:val="000D0E32"/>
    <w:pPr>
      <w:jc w:val="center"/>
    </w:pPr>
    <w:rPr>
      <w:color w:val="000000" w:themeColor="text1"/>
      <w:sz w:val="24"/>
      <w:szCs w:val="24"/>
      <w:lang w:eastAsia="hr-HR"/>
    </w:rPr>
    <w:tblPr>
      <w:tblStyleRowBandSize w:val="1"/>
      <w:tblBorders>
        <w:top w:val="single" w:sz="2" w:space="0" w:color="6EAA42"/>
        <w:bottom w:val="single" w:sz="2" w:space="0" w:color="6EAA42"/>
        <w:insideH w:val="single" w:sz="2" w:space="0" w:color="6EAA42"/>
      </w:tblBorders>
    </w:tbl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2">
    <w:name w:val="Grid Table 2 - Accent 312"/>
    <w:basedOn w:val="Obinatablica"/>
    <w:uiPriority w:val="47"/>
    <w:rsid w:val="000D0E32"/>
    <w:rPr>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2">
    <w:name w:val="Light Grid - Accent 122"/>
    <w:basedOn w:val="Obinatablica"/>
    <w:rsid w:val="000D0E32"/>
    <w:rPr>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DLSLIGHT2">
    <w:name w:val="DLS LIGHT2"/>
    <w:basedOn w:val="Obinatablica"/>
    <w:uiPriority w:val="47"/>
    <w:rsid w:val="000D0E32"/>
    <w:rPr>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2">
    <w:name w:val="Medium Shading 1 - Accent 112"/>
    <w:basedOn w:val="Obinatablica"/>
    <w:rsid w:val="000D0E32"/>
    <w:rPr>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2">
    <w:name w:val="Plain Table 412"/>
    <w:basedOn w:val="Obinatablica"/>
    <w:uiPriority w:val="44"/>
    <w:rsid w:val="000D0E32"/>
    <w:rPr>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2">
    <w:name w:val="Table Grid Light12"/>
    <w:basedOn w:val="Obinatablica"/>
    <w:uiPriority w:val="40"/>
    <w:rsid w:val="000D0E32"/>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Svijetlatablicareetke12">
    <w:name w:val="Svijetla tablica rešetke 12"/>
    <w:basedOn w:val="Obinatablica"/>
    <w:uiPriority w:val="46"/>
    <w:rsid w:val="000D0E3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Obinatablica12">
    <w:name w:val="Obična tablica 12"/>
    <w:basedOn w:val="Obinatablica"/>
    <w:uiPriority w:val="41"/>
    <w:rsid w:val="000D0E3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9">
    <w:name w:val="Živopisna tablica rešetke 6 - isticanje 39"/>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2">
    <w:name w:val="Tablica rešetke 4 - isticanje 32"/>
    <w:basedOn w:val="Obinatablica"/>
    <w:uiPriority w:val="49"/>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2">
    <w:name w:val="Tablica rešetke 4 - isticanje 62"/>
    <w:basedOn w:val="Obinatablica"/>
    <w:uiPriority w:val="49"/>
    <w:rsid w:val="000D0E32"/>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2">
    <w:name w:val="Živopisna tablica 7 - isticanje 32"/>
    <w:basedOn w:val="Obinatablica"/>
    <w:uiPriority w:val="52"/>
    <w:rsid w:val="000D0E32"/>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2">
    <w:name w:val="Tablica popisa 4 - isticanje 32"/>
    <w:basedOn w:val="Obinatablica"/>
    <w:uiPriority w:val="49"/>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2">
    <w:name w:val="Živopisna tablica popisa 6 - isticanje 32"/>
    <w:basedOn w:val="Obinatablica"/>
    <w:uiPriority w:val="51"/>
    <w:rsid w:val="000D0E32"/>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2">
    <w:name w:val="Svijetla tablica popisa 1 - isticanje 32"/>
    <w:basedOn w:val="Obinatablica"/>
    <w:uiPriority w:val="46"/>
    <w:rsid w:val="000D0E32"/>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2">
    <w:name w:val="Tablica rešetke 2 - isticanje 32"/>
    <w:basedOn w:val="Obinatablica"/>
    <w:uiPriority w:val="47"/>
    <w:rsid w:val="000D0E32"/>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8">
    <w:name w:val="Živopisna tablica rešetke 6 - isticanje 318"/>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7">
    <w:name w:val="Živopisna tablica rešetke 6 - isticanje 3217"/>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2">
    <w:name w:val="Srednja rešetka 3 - Isticanje 42"/>
    <w:basedOn w:val="Obinatablica"/>
    <w:uiPriority w:val="69"/>
    <w:rsid w:val="000D0E32"/>
    <w:rPr>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icareetke3-isticanje32">
    <w:name w:val="Tablica rešetke 3 - isticanje 32"/>
    <w:basedOn w:val="Obinatablica"/>
    <w:uiPriority w:val="48"/>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ivopisnatablicareetke6-isticanje3218">
    <w:name w:val="Živopisna tablica rešetke 6 - isticanje 3218"/>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2">
    <w:name w:val="Živopisna tablica rešetke 6 - isticanje 322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4">
    <w:name w:val="Živopisna tablica rešetke 6 - isticanje 334"/>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2">
    <w:name w:val="Živopisna tablica rešetke 6 - isticanje 311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2">
    <w:name w:val="Živopisna tablica rešetke 6 - isticanje 331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4">
    <w:name w:val="Živopisna tablica rešetke 6 - isticanje 344"/>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6">
    <w:name w:val="Živopisna tablica rešetke 6 - isticanje 3126"/>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3">
    <w:name w:val="Živopisna tablica rešetke 6 - isticanje 32313"/>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2">
    <w:name w:val="Živopisna tablica rešetke 6 - isticanje 324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5">
    <w:name w:val="Rešetka tablice15"/>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2">
    <w:name w:val="Živopisna tablica rešetke 6 - isticanje 313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2">
    <w:name w:val="Živopisna tablica rešetke 6 - isticanje 325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2">
    <w:name w:val="Živopisna tablica rešetke 6 - isticanje 326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2">
    <w:name w:val="Živopisna tablica rešetke 6 - isticanje 327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2">
    <w:name w:val="Živopisna tablica rešetke 6 - isticanje 314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2">
    <w:name w:val="Živopisna tablica rešetke 6 - isticanje 328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2">
    <w:name w:val="Živopisna tablica rešetke 6 - isticanje 329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2">
    <w:name w:val="Živopisna tablica rešetke 6 - isticanje 3210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2">
    <w:name w:val="Živopisna tablica rešetke 6 - isticanje 315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2">
    <w:name w:val="Živopisna tablica rešetke 6 - isticanje 3211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2">
    <w:name w:val="Živopisna tablica rešetke 6 - isticanje 3212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2">
    <w:name w:val="Živopisna tablica rešetke 6 - isticanje 3213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2">
    <w:name w:val="Živopisna tablica rešetke 6 - isticanje 316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2">
    <w:name w:val="Živopisna tablica rešetke 6 - isticanje 3214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2">
    <w:name w:val="Živopisna tablica rešetke 6 - isticanje 341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2">
    <w:name w:val="Živopisna tablica rešetke 6 - isticanje 342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3">
    <w:name w:val="Živopisna tablica rešetke 6 - isticanje 31213"/>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22">
    <w:name w:val="Živopisna tablica rešetke 6 - isticanje 3122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3">
    <w:name w:val="Živopisna tablica rešetke 6 - isticanje 31233"/>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2">
    <w:name w:val="Živopisna tablica rešetke 6 - isticanje 3124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4">
    <w:name w:val="Živopisna tablica rešetke 6 - isticanje 32314"/>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1">
    <w:name w:val="Živopisna tablica rešetke 6 - isticanje 3232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31">
    <w:name w:val="Živopisna tablica rešetke 6 - isticanje 3233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41">
    <w:name w:val="Živopisna tablica rešetke 6 - isticanje 3234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51">
    <w:name w:val="Živopisna tablica rešetke 6 - isticanje 3235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61">
    <w:name w:val="Živopisna tablica rešetke 6 - isticanje 3236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2">
    <w:name w:val="Živopisna tablica rešetke 6 - isticanje 352"/>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311">
    <w:name w:val="Živopisna tablica rešetke 6 - isticanje 3123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71">
    <w:name w:val="Živopisna tablica rešetke 6 - isticanje 3237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81">
    <w:name w:val="Živopisna tablica rešetke 6 - isticanje 3238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91">
    <w:name w:val="Živopisna tablica rešetke 6 - isticanje 3239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01">
    <w:name w:val="Živopisna tablica rešetke 6 - isticanje 32310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1">
    <w:name w:val="Rešetka tablice2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61">
    <w:name w:val="Živopisna tablica rešetke 6 - isticanje 361"/>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111">
    <w:name w:val="Živopisna tablica rešetke 6 - isticanje 312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11">
    <w:name w:val="Živopisna tablica rešetke 6 - isticanje 323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31">
    <w:name w:val="Rešetka tablice3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11">
    <w:name w:val="Svijetlo sjenčanje - Isticanje 111"/>
    <w:basedOn w:val="Obinatablica"/>
    <w:uiPriority w:val="60"/>
    <w:rsid w:val="000D0E32"/>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11">
    <w:name w:val="DLS LIGHT 201511"/>
    <w:basedOn w:val="Obinatablica"/>
    <w:uiPriority w:val="99"/>
    <w:rsid w:val="000D0E32"/>
    <w:pPr>
      <w:jc w:val="center"/>
    </w:pPr>
    <w:rPr>
      <w:color w:val="000000" w:themeColor="text1"/>
      <w:sz w:val="24"/>
      <w:szCs w:val="24"/>
      <w:lang w:eastAsia="hr-HR"/>
    </w:rPr>
    <w:tblPr>
      <w:tblStyleRowBandSize w:val="1"/>
      <w:tblBorders>
        <w:top w:val="single" w:sz="2" w:space="0" w:color="6EAA42"/>
        <w:bottom w:val="single" w:sz="2" w:space="0" w:color="6EAA42"/>
        <w:insideH w:val="single" w:sz="2" w:space="0" w:color="6EAA42"/>
      </w:tblBorders>
    </w:tbl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11">
    <w:name w:val="Grid Table 2 - Accent 3111"/>
    <w:basedOn w:val="Obinatablica"/>
    <w:uiPriority w:val="47"/>
    <w:rsid w:val="000D0E32"/>
    <w:rPr>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11">
    <w:name w:val="Light Grid - Accent 1211"/>
    <w:basedOn w:val="Obinatablica"/>
    <w:rsid w:val="000D0E32"/>
    <w:rPr>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DLSLIGHT11">
    <w:name w:val="DLS LIGHT11"/>
    <w:basedOn w:val="Obinatablica"/>
    <w:uiPriority w:val="47"/>
    <w:rsid w:val="000D0E32"/>
    <w:rPr>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11">
    <w:name w:val="Medium Shading 1 - Accent 1111"/>
    <w:basedOn w:val="Obinatablica"/>
    <w:rsid w:val="000D0E32"/>
    <w:rPr>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11">
    <w:name w:val="Plain Table 4111"/>
    <w:basedOn w:val="Obinatablica"/>
    <w:uiPriority w:val="44"/>
    <w:rsid w:val="000D0E32"/>
    <w:rPr>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1">
    <w:name w:val="Table Grid Light111"/>
    <w:basedOn w:val="Obinatablica"/>
    <w:uiPriority w:val="40"/>
    <w:rsid w:val="000D0E32"/>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Svijetlatablicareetke111">
    <w:name w:val="Svijetla tablica rešetke 111"/>
    <w:basedOn w:val="Obinatablica"/>
    <w:uiPriority w:val="46"/>
    <w:rsid w:val="000D0E3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Obinatablica111">
    <w:name w:val="Obična tablica 111"/>
    <w:basedOn w:val="Obinatablica"/>
    <w:uiPriority w:val="41"/>
    <w:rsid w:val="000D0E3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73">
    <w:name w:val="Živopisna tablica rešetke 6 - isticanje 373"/>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11">
    <w:name w:val="Tablica rešetke 4 - isticanje 311"/>
    <w:basedOn w:val="Obinatablica"/>
    <w:uiPriority w:val="49"/>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11">
    <w:name w:val="Tablica rešetke 4 - isticanje 611"/>
    <w:basedOn w:val="Obinatablica"/>
    <w:uiPriority w:val="49"/>
    <w:rsid w:val="000D0E32"/>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11">
    <w:name w:val="Živopisna tablica 7 - isticanje 311"/>
    <w:basedOn w:val="Obinatablica"/>
    <w:uiPriority w:val="52"/>
    <w:rsid w:val="000D0E32"/>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1">
    <w:name w:val="Tablica popisa 4 - isticanje 311"/>
    <w:basedOn w:val="Obinatablica"/>
    <w:uiPriority w:val="49"/>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11">
    <w:name w:val="Živopisna tablica popisa 6 - isticanje 311"/>
    <w:basedOn w:val="Obinatablica"/>
    <w:uiPriority w:val="51"/>
    <w:rsid w:val="000D0E32"/>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11">
    <w:name w:val="Svijetla tablica popisa 1 - isticanje 311"/>
    <w:basedOn w:val="Obinatablica"/>
    <w:uiPriority w:val="46"/>
    <w:rsid w:val="000D0E32"/>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11">
    <w:name w:val="Tablica rešetke 2 - isticanje 311"/>
    <w:basedOn w:val="Obinatablica"/>
    <w:uiPriority w:val="47"/>
    <w:rsid w:val="000D0E32"/>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71">
    <w:name w:val="Živopisna tablica rešetke 6 - isticanje 317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51">
    <w:name w:val="Živopisna tablica rešetke 6 - isticanje 3215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11">
    <w:name w:val="Srednja rešetka 3 - Isticanje 411"/>
    <w:basedOn w:val="Obinatablica"/>
    <w:uiPriority w:val="69"/>
    <w:rsid w:val="000D0E32"/>
    <w:rPr>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icareetke3-isticanje311">
    <w:name w:val="Tablica rešetke 3 - isticanje 311"/>
    <w:basedOn w:val="Obinatablica"/>
    <w:uiPriority w:val="48"/>
    <w:rsid w:val="000D0E3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ivopisnatablicareetke6-isticanje32161">
    <w:name w:val="Živopisna tablica rešetke 6 - isticanje 3216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11">
    <w:name w:val="Živopisna tablica rešetke 6 - isticanje 322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21">
    <w:name w:val="Živopisna tablica rešetke 6 - isticanje 3321"/>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11">
    <w:name w:val="Živopisna tablica rešetke 6 - isticanje 31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11">
    <w:name w:val="Živopisna tablica rešetke 6 - isticanje 33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31">
    <w:name w:val="Živopisna tablica rešetke 6 - isticanje 3431"/>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51">
    <w:name w:val="Živopisna tablica rešetke 6 - isticanje 3125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21">
    <w:name w:val="Živopisna tablica rešetke 6 - isticanje 32312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11">
    <w:name w:val="Živopisna tablica rešetke 6 - isticanje 324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11">
    <w:name w:val="Rešetka tablice11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11">
    <w:name w:val="Živopisna tablica rešetke 6 - isticanje 313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11">
    <w:name w:val="Živopisna tablica rešetke 6 - isticanje 325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11">
    <w:name w:val="Živopisna tablica rešetke 6 - isticanje 326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11">
    <w:name w:val="Živopisna tablica rešetke 6 - isticanje 327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11">
    <w:name w:val="Živopisna tablica rešetke 6 - isticanje 314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11">
    <w:name w:val="Živopisna tablica rešetke 6 - isticanje 328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11">
    <w:name w:val="Živopisna tablica rešetke 6 - isticanje 329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11">
    <w:name w:val="Živopisna tablica rešetke 6 - isticanje 3210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11">
    <w:name w:val="Živopisna tablica rešetke 6 - isticanje 315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11">
    <w:name w:val="Živopisna tablica rešetke 6 - isticanje 321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11">
    <w:name w:val="Živopisna tablica rešetke 6 - isticanje 3212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11">
    <w:name w:val="Živopisna tablica rešetke 6 - isticanje 3213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11">
    <w:name w:val="Živopisna tablica rešetke 6 - isticanje 316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11">
    <w:name w:val="Živopisna tablica rešetke 6 - isticanje 3214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11">
    <w:name w:val="Živopisna tablica rešetke 6 - isticanje 34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11">
    <w:name w:val="Živopisna tablica rešetke 6 - isticanje 342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21">
    <w:name w:val="Živopisna tablica rešetke 6 - isticanje 31212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11">
    <w:name w:val="Živopisna tablica rešetke 6 - isticanje 3511"/>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211">
    <w:name w:val="Živopisna tablica rešetke 6 - isticanje 3122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21">
    <w:name w:val="Živopisna tablica rešetke 6 - isticanje 31232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11">
    <w:name w:val="Živopisna tablica rešetke 6 - isticanje 3124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1">
    <w:name w:val="Živopisna tablica rešetke 6 - isticanje 381"/>
    <w:basedOn w:val="Obinatablica"/>
    <w:uiPriority w:val="51"/>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Reetkatablice41">
    <w:name w:val="Rešetka tablice4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51">
    <w:name w:val="Rešetka tablice5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61">
    <w:name w:val="Rešetka tablice6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71">
    <w:name w:val="Rešetka tablice7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81">
    <w:name w:val="Rešetka tablice8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331">
    <w:name w:val="Živopisna tablica rešetke 6 - isticanje 333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2">
    <w:name w:val="Živopisna tablica rešetke 6 - isticanje 3712"/>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11">
    <w:name w:val="Živopisna tablica rešetke 6 - isticanje 3711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1">
    <w:name w:val="Rešetka tablice91"/>
    <w:basedOn w:val="Obinatablica"/>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1">
    <w:name w:val="Rešetka tablice101"/>
    <w:basedOn w:val="Obinatablica"/>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1">
    <w:name w:val="Rešetka tablice121"/>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31">
    <w:name w:val="Rešetka tablice131"/>
    <w:basedOn w:val="Obinatablica"/>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6">
    <w:name w:val="Rešetka tablice16"/>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721">
    <w:name w:val="Živopisna tablica rešetke 6 - isticanje 3721"/>
    <w:basedOn w:val="Obinatablica"/>
    <w:uiPriority w:val="51"/>
    <w:rsid w:val="000D0E32"/>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21">
    <w:name w:val="Table Grid21"/>
    <w:basedOn w:val="Obinatablica"/>
    <w:uiPriority w:val="59"/>
    <w:rsid w:val="000D0E32"/>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rsid w:val="000D0E32"/>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4">
    <w:name w:val="Rešetka tablice84"/>
    <w:basedOn w:val="Obinatablica"/>
    <w:uiPriority w:val="59"/>
    <w:rsid w:val="000D0E3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11">
    <w:name w:val="Rešetka tablice1211"/>
    <w:basedOn w:val="Obinatablica"/>
    <w:rsid w:val="000D0E32"/>
    <w:rPr>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vopisnatablicareetke7-isticanje31">
    <w:name w:val="Živopisna tablica rešetke 7 - isticanje 31"/>
    <w:basedOn w:val="Obinatablica"/>
    <w:uiPriority w:val="52"/>
    <w:rsid w:val="000D0E3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Tamnatablicareetke5-isticanje31">
    <w:name w:val="Tamna tablica rešetke 5 - isticanje 31"/>
    <w:basedOn w:val="Obinatablica"/>
    <w:uiPriority w:val="50"/>
    <w:rsid w:val="000D0E3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Reetkatablice1311">
    <w:name w:val="Rešetka tablice1311"/>
    <w:basedOn w:val="Obinatablica"/>
    <w:rsid w:val="000D0E32"/>
    <w:rPr>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vijetlatablicareetke13">
    <w:name w:val="Svijetla tablica rešetke 13"/>
    <w:basedOn w:val="Obinatablica"/>
    <w:uiPriority w:val="46"/>
    <w:rsid w:val="008D058C"/>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Obinatablica13">
    <w:name w:val="Obična tablica 13"/>
    <w:basedOn w:val="Obinatablica"/>
    <w:uiPriority w:val="41"/>
    <w:rsid w:val="008D058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10">
    <w:name w:val="Živopisna tablica rešetke 6 - isticanje 310"/>
    <w:basedOn w:val="Obinatablica"/>
    <w:uiPriority w:val="51"/>
    <w:rsid w:val="008D058C"/>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3">
    <w:name w:val="Tablica rešetke 4 - isticanje 33"/>
    <w:basedOn w:val="Obinatablica"/>
    <w:uiPriority w:val="49"/>
    <w:rsid w:val="008D058C"/>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3">
    <w:name w:val="Tablica rešetke 4 - isticanje 63"/>
    <w:basedOn w:val="Obinatablica"/>
    <w:uiPriority w:val="49"/>
    <w:rsid w:val="008D058C"/>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3">
    <w:name w:val="Živopisna tablica 7 - isticanje 33"/>
    <w:basedOn w:val="Obinatablica"/>
    <w:uiPriority w:val="52"/>
    <w:rsid w:val="008D058C"/>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3">
    <w:name w:val="Tablica popisa 4 - isticanje 33"/>
    <w:basedOn w:val="Obinatablica"/>
    <w:uiPriority w:val="49"/>
    <w:rsid w:val="008D058C"/>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3">
    <w:name w:val="Živopisna tablica popisa 6 - isticanje 33"/>
    <w:basedOn w:val="Obinatablica"/>
    <w:uiPriority w:val="51"/>
    <w:rsid w:val="008D058C"/>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3">
    <w:name w:val="Svijetla tablica popisa 1 - isticanje 33"/>
    <w:basedOn w:val="Obinatablica"/>
    <w:uiPriority w:val="46"/>
    <w:rsid w:val="008D058C"/>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3">
    <w:name w:val="Tablica rešetke 2 - isticanje 33"/>
    <w:basedOn w:val="Obinatablica"/>
    <w:uiPriority w:val="47"/>
    <w:rsid w:val="008D058C"/>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3-isticanje33">
    <w:name w:val="Tablica rešetke 3 - isticanje 33"/>
    <w:basedOn w:val="Obinatablica"/>
    <w:uiPriority w:val="48"/>
    <w:rsid w:val="008D058C"/>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ivopisnatablicareetke6-isticanje3219">
    <w:name w:val="Živopisna tablica rešetke 6 - isticanje 3219"/>
    <w:basedOn w:val="Obinatablica"/>
    <w:uiPriority w:val="51"/>
    <w:rsid w:val="008D058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3">
    <w:name w:val="Živopisna tablica rešetke 6 - isticanje 353"/>
    <w:basedOn w:val="Obinatablica"/>
    <w:uiPriority w:val="51"/>
    <w:rsid w:val="008D058C"/>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0">
    <w:name w:val="Živopisna tablica rešetke 6 - isticanje 3220"/>
    <w:basedOn w:val="Obinatablica"/>
    <w:uiPriority w:val="51"/>
    <w:rsid w:val="008D058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62">
    <w:name w:val="Živopisna tablica rešetke 6 - isticanje 362"/>
    <w:basedOn w:val="Obinatablica"/>
    <w:uiPriority w:val="51"/>
    <w:rsid w:val="008D058C"/>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74">
    <w:name w:val="Živopisna tablica rešetke 6 - isticanje 374"/>
    <w:basedOn w:val="Obinatablica"/>
    <w:uiPriority w:val="51"/>
    <w:rsid w:val="008D058C"/>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3">
    <w:name w:val="Živopisna tablica rešetke 6 - isticanje 3223"/>
    <w:basedOn w:val="Obinatablica"/>
    <w:uiPriority w:val="51"/>
    <w:rsid w:val="008D058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2">
    <w:name w:val="Živopisna tablica rešetke 6 - isticanje 382"/>
    <w:basedOn w:val="Obinatablica"/>
    <w:uiPriority w:val="51"/>
    <w:rsid w:val="008D058C"/>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4">
    <w:name w:val="Živopisna tablica rešetke 6 - isticanje 3224"/>
    <w:basedOn w:val="Obinatablica"/>
    <w:uiPriority w:val="51"/>
    <w:rsid w:val="008D058C"/>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Srednjareetka1-Isticanje5">
    <w:name w:val="Medium Grid 1 Accent 5"/>
    <w:basedOn w:val="Obinatablica"/>
    <w:uiPriority w:val="67"/>
    <w:rsid w:val="008D058C"/>
    <w:rPr>
      <w:sz w:val="24"/>
      <w:szCs w:val="24"/>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4BACC6" w:themeColor="accent5"/>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Reetkatablice141">
    <w:name w:val="Rešetka tablice141"/>
    <w:basedOn w:val="Obinatablica"/>
    <w:uiPriority w:val="59"/>
    <w:rsid w:val="008D05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vopisnatablicareetke6-isticanje3100">
    <w:name w:val="Živopisna tablica rešetke 6 - isticanje 310"/>
    <w:basedOn w:val="Obinatablica"/>
    <w:uiPriority w:val="51"/>
    <w:rsid w:val="00313AEE"/>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14">
    <w:name w:val="Živopisna tablica rešetke 6 - isticanje 31214"/>
    <w:basedOn w:val="Obinatablica"/>
    <w:uiPriority w:val="51"/>
    <w:rsid w:val="00313AEE"/>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2">
    <w:name w:val="Živopisna tablica rešetke 6 - isticanje 32322"/>
    <w:basedOn w:val="Obinatablica"/>
    <w:uiPriority w:val="51"/>
    <w:rsid w:val="00313AEE"/>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2">
    <w:name w:val="Rešetka tablice92"/>
    <w:basedOn w:val="Obinatablica"/>
    <w:rsid w:val="00313AEE"/>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11">
    <w:name w:val="Rešetka tablice1011"/>
    <w:basedOn w:val="Obinatablica"/>
    <w:rsid w:val="00313AEE"/>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7">
    <w:name w:val="Rešetka tablice17"/>
    <w:basedOn w:val="Obinatablica"/>
    <w:rsid w:val="005834B8"/>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20">
    <w:name w:val="Živopisna tablica rešetke 6 - isticanje 320"/>
    <w:basedOn w:val="Obinatablica"/>
    <w:uiPriority w:val="51"/>
    <w:rsid w:val="005834B8"/>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7">
    <w:name w:val="Živopisna tablica rešetke 6 - isticanje 3127"/>
    <w:basedOn w:val="Obinatablica"/>
    <w:uiPriority w:val="51"/>
    <w:rsid w:val="005834B8"/>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5">
    <w:name w:val="Živopisna tablica rešetke 6 - isticanje 32315"/>
    <w:basedOn w:val="Obinatablica"/>
    <w:uiPriority w:val="51"/>
    <w:rsid w:val="005834B8"/>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8">
    <w:name w:val="Rešetka tablice18"/>
    <w:basedOn w:val="Obinatablica"/>
    <w:uiPriority w:val="59"/>
    <w:rsid w:val="009F3492"/>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Obinatablica"/>
    <w:uiPriority w:val="39"/>
    <w:rsid w:val="00665B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rsid w:val="00655876"/>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10">
    <w:name w:val="Živopisna tablica rešetke 6 - isticanje 3110"/>
    <w:basedOn w:val="Obinatablica"/>
    <w:uiPriority w:val="51"/>
    <w:rsid w:val="00B95D91"/>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0">
    <w:name w:val="Rešetka tablice20"/>
    <w:basedOn w:val="Obinatablica"/>
    <w:uiPriority w:val="59"/>
    <w:rsid w:val="00EC2719"/>
    <w:rPr>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13">
    <w:name w:val="Živopisna tablica rešetke 6 - isticanje 3113"/>
    <w:basedOn w:val="Obinatablica"/>
    <w:uiPriority w:val="51"/>
    <w:rsid w:val="00015D7A"/>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212">
    <w:name w:val="Rešetka tablice1212"/>
    <w:basedOn w:val="Obinatablica"/>
    <w:rsid w:val="00015D7A"/>
    <w:rPr>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vopisnatablicareetke7-isticanje32">
    <w:name w:val="Živopisna tablica rešetke 7 - isticanje 32"/>
    <w:basedOn w:val="Obinatablica"/>
    <w:uiPriority w:val="52"/>
    <w:rsid w:val="00015D7A"/>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9BBB59" w:themeColor="accent3"/>
        </w:tcBorders>
      </w:tcPr>
    </w:tblStylePr>
    <w:tblStylePr w:type="nwCell">
      <w:tblPr/>
      <w:tcPr>
        <w:tcBorders>
          <w:bottom w:val="single" w:sz="4" w:space="0" w:color="9BBB59" w:themeColor="accent3"/>
        </w:tcBorders>
      </w:tcPr>
    </w:tblStylePr>
    <w:tblStylePr w:type="seCell">
      <w:tblPr/>
      <w:tcPr>
        <w:tcBorders>
          <w:top w:val="single" w:sz="4" w:space="0" w:color="9BBB59" w:themeColor="accent3"/>
        </w:tcBorders>
      </w:tcPr>
    </w:tblStylePr>
    <w:tblStylePr w:type="swCell">
      <w:tblPr/>
      <w:tcPr>
        <w:tcBorders>
          <w:top w:val="single" w:sz="4" w:space="0" w:color="9BBB59" w:themeColor="accent3"/>
        </w:tcBorders>
      </w:tcPr>
    </w:tblStylePr>
  </w:style>
  <w:style w:type="table" w:customStyle="1" w:styleId="Tamnatablicareetke5-isticanje32">
    <w:name w:val="Tamna tablica rešetke 5 - isticanje 32"/>
    <w:basedOn w:val="Obinatablica"/>
    <w:uiPriority w:val="50"/>
    <w:rsid w:val="00015D7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Reetkatablice1312">
    <w:name w:val="Rešetka tablice1312"/>
    <w:basedOn w:val="Obinatablica"/>
    <w:rsid w:val="00015D7A"/>
    <w:rPr>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03">
    <w:name w:val="Rešetka tablice103"/>
    <w:basedOn w:val="Obinatablica"/>
    <w:uiPriority w:val="59"/>
    <w:rsid w:val="00015D7A"/>
    <w:rPr>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2">
    <w:name w:val="Rešetka tablice22"/>
    <w:basedOn w:val="Obinatablica"/>
    <w:uiPriority w:val="59"/>
    <w:rsid w:val="00244221"/>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dTable1Light">
    <w:name w:val="Grid Table 1 Light"/>
    <w:basedOn w:val="Obinatablica"/>
    <w:uiPriority w:val="46"/>
    <w:rsid w:val="00C773E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PlainTable1">
    <w:name w:val="Plain Table 1"/>
    <w:basedOn w:val="Obinatablica"/>
    <w:uiPriority w:val="41"/>
    <w:rsid w:val="00C773E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3">
    <w:name w:val="Grid Table 6 Colorful Accent 3"/>
    <w:basedOn w:val="Obinatablica"/>
    <w:uiPriority w:val="51"/>
    <w:rsid w:val="00C773EB"/>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3">
    <w:name w:val="Grid Table 4 Accent 3"/>
    <w:basedOn w:val="Obinatablica"/>
    <w:uiPriority w:val="49"/>
    <w:rsid w:val="00C773E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6">
    <w:name w:val="Grid Table 4 Accent 6"/>
    <w:basedOn w:val="Obinatablica"/>
    <w:uiPriority w:val="49"/>
    <w:rsid w:val="00C773EB"/>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7ColorfulAccent3">
    <w:name w:val="List Table 7 Colorful Accent 3"/>
    <w:basedOn w:val="Obinatablica"/>
    <w:uiPriority w:val="52"/>
    <w:rsid w:val="00C773EB"/>
    <w:rPr>
      <w:color w:val="76923C" w:themeColor="accent3"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4Accent3">
    <w:name w:val="List Table 4 Accent 3"/>
    <w:basedOn w:val="Obinatablica"/>
    <w:uiPriority w:val="49"/>
    <w:rsid w:val="00C773E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6ColorfulAccent3">
    <w:name w:val="List Table 6 Colorful Accent 3"/>
    <w:basedOn w:val="Obinatablica"/>
    <w:uiPriority w:val="51"/>
    <w:rsid w:val="00C773EB"/>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1LightAccent3">
    <w:name w:val="List Table 1 Light Accent 3"/>
    <w:basedOn w:val="Obinatablica"/>
    <w:uiPriority w:val="46"/>
    <w:rsid w:val="00C773EB"/>
    <w:tblPr>
      <w:tblStyleRowBandSize w:val="1"/>
      <w:tblStyleColBandSize w:val="1"/>
    </w:tblPr>
    <w:tblStylePr w:type="firstRow">
      <w:rPr>
        <w:b/>
        <w:bCs/>
      </w:rPr>
      <w:tblPr/>
      <w:tcPr>
        <w:tcBorders>
          <w:bottom w:val="single" w:sz="4" w:space="0" w:color="9BBB59" w:themeColor="accent3"/>
        </w:tcBorders>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3">
    <w:name w:val="Grid Table 2 Accent 3"/>
    <w:basedOn w:val="Obinatablica"/>
    <w:uiPriority w:val="47"/>
    <w:rsid w:val="00C773EB"/>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9BBB59" w:themeColor="accent3"/>
          <w:insideH w:val="nil"/>
          <w:insideV w:val="nil"/>
        </w:tcBorders>
        <w:shd w:val="clear" w:color="auto" w:fill="FFFFFF" w:themeFill="background1"/>
      </w:tcPr>
    </w:tblStylePr>
    <w:tblStylePr w:type="lastRow">
      <w:rPr>
        <w:b/>
        <w:bCs/>
      </w:rPr>
      <w:tblPr/>
      <w:tcPr>
        <w:tcBorders>
          <w:top w:val="double" w:sz="2" w:space="0" w:color="9BBB59"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3">
    <w:name w:val="Table Grid3"/>
    <w:basedOn w:val="Obinatablica"/>
    <w:rsid w:val="00C773EB"/>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32">
    <w:name w:val="Rešetka tablice132"/>
    <w:basedOn w:val="Obinatablica"/>
    <w:rsid w:val="00C773EB"/>
    <w:rPr>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
    <w:name w:val="Table Grid1"/>
    <w:basedOn w:val="Obinatablica"/>
    <w:rsid w:val="00C773E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Obinatablica"/>
    <w:rsid w:val="00B75CD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dTable6Colorful-Accent31">
    <w:name w:val="Grid Table 6 Colorful - Accent 31"/>
    <w:basedOn w:val="Obinatablica"/>
    <w:uiPriority w:val="51"/>
    <w:rsid w:val="00C53EC7"/>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image" Target="media/image45.png"/><Relationship Id="rId21" Type="http://schemas.openxmlformats.org/officeDocument/2006/relationships/image" Target="media/image12.png"/><Relationship Id="rId42" Type="http://schemas.openxmlformats.org/officeDocument/2006/relationships/hyperlink" Target="javascript:void(0)" TargetMode="External"/><Relationship Id="rId47" Type="http://schemas.openxmlformats.org/officeDocument/2006/relationships/hyperlink" Target="javascript:void(0)" TargetMode="External"/><Relationship Id="rId63" Type="http://schemas.openxmlformats.org/officeDocument/2006/relationships/hyperlink" Target="javascript:void(0)" TargetMode="External"/><Relationship Id="rId68" Type="http://schemas.openxmlformats.org/officeDocument/2006/relationships/hyperlink" Target="javascript:void(0)" TargetMode="External"/><Relationship Id="rId84" Type="http://schemas.openxmlformats.org/officeDocument/2006/relationships/image" Target="media/image21.png"/><Relationship Id="rId89" Type="http://schemas.openxmlformats.org/officeDocument/2006/relationships/image" Target="media/image26.wmf"/><Relationship Id="rId112" Type="http://schemas.openxmlformats.org/officeDocument/2006/relationships/image" Target="media/image40.png"/><Relationship Id="rId133" Type="http://schemas.openxmlformats.org/officeDocument/2006/relationships/image" Target="media/image61.png"/><Relationship Id="rId138" Type="http://schemas.openxmlformats.org/officeDocument/2006/relationships/image" Target="media/image66.png"/><Relationship Id="rId154" Type="http://schemas.openxmlformats.org/officeDocument/2006/relationships/image" Target="media/image75.png"/><Relationship Id="rId159" Type="http://schemas.openxmlformats.org/officeDocument/2006/relationships/footer" Target="footer10.xml"/><Relationship Id="rId16" Type="http://schemas.openxmlformats.org/officeDocument/2006/relationships/image" Target="media/image7.png"/><Relationship Id="rId107" Type="http://schemas.openxmlformats.org/officeDocument/2006/relationships/image" Target="media/image37.png"/><Relationship Id="rId11" Type="http://schemas.openxmlformats.org/officeDocument/2006/relationships/image" Target="media/image1.gif"/><Relationship Id="rId32" Type="http://schemas.openxmlformats.org/officeDocument/2006/relationships/hyperlink" Target="mailto:os.maria.martinolica@os-mmartinolica.skole.hr" TargetMode="External"/><Relationship Id="rId37" Type="http://schemas.openxmlformats.org/officeDocument/2006/relationships/hyperlink" Target="javascript:void(0)" TargetMode="External"/><Relationship Id="rId53" Type="http://schemas.openxmlformats.org/officeDocument/2006/relationships/hyperlink" Target="javascript:void(0)" TargetMode="External"/><Relationship Id="rId58" Type="http://schemas.openxmlformats.org/officeDocument/2006/relationships/hyperlink" Target="javascript:void(0)" TargetMode="External"/><Relationship Id="rId74" Type="http://schemas.openxmlformats.org/officeDocument/2006/relationships/hyperlink" Target="http://hr.wikipedia.org/wiki/Tektonska_plo&#269;a" TargetMode="External"/><Relationship Id="rId79" Type="http://schemas.openxmlformats.org/officeDocument/2006/relationships/image" Target="media/image16.jpeg"/><Relationship Id="rId102" Type="http://schemas.openxmlformats.org/officeDocument/2006/relationships/image" Target="media/image33.png"/><Relationship Id="rId123" Type="http://schemas.openxmlformats.org/officeDocument/2006/relationships/image" Target="media/image51.png"/><Relationship Id="rId128" Type="http://schemas.openxmlformats.org/officeDocument/2006/relationships/image" Target="media/image56.png"/><Relationship Id="rId144" Type="http://schemas.openxmlformats.org/officeDocument/2006/relationships/image" Target="media/image71.png"/><Relationship Id="rId149" Type="http://schemas.openxmlformats.org/officeDocument/2006/relationships/footer" Target="footer6.xml"/><Relationship Id="rId5" Type="http://schemas.openxmlformats.org/officeDocument/2006/relationships/settings" Target="settings.xml"/><Relationship Id="rId90" Type="http://schemas.openxmlformats.org/officeDocument/2006/relationships/image" Target="media/image27.wmf"/><Relationship Id="rId95" Type="http://schemas.openxmlformats.org/officeDocument/2006/relationships/hyperlink" Target="https://hr.wikipedia.org/wiki/Indija" TargetMode="External"/><Relationship Id="rId160" Type="http://schemas.openxmlformats.org/officeDocument/2006/relationships/image" Target="media/image77.png"/><Relationship Id="rId165" Type="http://schemas.openxmlformats.org/officeDocument/2006/relationships/fontTable" Target="fontTable.xml"/><Relationship Id="rId22" Type="http://schemas.openxmlformats.org/officeDocument/2006/relationships/image" Target="media/image13.png"/><Relationship Id="rId27" Type="http://schemas.openxmlformats.org/officeDocument/2006/relationships/footer" Target="footer1.xml"/><Relationship Id="rId43" Type="http://schemas.openxmlformats.org/officeDocument/2006/relationships/hyperlink" Target="javascript:void(0)" TargetMode="External"/><Relationship Id="rId48" Type="http://schemas.openxmlformats.org/officeDocument/2006/relationships/hyperlink" Target="javascript:void(0)" TargetMode="External"/><Relationship Id="rId64" Type="http://schemas.openxmlformats.org/officeDocument/2006/relationships/hyperlink" Target="javascript:void(0)" TargetMode="External"/><Relationship Id="rId69" Type="http://schemas.openxmlformats.org/officeDocument/2006/relationships/hyperlink" Target="javascript:void(0)" TargetMode="External"/><Relationship Id="rId113" Type="http://schemas.openxmlformats.org/officeDocument/2006/relationships/image" Target="media/image41.png"/><Relationship Id="rId118" Type="http://schemas.openxmlformats.org/officeDocument/2006/relationships/image" Target="media/image46.png"/><Relationship Id="rId134" Type="http://schemas.openxmlformats.org/officeDocument/2006/relationships/image" Target="media/image62.png"/><Relationship Id="rId139" Type="http://schemas.openxmlformats.org/officeDocument/2006/relationships/hyperlink" Target="https://civilna-zastita.gov.hr/" TargetMode="External"/><Relationship Id="rId80" Type="http://schemas.openxmlformats.org/officeDocument/2006/relationships/image" Target="media/image17.jpeg"/><Relationship Id="rId85" Type="http://schemas.openxmlformats.org/officeDocument/2006/relationships/image" Target="media/image22.png"/><Relationship Id="rId150" Type="http://schemas.openxmlformats.org/officeDocument/2006/relationships/header" Target="header8.xml"/><Relationship Id="rId155" Type="http://schemas.openxmlformats.org/officeDocument/2006/relationships/header" Target="header10.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header" Target="header4.xml"/><Relationship Id="rId38" Type="http://schemas.openxmlformats.org/officeDocument/2006/relationships/hyperlink" Target="javascript:void(0)" TargetMode="External"/><Relationship Id="rId59" Type="http://schemas.openxmlformats.org/officeDocument/2006/relationships/hyperlink" Target="javascript:void(0)" TargetMode="External"/><Relationship Id="rId103" Type="http://schemas.openxmlformats.org/officeDocument/2006/relationships/image" Target="media/image34.png"/><Relationship Id="rId108" Type="http://schemas.openxmlformats.org/officeDocument/2006/relationships/hyperlink" Target="https://www.koronavirus.hr/" TargetMode="External"/><Relationship Id="rId124" Type="http://schemas.openxmlformats.org/officeDocument/2006/relationships/image" Target="media/image52.png"/><Relationship Id="rId129" Type="http://schemas.openxmlformats.org/officeDocument/2006/relationships/image" Target="media/image57.png"/><Relationship Id="rId54" Type="http://schemas.openxmlformats.org/officeDocument/2006/relationships/hyperlink" Target="javascript:void(0)" TargetMode="External"/><Relationship Id="rId70" Type="http://schemas.openxmlformats.org/officeDocument/2006/relationships/hyperlink" Target="javascript:void(0)" TargetMode="External"/><Relationship Id="rId75" Type="http://schemas.openxmlformats.org/officeDocument/2006/relationships/hyperlink" Target="http://hr.wikipedia.org/wiki/Zemljina_kora" TargetMode="External"/><Relationship Id="rId91" Type="http://schemas.openxmlformats.org/officeDocument/2006/relationships/image" Target="media/image28.wmf"/><Relationship Id="rId96" Type="http://schemas.openxmlformats.org/officeDocument/2006/relationships/hyperlink" Target="https://hr.wikipedia.org/wiki/Arapski_poluotok" TargetMode="External"/><Relationship Id="rId140" Type="http://schemas.openxmlformats.org/officeDocument/2006/relationships/image" Target="media/image67.png"/><Relationship Id="rId145" Type="http://schemas.openxmlformats.org/officeDocument/2006/relationships/image" Target="media/image72.png"/><Relationship Id="rId161" Type="http://schemas.openxmlformats.org/officeDocument/2006/relationships/header" Target="header12.xml"/><Relationship Id="rId16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header" Target="header3.xml"/><Relationship Id="rId36" Type="http://schemas.openxmlformats.org/officeDocument/2006/relationships/hyperlink" Target="javascript:void(0)" TargetMode="External"/><Relationship Id="rId49" Type="http://schemas.openxmlformats.org/officeDocument/2006/relationships/hyperlink" Target="javascript:void(0)" TargetMode="External"/><Relationship Id="rId57" Type="http://schemas.openxmlformats.org/officeDocument/2006/relationships/hyperlink" Target="javascript:void(0)" TargetMode="External"/><Relationship Id="rId106" Type="http://schemas.openxmlformats.org/officeDocument/2006/relationships/hyperlink" Target="https://covid19.who.int/" TargetMode="External"/><Relationship Id="rId114" Type="http://schemas.openxmlformats.org/officeDocument/2006/relationships/image" Target="media/image42.png"/><Relationship Id="rId119" Type="http://schemas.openxmlformats.org/officeDocument/2006/relationships/image" Target="media/image47.png"/><Relationship Id="rId127" Type="http://schemas.openxmlformats.org/officeDocument/2006/relationships/image" Target="media/image55.png"/><Relationship Id="rId10" Type="http://schemas.openxmlformats.org/officeDocument/2006/relationships/image" Target="media/image2.gif"/><Relationship Id="rId31" Type="http://schemas.openxmlformats.org/officeDocument/2006/relationships/hyperlink" Target="https://www.mali-losinj.hr/o-otoku-losinju/zdravstvo-i-socijalna-skrb/skolska.mali.losinj@zzjzpgz.hr" TargetMode="External"/><Relationship Id="rId44" Type="http://schemas.openxmlformats.org/officeDocument/2006/relationships/hyperlink" Target="javascript:void(0)" TargetMode="External"/><Relationship Id="rId52" Type="http://schemas.openxmlformats.org/officeDocument/2006/relationships/hyperlink" Target="javascript:void(0)" TargetMode="External"/><Relationship Id="rId60" Type="http://schemas.openxmlformats.org/officeDocument/2006/relationships/hyperlink" Target="javascript:void(0)" TargetMode="External"/><Relationship Id="rId65" Type="http://schemas.openxmlformats.org/officeDocument/2006/relationships/hyperlink" Target="javascript:void(0)" TargetMode="External"/><Relationship Id="rId73" Type="http://schemas.openxmlformats.org/officeDocument/2006/relationships/footer" Target="footer4.xml"/><Relationship Id="rId78" Type="http://schemas.openxmlformats.org/officeDocument/2006/relationships/footer" Target="footer5.xml"/><Relationship Id="rId81" Type="http://schemas.openxmlformats.org/officeDocument/2006/relationships/image" Target="media/image18.png"/><Relationship Id="rId86" Type="http://schemas.openxmlformats.org/officeDocument/2006/relationships/image" Target="media/image23.wmf"/><Relationship Id="rId94" Type="http://schemas.openxmlformats.org/officeDocument/2006/relationships/hyperlink" Target="https://hr.wikipedia.org/wiki/Azija" TargetMode="External"/><Relationship Id="rId99" Type="http://schemas.openxmlformats.org/officeDocument/2006/relationships/image" Target="media/image30.png"/><Relationship Id="rId101" Type="http://schemas.openxmlformats.org/officeDocument/2006/relationships/image" Target="media/image32.png"/><Relationship Id="rId122" Type="http://schemas.openxmlformats.org/officeDocument/2006/relationships/image" Target="media/image50.png"/><Relationship Id="rId130" Type="http://schemas.openxmlformats.org/officeDocument/2006/relationships/image" Target="media/image58.png"/><Relationship Id="rId135" Type="http://schemas.openxmlformats.org/officeDocument/2006/relationships/image" Target="media/image63.png"/><Relationship Id="rId143" Type="http://schemas.openxmlformats.org/officeDocument/2006/relationships/image" Target="media/image70.jpeg"/><Relationship Id="rId148" Type="http://schemas.openxmlformats.org/officeDocument/2006/relationships/header" Target="header7.xml"/><Relationship Id="rId151" Type="http://schemas.openxmlformats.org/officeDocument/2006/relationships/footer" Target="footer7.xml"/><Relationship Id="rId156" Type="http://schemas.openxmlformats.org/officeDocument/2006/relationships/footer" Target="footer9.xml"/><Relationship Id="rId164" Type="http://schemas.openxmlformats.org/officeDocument/2006/relationships/footer" Target="footer12.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yperlink" Target="javascript:void(0)" TargetMode="External"/><Relationship Id="rId109" Type="http://schemas.openxmlformats.org/officeDocument/2006/relationships/hyperlink" Target="https://mup.gov.hr/" TargetMode="External"/><Relationship Id="rId34" Type="http://schemas.openxmlformats.org/officeDocument/2006/relationships/footer" Target="footer3.xml"/><Relationship Id="rId50" Type="http://schemas.openxmlformats.org/officeDocument/2006/relationships/hyperlink" Target="javascript:void(0)" TargetMode="External"/><Relationship Id="rId55" Type="http://schemas.openxmlformats.org/officeDocument/2006/relationships/hyperlink" Target="javascript:void(0)" TargetMode="External"/><Relationship Id="rId76" Type="http://schemas.openxmlformats.org/officeDocument/2006/relationships/hyperlink" Target="http://hr.wikipedia.org/wiki/Energija" TargetMode="External"/><Relationship Id="rId97" Type="http://schemas.openxmlformats.org/officeDocument/2006/relationships/hyperlink" Target="https://hr.wikipedia.org/wiki/Sibir" TargetMode="External"/><Relationship Id="rId104" Type="http://schemas.openxmlformats.org/officeDocument/2006/relationships/image" Target="media/image35.png"/><Relationship Id="rId120" Type="http://schemas.openxmlformats.org/officeDocument/2006/relationships/image" Target="media/image48.png"/><Relationship Id="rId125" Type="http://schemas.openxmlformats.org/officeDocument/2006/relationships/image" Target="media/image53.png"/><Relationship Id="rId141" Type="http://schemas.openxmlformats.org/officeDocument/2006/relationships/image" Target="media/image68.png"/><Relationship Id="rId146" Type="http://schemas.openxmlformats.org/officeDocument/2006/relationships/image" Target="media/image73.png"/><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javascript:void(0)" TargetMode="External"/><Relationship Id="rId92" Type="http://schemas.openxmlformats.org/officeDocument/2006/relationships/hyperlink" Target="https://hr.wikipedia.org/wiki/Euroazija" TargetMode="External"/><Relationship Id="rId162" Type="http://schemas.openxmlformats.org/officeDocument/2006/relationships/footer" Target="footer11.xml"/><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chart" Target="charts/chart1.xml"/><Relationship Id="rId40" Type="http://schemas.openxmlformats.org/officeDocument/2006/relationships/hyperlink" Target="javascript:void(0)" TargetMode="External"/><Relationship Id="rId45" Type="http://schemas.openxmlformats.org/officeDocument/2006/relationships/hyperlink" Target="javascript:void(0)" TargetMode="External"/><Relationship Id="rId66" Type="http://schemas.openxmlformats.org/officeDocument/2006/relationships/hyperlink" Target="javascript:void(0)" TargetMode="External"/><Relationship Id="rId87" Type="http://schemas.openxmlformats.org/officeDocument/2006/relationships/image" Target="media/image24.wmf"/><Relationship Id="rId110" Type="http://schemas.openxmlformats.org/officeDocument/2006/relationships/image" Target="media/image38.png"/><Relationship Id="rId115" Type="http://schemas.openxmlformats.org/officeDocument/2006/relationships/image" Target="media/image43.png"/><Relationship Id="rId131" Type="http://schemas.openxmlformats.org/officeDocument/2006/relationships/image" Target="media/image59.png"/><Relationship Id="rId136" Type="http://schemas.openxmlformats.org/officeDocument/2006/relationships/image" Target="media/image64.png"/><Relationship Id="rId157" Type="http://schemas.openxmlformats.org/officeDocument/2006/relationships/image" Target="media/image76.png"/><Relationship Id="rId61" Type="http://schemas.openxmlformats.org/officeDocument/2006/relationships/hyperlink" Target="javascript:void(0)" TargetMode="External"/><Relationship Id="rId82" Type="http://schemas.openxmlformats.org/officeDocument/2006/relationships/image" Target="media/image19.png"/><Relationship Id="rId152" Type="http://schemas.openxmlformats.org/officeDocument/2006/relationships/header" Target="header9.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hyperlink" Target="mailto:epidemiologija.mali.losinj@zzjzpgz.hr" TargetMode="External"/><Relationship Id="rId35" Type="http://schemas.openxmlformats.org/officeDocument/2006/relationships/hyperlink" Target="javascript:void(0)" TargetMode="External"/><Relationship Id="rId56" Type="http://schemas.openxmlformats.org/officeDocument/2006/relationships/hyperlink" Target="javascript:void(0)" TargetMode="External"/><Relationship Id="rId77" Type="http://schemas.openxmlformats.org/officeDocument/2006/relationships/header" Target="header6.xml"/><Relationship Id="rId100" Type="http://schemas.openxmlformats.org/officeDocument/2006/relationships/image" Target="media/image31.png"/><Relationship Id="rId105" Type="http://schemas.openxmlformats.org/officeDocument/2006/relationships/image" Target="media/image36.png"/><Relationship Id="rId126" Type="http://schemas.openxmlformats.org/officeDocument/2006/relationships/image" Target="media/image54.png"/><Relationship Id="rId147" Type="http://schemas.openxmlformats.org/officeDocument/2006/relationships/image" Target="media/image74.png"/><Relationship Id="rId8" Type="http://schemas.openxmlformats.org/officeDocument/2006/relationships/endnotes" Target="endnotes.xml"/><Relationship Id="rId51" Type="http://schemas.openxmlformats.org/officeDocument/2006/relationships/hyperlink" Target="javascript:void(0)" TargetMode="External"/><Relationship Id="rId72" Type="http://schemas.openxmlformats.org/officeDocument/2006/relationships/header" Target="header5.xml"/><Relationship Id="rId93" Type="http://schemas.openxmlformats.org/officeDocument/2006/relationships/hyperlink" Target="https://hr.wikipedia.org/wiki/Europa" TargetMode="External"/><Relationship Id="rId98" Type="http://schemas.openxmlformats.org/officeDocument/2006/relationships/image" Target="media/image29.png"/><Relationship Id="rId121" Type="http://schemas.openxmlformats.org/officeDocument/2006/relationships/image" Target="media/image49.png"/><Relationship Id="rId142" Type="http://schemas.openxmlformats.org/officeDocument/2006/relationships/image" Target="media/image69.png"/><Relationship Id="rId163" Type="http://schemas.openxmlformats.org/officeDocument/2006/relationships/header" Target="header13.xml"/><Relationship Id="rId3" Type="http://schemas.openxmlformats.org/officeDocument/2006/relationships/styles" Target="styles.xml"/><Relationship Id="rId25" Type="http://schemas.openxmlformats.org/officeDocument/2006/relationships/chart" Target="charts/chart2.xml"/><Relationship Id="rId46" Type="http://schemas.openxmlformats.org/officeDocument/2006/relationships/hyperlink" Target="javascript:void(0)" TargetMode="External"/><Relationship Id="rId67" Type="http://schemas.openxmlformats.org/officeDocument/2006/relationships/hyperlink" Target="javascript:void(0)" TargetMode="External"/><Relationship Id="rId116" Type="http://schemas.openxmlformats.org/officeDocument/2006/relationships/image" Target="media/image44.png"/><Relationship Id="rId137" Type="http://schemas.openxmlformats.org/officeDocument/2006/relationships/image" Target="media/image65.png"/><Relationship Id="rId158" Type="http://schemas.openxmlformats.org/officeDocument/2006/relationships/header" Target="header11.xml"/><Relationship Id="rId20" Type="http://schemas.openxmlformats.org/officeDocument/2006/relationships/image" Target="media/image11.png"/><Relationship Id="rId41" Type="http://schemas.openxmlformats.org/officeDocument/2006/relationships/hyperlink" Target="javascript:void(0)" TargetMode="External"/><Relationship Id="rId62" Type="http://schemas.openxmlformats.org/officeDocument/2006/relationships/hyperlink" Target="javascript:void(0)" TargetMode="External"/><Relationship Id="rId83" Type="http://schemas.openxmlformats.org/officeDocument/2006/relationships/image" Target="media/image20.png"/><Relationship Id="rId88" Type="http://schemas.openxmlformats.org/officeDocument/2006/relationships/image" Target="media/image25.wmf"/><Relationship Id="rId111" Type="http://schemas.openxmlformats.org/officeDocument/2006/relationships/image" Target="media/image39.png"/><Relationship Id="rId132" Type="http://schemas.openxmlformats.org/officeDocument/2006/relationships/image" Target="media/image60.png"/><Relationship Id="rId153" Type="http://schemas.openxmlformats.org/officeDocument/2006/relationships/footer" Target="footer8.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2" Type="http://schemas.openxmlformats.org/officeDocument/2006/relationships/image" Target="media/image128.png"/><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2" Type="http://schemas.openxmlformats.org/officeDocument/2006/relationships/image" Target="media/image150.png"/><Relationship Id="rId1" Type="http://schemas.openxmlformats.org/officeDocument/2006/relationships/image" Target="media/image1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hr-HR"/>
  <c:roundedCorners val="0"/>
  <c:style val="2"/>
  <c:chart>
    <c:autoTitleDeleted val="1"/>
    <c:plotArea>
      <c:layout/>
      <c:barChart>
        <c:barDir val="col"/>
        <c:grouping val="clustered"/>
        <c:varyColors val="0"/>
        <c:ser>
          <c:idx val="0"/>
          <c:order val="0"/>
          <c:tx>
            <c:strRef>
              <c:f>label 0</c:f>
              <c:strCache>
                <c:ptCount val="1"/>
                <c:pt idx="0">
                  <c:v>Broj stanovnika</c:v>
                </c:pt>
              </c:strCache>
            </c:strRef>
          </c:tx>
          <c:spPr>
            <a:solidFill>
              <a:srgbClr val="54883D"/>
            </a:solidFill>
            <a:ln>
              <a:noFill/>
            </a:ln>
          </c:spPr>
          <c:invertIfNegative val="0"/>
          <c:dLbls>
            <c:txPr>
              <a:bodyPr/>
              <a:lstStyle/>
              <a:p>
                <a:pPr>
                  <a:defRPr sz="1000" b="0" strike="noStrike" spc="-1">
                    <a:solidFill>
                      <a:srgbClr val="000000"/>
                    </a:solidFill>
                    <a:latin typeface="Calibri"/>
                  </a:defRPr>
                </a:pPr>
                <a:endParaRPr lang="sr-Latn-RS"/>
              </a:p>
            </c:txPr>
            <c:dLblPos val="outEnd"/>
            <c:showLegendKey val="0"/>
            <c:showVal val="0"/>
            <c:showCatName val="0"/>
            <c:showSerName val="0"/>
            <c:showPercent val="0"/>
            <c:showBubbleSize val="1"/>
            <c:separator>; </c:separator>
            <c:showLeaderLines val="0"/>
          </c:dLbls>
          <c:cat>
            <c:strRef>
              <c:f>categories</c:f>
              <c:strCache>
                <c:ptCount val="14"/>
                <c:pt idx="0">
                  <c:v>Belej</c:v>
                </c:pt>
                <c:pt idx="1">
                  <c:v>Ćunski</c:v>
                </c:pt>
                <c:pt idx="2">
                  <c:v>Ilovik</c:v>
                </c:pt>
                <c:pt idx="3">
                  <c:v>Male Srakane</c:v>
                </c:pt>
                <c:pt idx="4">
                  <c:v>Mali Lošinj</c:v>
                </c:pt>
                <c:pt idx="5">
                  <c:v>Nerezine</c:v>
                </c:pt>
                <c:pt idx="6">
                  <c:v>Osor </c:v>
                </c:pt>
                <c:pt idx="7">
                  <c:v>Punta Križa</c:v>
                </c:pt>
                <c:pt idx="8">
                  <c:v>Susak </c:v>
                </c:pt>
                <c:pt idx="9">
                  <c:v>Sveti Jakov</c:v>
                </c:pt>
                <c:pt idx="10">
                  <c:v>Unije </c:v>
                </c:pt>
                <c:pt idx="11">
                  <c:v>Ustrine </c:v>
                </c:pt>
                <c:pt idx="12">
                  <c:v>Vele Srakane</c:v>
                </c:pt>
                <c:pt idx="13">
                  <c:v>Veli Lošinj</c:v>
                </c:pt>
              </c:strCache>
            </c:strRef>
          </c:cat>
          <c:val>
            <c:numRef>
              <c:f>0</c:f>
              <c:numCache>
                <c:formatCode>General</c:formatCode>
                <c:ptCount val="14"/>
                <c:pt idx="0">
                  <c:v>40</c:v>
                </c:pt>
                <c:pt idx="1">
                  <c:v>198</c:v>
                </c:pt>
                <c:pt idx="2">
                  <c:v>106</c:v>
                </c:pt>
                <c:pt idx="3">
                  <c:v>2</c:v>
                </c:pt>
                <c:pt idx="4">
                  <c:v>5561</c:v>
                </c:pt>
                <c:pt idx="5">
                  <c:v>397</c:v>
                </c:pt>
                <c:pt idx="6">
                  <c:v>26</c:v>
                </c:pt>
                <c:pt idx="7">
                  <c:v>46</c:v>
                </c:pt>
                <c:pt idx="8">
                  <c:v>139</c:v>
                </c:pt>
                <c:pt idx="9">
                  <c:v>74</c:v>
                </c:pt>
                <c:pt idx="10">
                  <c:v>66</c:v>
                </c:pt>
                <c:pt idx="11">
                  <c:v>21</c:v>
                </c:pt>
                <c:pt idx="12">
                  <c:v>4</c:v>
                </c:pt>
                <c:pt idx="13">
                  <c:v>857</c:v>
                </c:pt>
              </c:numCache>
            </c:numRef>
          </c:val>
        </c:ser>
        <c:dLbls>
          <c:showLegendKey val="0"/>
          <c:showVal val="0"/>
          <c:showCatName val="0"/>
          <c:showSerName val="0"/>
          <c:showPercent val="0"/>
          <c:showBubbleSize val="0"/>
        </c:dLbls>
        <c:gapWidth val="219"/>
        <c:overlap val="-27"/>
        <c:axId val="127603072"/>
        <c:axId val="127604608"/>
      </c:barChart>
      <c:catAx>
        <c:axId val="127603072"/>
        <c:scaling>
          <c:orientation val="minMax"/>
        </c:scaling>
        <c:delete val="0"/>
        <c:axPos val="b"/>
        <c:numFmt formatCode="[$-41A]dd/mm/yyyy" sourceLinked="1"/>
        <c:majorTickMark val="none"/>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sr-Latn-RS"/>
          </a:p>
        </c:txPr>
        <c:crossAx val="127604608"/>
        <c:crosses val="autoZero"/>
        <c:auto val="1"/>
        <c:lblAlgn val="ctr"/>
        <c:lblOffset val="100"/>
        <c:noMultiLvlLbl val="1"/>
      </c:catAx>
      <c:valAx>
        <c:axId val="127604608"/>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9360">
            <a:noFill/>
          </a:ln>
        </c:spPr>
        <c:txPr>
          <a:bodyPr/>
          <a:lstStyle/>
          <a:p>
            <a:pPr>
              <a:defRPr sz="900" b="0" strike="noStrike" spc="-1">
                <a:solidFill>
                  <a:srgbClr val="595959"/>
                </a:solidFill>
                <a:latin typeface="Calibri"/>
              </a:defRPr>
            </a:pPr>
            <a:endParaRPr lang="sr-Latn-RS"/>
          </a:p>
        </c:txPr>
        <c:crossAx val="127603072"/>
        <c:crosses val="autoZero"/>
        <c:crossBetween val="between"/>
      </c:valAx>
      <c:spPr>
        <a:noFill/>
        <a:ln>
          <a:noFill/>
        </a:ln>
      </c:spPr>
    </c:plotArea>
    <c:legend>
      <c:legendPos val="b"/>
      <c:overlay val="0"/>
      <c:spPr>
        <a:noFill/>
        <a:ln>
          <a:noFill/>
        </a:ln>
      </c:spPr>
      <c:txPr>
        <a:bodyPr/>
        <a:lstStyle/>
        <a:p>
          <a:pPr>
            <a:defRPr sz="900" b="0" strike="noStrike" spc="-1">
              <a:solidFill>
                <a:srgbClr val="595959"/>
              </a:solidFill>
              <a:latin typeface="Calibri"/>
            </a:defRPr>
          </a:pPr>
          <a:endParaRPr lang="sr-Latn-RS"/>
        </a:p>
      </c:txPr>
    </c:legend>
    <c:plotVisOnly val="1"/>
    <c:dispBlanksAs val="gap"/>
    <c:showDLblsOverMax val="1"/>
  </c:chart>
  <c:spPr>
    <a:solidFill>
      <a:srgbClr val="FFFFFF"/>
    </a:solidFill>
    <a:ln w="9360">
      <a:solidFill>
        <a:srgbClr val="D9D9D9"/>
      </a:solidFill>
      <a:round/>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hr-HR"/>
  <c:roundedCorners val="0"/>
  <c:style val="2"/>
  <c:chart>
    <c:autoTitleDeleted val="1"/>
    <c:view3D>
      <c:rotX val="50"/>
      <c:rotY val="0"/>
      <c:rAngAx val="0"/>
      <c:perspective val="30"/>
    </c:view3D>
    <c:floor>
      <c:thickness val="0"/>
      <c:spPr>
        <a:solidFill>
          <a:srgbClr val="D9D9D9"/>
        </a:solidFill>
        <a:ln>
          <a:noFill/>
        </a:ln>
      </c:spPr>
    </c:floor>
    <c:sideWall>
      <c:thickness val="0"/>
      <c:spPr>
        <a:solidFill>
          <a:srgbClr val="D9D9D9"/>
        </a:solidFill>
        <a:ln>
          <a:noFill/>
        </a:ln>
      </c:spPr>
    </c:sideWall>
    <c:backWall>
      <c:thickness val="0"/>
      <c:spPr>
        <a:solidFill>
          <a:srgbClr val="D9D9D9"/>
        </a:solidFill>
        <a:ln>
          <a:noFill/>
        </a:ln>
      </c:spPr>
    </c:backWall>
    <c:plotArea>
      <c:layout/>
      <c:pie3DChart>
        <c:varyColors val="1"/>
        <c:ser>
          <c:idx val="0"/>
          <c:order val="0"/>
          <c:tx>
            <c:strRef>
              <c:f>label 0</c:f>
              <c:strCache>
                <c:ptCount val="1"/>
                <c:pt idx="0">
                  <c:v>Stupac1</c:v>
                </c:pt>
              </c:strCache>
            </c:strRef>
          </c:tx>
          <c:spPr>
            <a:solidFill>
              <a:srgbClr val="4F81BD"/>
            </a:solidFill>
            <a:ln>
              <a:noFill/>
            </a:ln>
          </c:spPr>
          <c:dPt>
            <c:idx val="0"/>
            <c:bubble3D val="0"/>
            <c:spPr>
              <a:solidFill>
                <a:srgbClr val="F79646"/>
              </a:solidFill>
              <a:ln>
                <a:noFill/>
              </a:ln>
            </c:spPr>
          </c:dPt>
          <c:dPt>
            <c:idx val="1"/>
            <c:bubble3D val="0"/>
            <c:spPr>
              <a:solidFill>
                <a:srgbClr val="4BACC6"/>
              </a:solidFill>
              <a:ln>
                <a:noFill/>
              </a:ln>
            </c:spPr>
          </c:dPt>
          <c:dLbls>
            <c:dLbl>
              <c:idx val="0"/>
              <c:dLblPos val="ctr"/>
              <c:showLegendKey val="0"/>
              <c:showVal val="0"/>
              <c:showCatName val="0"/>
              <c:showSerName val="0"/>
              <c:showPercent val="1"/>
              <c:showBubbleSize val="1"/>
            </c:dLbl>
            <c:dLbl>
              <c:idx val="1"/>
              <c:dLblPos val="ctr"/>
              <c:showLegendKey val="0"/>
              <c:showVal val="0"/>
              <c:showCatName val="0"/>
              <c:showSerName val="0"/>
              <c:showPercent val="1"/>
              <c:showBubbleSize val="1"/>
            </c:dLbl>
            <c:txPr>
              <a:bodyPr/>
              <a:lstStyle/>
              <a:p>
                <a:pPr>
                  <a:defRPr sz="1000" b="1" strike="noStrike" spc="-1">
                    <a:solidFill>
                      <a:srgbClr val="FFFFFF"/>
                    </a:solidFill>
                    <a:latin typeface="Calibri"/>
                  </a:defRPr>
                </a:pPr>
                <a:endParaRPr lang="sr-Latn-RS"/>
              </a:p>
            </c:txPr>
            <c:dLblPos val="ctr"/>
            <c:showLegendKey val="0"/>
            <c:showVal val="0"/>
            <c:showCatName val="0"/>
            <c:showSerName val="0"/>
            <c:showPercent val="1"/>
            <c:showBubbleSize val="1"/>
            <c:separator>
</c:separator>
            <c:showLeaderLines val="0"/>
          </c:dLbls>
          <c:cat>
            <c:strRef>
              <c:f>categories</c:f>
              <c:strCache>
                <c:ptCount val="2"/>
                <c:pt idx="0">
                  <c:v>Žene</c:v>
                </c:pt>
                <c:pt idx="1">
                  <c:v>Muškarci</c:v>
                </c:pt>
              </c:strCache>
            </c:strRef>
          </c:cat>
          <c:val>
            <c:numRef>
              <c:f>0</c:f>
              <c:numCache>
                <c:formatCode>General</c:formatCode>
                <c:ptCount val="2"/>
                <c:pt idx="0">
                  <c:v>0.50360000000000005</c:v>
                </c:pt>
                <c:pt idx="1">
                  <c:v>0.49640000000000001</c:v>
                </c:pt>
              </c:numCache>
            </c:numRef>
          </c:val>
        </c:ser>
        <c:dLbls>
          <c:showLegendKey val="0"/>
          <c:showVal val="0"/>
          <c:showCatName val="0"/>
          <c:showSerName val="0"/>
          <c:showPercent val="0"/>
          <c:showBubbleSize val="0"/>
          <c:showLeaderLines val="0"/>
        </c:dLbls>
      </c:pie3DChart>
    </c:plotArea>
    <c:legend>
      <c:legendPos val="r"/>
      <c:overlay val="0"/>
      <c:spPr>
        <a:solidFill>
          <a:srgbClr val="F2F2F2">
            <a:alpha val="39000"/>
          </a:srgbClr>
        </a:solidFill>
        <a:ln>
          <a:noFill/>
        </a:ln>
      </c:spPr>
      <c:txPr>
        <a:bodyPr/>
        <a:lstStyle/>
        <a:p>
          <a:pPr>
            <a:defRPr sz="900" b="0" strike="noStrike" spc="-1">
              <a:solidFill>
                <a:srgbClr val="404040"/>
              </a:solidFill>
              <a:latin typeface="Calibri"/>
            </a:defRPr>
          </a:pPr>
          <a:endParaRPr lang="sr-Latn-RS"/>
        </a:p>
      </c:txPr>
    </c:legend>
    <c:plotVisOnly val="1"/>
    <c:dispBlanksAs val="zero"/>
    <c:showDLblsOverMax val="1"/>
  </c:chart>
  <c:spPr>
    <a:gradFill>
      <a:gsLst>
        <a:gs pos="0">
          <a:srgbClr val="FFFFFF"/>
        </a:gs>
        <a:gs pos="100000">
          <a:srgbClr val="BFBFBF"/>
        </a:gs>
      </a:gsLst>
      <a:path path="circle"/>
    </a:gradFill>
    <a:ln w="9360">
      <a:solidFill>
        <a:srgbClr val="BFBFBF"/>
      </a:solidFill>
      <a:round/>
    </a:ln>
  </c:spPr>
  <c:externalData r:id="rId1">
    <c:autoUpdate val="0"/>
  </c:externalData>
</c:chartSpace>
</file>

<file path=word/glossary/_rels/document.xml.rels><?xml version="1.0" encoding="UTF-8" standalone="yes"?>
<Relationships xmlns="http://schemas.openxmlformats.org/package/2006/relationships"><Relationship Id="rId3" Type="http://schemas.microsoft.com/office/2007/relationships/stylesWithEffects" Target="stylesWithEffect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webSettings" Target="webSettings.xml"/><Relationship Id="rId4" Type="http://schemas.openxmlformats.org/officeDocument/2006/relationships/settings" Target="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dviso OTF Std">
    <w:altName w:val="Times New Roman"/>
    <w:charset w:val="EE"/>
    <w:family w:val="roman"/>
    <w:pitch w:val="variable"/>
  </w:font>
  <w:font w:name="TimesNewRomanPSMT">
    <w:panose1 w:val="00000000000000000000"/>
    <w:charset w:val="00"/>
    <w:family w:val="roman"/>
    <w:notTrueType/>
    <w:pitch w:val="default"/>
  </w:font>
  <w:font w:name="Liberation Sans">
    <w:altName w:val="Arial"/>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CRO_Korinna">
    <w:charset w:val="EE"/>
    <w:family w:val="roman"/>
    <w:pitch w:val="variable"/>
  </w:font>
  <w:font w:name="Aldine401 BT">
    <w:charset w:val="EE"/>
    <w:family w:val="roman"/>
    <w:pitch w:val="variable"/>
  </w:font>
  <w:font w:name="ArialNarrow">
    <w:panose1 w:val="00000000000000000000"/>
    <w:charset w:val="00"/>
    <w:family w:val="roman"/>
    <w:notTrueType/>
    <w:pitch w:val="default"/>
  </w:font>
  <w:font w:name="TimesNewRoman">
    <w:panose1 w:val="00000000000000000000"/>
    <w:charset w:val="00"/>
    <w:family w:val="roman"/>
    <w:notTrueType/>
    <w:pitch w:val="default"/>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32A5E57"/>
    <w:multiLevelType w:val="multilevel"/>
    <w:tmpl w:val="15DAC792"/>
    <w:lvl w:ilvl="0">
      <w:start w:val="1"/>
      <w:numFmt w:val="decimal"/>
      <w:pStyle w:val="Naslov1"/>
      <w:lvlText w:val="%1."/>
      <w:lvlJc w:val="left"/>
      <w:pPr>
        <w:tabs>
          <w:tab w:val="num" w:pos="720"/>
        </w:tabs>
        <w:ind w:left="720" w:hanging="720"/>
      </w:pPr>
    </w:lvl>
    <w:lvl w:ilvl="1">
      <w:start w:val="1"/>
      <w:numFmt w:val="decimal"/>
      <w:pStyle w:val="Naslov2"/>
      <w:lvlText w:val="%2."/>
      <w:lvlJc w:val="left"/>
      <w:pPr>
        <w:tabs>
          <w:tab w:val="num" w:pos="1440"/>
        </w:tabs>
        <w:ind w:left="1440" w:hanging="720"/>
      </w:pPr>
    </w:lvl>
    <w:lvl w:ilvl="2">
      <w:start w:val="1"/>
      <w:numFmt w:val="decimal"/>
      <w:pStyle w:val="Naslov3"/>
      <w:lvlText w:val="%3."/>
      <w:lvlJc w:val="left"/>
      <w:pPr>
        <w:tabs>
          <w:tab w:val="num" w:pos="2160"/>
        </w:tabs>
        <w:ind w:left="2160" w:hanging="720"/>
      </w:pPr>
    </w:lvl>
    <w:lvl w:ilvl="3">
      <w:start w:val="1"/>
      <w:numFmt w:val="decimal"/>
      <w:pStyle w:val="Naslov4"/>
      <w:lvlText w:val="%4."/>
      <w:lvlJc w:val="left"/>
      <w:pPr>
        <w:tabs>
          <w:tab w:val="num" w:pos="2880"/>
        </w:tabs>
        <w:ind w:left="2880" w:hanging="720"/>
      </w:pPr>
    </w:lvl>
    <w:lvl w:ilvl="4">
      <w:start w:val="1"/>
      <w:numFmt w:val="decimal"/>
      <w:pStyle w:val="Naslov5"/>
      <w:lvlText w:val="%5."/>
      <w:lvlJc w:val="left"/>
      <w:pPr>
        <w:tabs>
          <w:tab w:val="num" w:pos="3600"/>
        </w:tabs>
        <w:ind w:left="3600" w:hanging="720"/>
      </w:pPr>
    </w:lvl>
    <w:lvl w:ilvl="5">
      <w:start w:val="1"/>
      <w:numFmt w:val="decimal"/>
      <w:pStyle w:val="Naslov6"/>
      <w:lvlText w:val="%6."/>
      <w:lvlJc w:val="left"/>
      <w:pPr>
        <w:tabs>
          <w:tab w:val="num" w:pos="4320"/>
        </w:tabs>
        <w:ind w:left="4320" w:hanging="720"/>
      </w:pPr>
    </w:lvl>
    <w:lvl w:ilvl="6">
      <w:start w:val="1"/>
      <w:numFmt w:val="decimal"/>
      <w:pStyle w:val="Naslov7"/>
      <w:lvlText w:val="%7."/>
      <w:lvlJc w:val="left"/>
      <w:pPr>
        <w:tabs>
          <w:tab w:val="num" w:pos="5040"/>
        </w:tabs>
        <w:ind w:left="5040" w:hanging="720"/>
      </w:pPr>
    </w:lvl>
    <w:lvl w:ilvl="7">
      <w:start w:val="1"/>
      <w:numFmt w:val="decimal"/>
      <w:pStyle w:val="Naslov8"/>
      <w:lvlText w:val="%8."/>
      <w:lvlJc w:val="left"/>
      <w:pPr>
        <w:tabs>
          <w:tab w:val="num" w:pos="5760"/>
        </w:tabs>
        <w:ind w:left="5760" w:hanging="720"/>
      </w:pPr>
    </w:lvl>
    <w:lvl w:ilvl="8">
      <w:start w:val="1"/>
      <w:numFmt w:val="decimal"/>
      <w:pStyle w:val="Naslov9"/>
      <w:lvlText w:val="%9."/>
      <w:lvlJc w:val="left"/>
      <w:pPr>
        <w:tabs>
          <w:tab w:val="num" w:pos="6480"/>
        </w:tabs>
        <w:ind w:left="6480" w:hanging="720"/>
      </w:p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08"/>
  <w:hyphenationZone w:val="425"/>
  <w:characterSpacingControl w:val="doNotCompress"/>
  <w:compat>
    <w:useFELayout/>
    <w:compatSetting w:name="compatibilityMode" w:uri="http://schemas.microsoft.com/office/word" w:val="12"/>
  </w:compat>
  <w:rsids>
    <w:rsidRoot w:val="00807DEA"/>
    <w:rsid w:val="000051BC"/>
    <w:rsid w:val="00026E6B"/>
    <w:rsid w:val="00027579"/>
    <w:rsid w:val="00033A26"/>
    <w:rsid w:val="000B32BD"/>
    <w:rsid w:val="000B5147"/>
    <w:rsid w:val="000C32F6"/>
    <w:rsid w:val="000C36E2"/>
    <w:rsid w:val="000C530C"/>
    <w:rsid w:val="000F3ECA"/>
    <w:rsid w:val="0010009D"/>
    <w:rsid w:val="00100325"/>
    <w:rsid w:val="00130A55"/>
    <w:rsid w:val="00163000"/>
    <w:rsid w:val="0016478A"/>
    <w:rsid w:val="00176E7E"/>
    <w:rsid w:val="00177517"/>
    <w:rsid w:val="0018077A"/>
    <w:rsid w:val="001960C8"/>
    <w:rsid w:val="001B04C4"/>
    <w:rsid w:val="001C2D4B"/>
    <w:rsid w:val="001F6D6F"/>
    <w:rsid w:val="0021250E"/>
    <w:rsid w:val="002238EB"/>
    <w:rsid w:val="0023095B"/>
    <w:rsid w:val="00235DF4"/>
    <w:rsid w:val="00240506"/>
    <w:rsid w:val="00263BA7"/>
    <w:rsid w:val="00267BAD"/>
    <w:rsid w:val="002712D4"/>
    <w:rsid w:val="002842EC"/>
    <w:rsid w:val="002D4220"/>
    <w:rsid w:val="002E5589"/>
    <w:rsid w:val="002F1621"/>
    <w:rsid w:val="002F2AC2"/>
    <w:rsid w:val="002F7AAF"/>
    <w:rsid w:val="00325020"/>
    <w:rsid w:val="00331100"/>
    <w:rsid w:val="00333799"/>
    <w:rsid w:val="003507CB"/>
    <w:rsid w:val="003528E4"/>
    <w:rsid w:val="00356BFB"/>
    <w:rsid w:val="00373011"/>
    <w:rsid w:val="003801C2"/>
    <w:rsid w:val="003B6672"/>
    <w:rsid w:val="00415D89"/>
    <w:rsid w:val="004253C2"/>
    <w:rsid w:val="00432F53"/>
    <w:rsid w:val="0044144A"/>
    <w:rsid w:val="00465472"/>
    <w:rsid w:val="00470117"/>
    <w:rsid w:val="00471828"/>
    <w:rsid w:val="004726A6"/>
    <w:rsid w:val="00474948"/>
    <w:rsid w:val="004A0A03"/>
    <w:rsid w:val="004A7989"/>
    <w:rsid w:val="004B14B9"/>
    <w:rsid w:val="004B47A9"/>
    <w:rsid w:val="004C0BD5"/>
    <w:rsid w:val="004D6D08"/>
    <w:rsid w:val="004D7920"/>
    <w:rsid w:val="004F21F4"/>
    <w:rsid w:val="004F5156"/>
    <w:rsid w:val="0050200F"/>
    <w:rsid w:val="00507918"/>
    <w:rsid w:val="005219CE"/>
    <w:rsid w:val="005272AE"/>
    <w:rsid w:val="00531D29"/>
    <w:rsid w:val="00534D91"/>
    <w:rsid w:val="00543EBB"/>
    <w:rsid w:val="00544B21"/>
    <w:rsid w:val="00552092"/>
    <w:rsid w:val="00557D47"/>
    <w:rsid w:val="00563CA0"/>
    <w:rsid w:val="00585288"/>
    <w:rsid w:val="00594791"/>
    <w:rsid w:val="005B0EAF"/>
    <w:rsid w:val="005C0580"/>
    <w:rsid w:val="005C1E78"/>
    <w:rsid w:val="00637B2C"/>
    <w:rsid w:val="00640622"/>
    <w:rsid w:val="0068178E"/>
    <w:rsid w:val="006968E5"/>
    <w:rsid w:val="006A1145"/>
    <w:rsid w:val="006B299F"/>
    <w:rsid w:val="006D0C3D"/>
    <w:rsid w:val="006D5544"/>
    <w:rsid w:val="006E003E"/>
    <w:rsid w:val="006E10DB"/>
    <w:rsid w:val="006E702D"/>
    <w:rsid w:val="00714EBF"/>
    <w:rsid w:val="00715AF8"/>
    <w:rsid w:val="0073217E"/>
    <w:rsid w:val="00740676"/>
    <w:rsid w:val="0074498D"/>
    <w:rsid w:val="0074587C"/>
    <w:rsid w:val="00751D9D"/>
    <w:rsid w:val="0078050F"/>
    <w:rsid w:val="00794CD9"/>
    <w:rsid w:val="007C4498"/>
    <w:rsid w:val="007D021C"/>
    <w:rsid w:val="007D2097"/>
    <w:rsid w:val="007E017E"/>
    <w:rsid w:val="007F3C82"/>
    <w:rsid w:val="007F66E7"/>
    <w:rsid w:val="00807DEA"/>
    <w:rsid w:val="00824794"/>
    <w:rsid w:val="00827F1A"/>
    <w:rsid w:val="00833904"/>
    <w:rsid w:val="00836337"/>
    <w:rsid w:val="00840F4D"/>
    <w:rsid w:val="00842C7D"/>
    <w:rsid w:val="00843296"/>
    <w:rsid w:val="00844E39"/>
    <w:rsid w:val="00845732"/>
    <w:rsid w:val="00850B21"/>
    <w:rsid w:val="00872EF1"/>
    <w:rsid w:val="008A7E95"/>
    <w:rsid w:val="008C7F7D"/>
    <w:rsid w:val="008E4FF8"/>
    <w:rsid w:val="008E5E74"/>
    <w:rsid w:val="008F5F63"/>
    <w:rsid w:val="009072E5"/>
    <w:rsid w:val="00907C6B"/>
    <w:rsid w:val="009163F5"/>
    <w:rsid w:val="0092202A"/>
    <w:rsid w:val="00922F2C"/>
    <w:rsid w:val="00942747"/>
    <w:rsid w:val="009475CD"/>
    <w:rsid w:val="009576DB"/>
    <w:rsid w:val="00960A56"/>
    <w:rsid w:val="00962CD8"/>
    <w:rsid w:val="009642F5"/>
    <w:rsid w:val="0098124A"/>
    <w:rsid w:val="0099265C"/>
    <w:rsid w:val="009B08D3"/>
    <w:rsid w:val="009D2887"/>
    <w:rsid w:val="00A11358"/>
    <w:rsid w:val="00A25909"/>
    <w:rsid w:val="00A36ED6"/>
    <w:rsid w:val="00A4066B"/>
    <w:rsid w:val="00A600D3"/>
    <w:rsid w:val="00A617AE"/>
    <w:rsid w:val="00A6485A"/>
    <w:rsid w:val="00A96F41"/>
    <w:rsid w:val="00AD107B"/>
    <w:rsid w:val="00AD165F"/>
    <w:rsid w:val="00AD2C13"/>
    <w:rsid w:val="00AF1AF9"/>
    <w:rsid w:val="00B13F4B"/>
    <w:rsid w:val="00B34823"/>
    <w:rsid w:val="00B4426A"/>
    <w:rsid w:val="00B608A1"/>
    <w:rsid w:val="00B97B60"/>
    <w:rsid w:val="00BD1A4F"/>
    <w:rsid w:val="00BD1BCD"/>
    <w:rsid w:val="00BD4EDF"/>
    <w:rsid w:val="00C2707D"/>
    <w:rsid w:val="00C3450F"/>
    <w:rsid w:val="00C42AB5"/>
    <w:rsid w:val="00C66CD2"/>
    <w:rsid w:val="00C85D4E"/>
    <w:rsid w:val="00C8635D"/>
    <w:rsid w:val="00C949F8"/>
    <w:rsid w:val="00CA630C"/>
    <w:rsid w:val="00CD2819"/>
    <w:rsid w:val="00CE6519"/>
    <w:rsid w:val="00D0216C"/>
    <w:rsid w:val="00D15074"/>
    <w:rsid w:val="00D20C20"/>
    <w:rsid w:val="00D21AB7"/>
    <w:rsid w:val="00D25BC9"/>
    <w:rsid w:val="00D26A17"/>
    <w:rsid w:val="00D33E70"/>
    <w:rsid w:val="00D37D8D"/>
    <w:rsid w:val="00D65644"/>
    <w:rsid w:val="00D661FD"/>
    <w:rsid w:val="00D741A0"/>
    <w:rsid w:val="00DC42A5"/>
    <w:rsid w:val="00DD475D"/>
    <w:rsid w:val="00DD50DD"/>
    <w:rsid w:val="00DE141D"/>
    <w:rsid w:val="00DF3054"/>
    <w:rsid w:val="00DF4DFF"/>
    <w:rsid w:val="00DF5E99"/>
    <w:rsid w:val="00E04EEA"/>
    <w:rsid w:val="00E13A04"/>
    <w:rsid w:val="00E258FD"/>
    <w:rsid w:val="00E27E14"/>
    <w:rsid w:val="00E366F6"/>
    <w:rsid w:val="00E44B78"/>
    <w:rsid w:val="00E455E6"/>
    <w:rsid w:val="00E4624A"/>
    <w:rsid w:val="00E50D9D"/>
    <w:rsid w:val="00E77FB6"/>
    <w:rsid w:val="00E819A9"/>
    <w:rsid w:val="00E91061"/>
    <w:rsid w:val="00EA5087"/>
    <w:rsid w:val="00EC78EC"/>
    <w:rsid w:val="00ED602F"/>
    <w:rsid w:val="00EE039C"/>
    <w:rsid w:val="00EE2EF9"/>
    <w:rsid w:val="00EF2A8E"/>
    <w:rsid w:val="00EF4A4A"/>
    <w:rsid w:val="00EF5A76"/>
    <w:rsid w:val="00F203C8"/>
    <w:rsid w:val="00F20DE1"/>
    <w:rsid w:val="00F31867"/>
    <w:rsid w:val="00F32C14"/>
    <w:rsid w:val="00F41479"/>
    <w:rsid w:val="00F56A59"/>
    <w:rsid w:val="00F637B9"/>
    <w:rsid w:val="00F67BA5"/>
    <w:rsid w:val="00F73D2E"/>
    <w:rsid w:val="00F97408"/>
    <w:rsid w:val="00FB40F0"/>
    <w:rsid w:val="00FB46CB"/>
    <w:rsid w:val="00FC648E"/>
    <w:rsid w:val="00FD5A88"/>
    <w:rsid w:val="00FF23C7"/>
  </w:rsids>
  <m:mathPr>
    <m:mathFont m:val="Cambria Math"/>
    <m:brkBin m:val="before"/>
    <m:brkBinSub m:val="--"/>
    <m:smallFrac/>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2747"/>
  </w:style>
  <w:style w:type="paragraph" w:styleId="Naslov1">
    <w:name w:val="heading 1"/>
    <w:basedOn w:val="Normal"/>
    <w:next w:val="Normal"/>
    <w:link w:val="Naslov1Char"/>
    <w:autoRedefine/>
    <w:rsid w:val="00942747"/>
    <w:pPr>
      <w:keepNext/>
      <w:keepLines/>
      <w:numPr>
        <w:numId w:val="1"/>
      </w:numPr>
      <w:spacing w:before="240" w:line="276" w:lineRule="auto"/>
      <w:jc w:val="both"/>
      <w:outlineLvl w:val="0"/>
    </w:pPr>
    <w:rPr>
      <w:rFonts w:ascii="Adviso OTF Std" w:eastAsiaTheme="majorEastAsia" w:hAnsi="Adviso OTF Std" w:cstheme="majorBidi"/>
      <w:b/>
      <w:sz w:val="36"/>
      <w:szCs w:val="32"/>
      <w:lang w:eastAsia="en-US"/>
    </w:rPr>
  </w:style>
  <w:style w:type="paragraph" w:styleId="Naslov2">
    <w:name w:val="heading 2"/>
    <w:basedOn w:val="Normal"/>
    <w:next w:val="Normal"/>
    <w:link w:val="Naslov2Char"/>
    <w:autoRedefine/>
    <w:qFormat/>
    <w:rsid w:val="00942747"/>
    <w:pPr>
      <w:keepNext/>
      <w:numPr>
        <w:ilvl w:val="1"/>
        <w:numId w:val="1"/>
      </w:numPr>
      <w:spacing w:before="80" w:line="276" w:lineRule="auto"/>
      <w:jc w:val="both"/>
      <w:outlineLvl w:val="1"/>
    </w:pPr>
    <w:rPr>
      <w:rFonts w:ascii="Adviso OTF Std" w:eastAsia="Times New Roman" w:hAnsi="Adviso OTF Std" w:cs="Arial"/>
      <w:bCs/>
      <w:color w:val="54883D"/>
      <w:sz w:val="32"/>
      <w:szCs w:val="24"/>
      <w:lang w:eastAsia="en-US"/>
    </w:rPr>
  </w:style>
  <w:style w:type="paragraph" w:styleId="Naslov3">
    <w:name w:val="heading 3"/>
    <w:basedOn w:val="Normal"/>
    <w:next w:val="Normal"/>
    <w:link w:val="Naslov3Char"/>
    <w:autoRedefine/>
    <w:rsid w:val="00942747"/>
    <w:pPr>
      <w:keepNext/>
      <w:keepLines/>
      <w:numPr>
        <w:ilvl w:val="2"/>
        <w:numId w:val="1"/>
      </w:numPr>
      <w:spacing w:before="40" w:line="276" w:lineRule="auto"/>
      <w:jc w:val="both"/>
      <w:outlineLvl w:val="2"/>
    </w:pPr>
    <w:rPr>
      <w:rFonts w:ascii="Adviso OTF Std" w:eastAsia="Times New Roman" w:hAnsi="Adviso OTF Std" w:cstheme="majorBidi"/>
      <w:color w:val="54883D"/>
      <w:sz w:val="28"/>
      <w:szCs w:val="24"/>
      <w:lang w:eastAsia="en-US" w:bidi="en-US"/>
    </w:rPr>
  </w:style>
  <w:style w:type="paragraph" w:styleId="Naslov4">
    <w:name w:val="heading 4"/>
    <w:basedOn w:val="Normal"/>
    <w:next w:val="Normal"/>
    <w:link w:val="Naslov4Char"/>
    <w:autoRedefine/>
    <w:rsid w:val="00942747"/>
    <w:pPr>
      <w:keepNext/>
      <w:keepLines/>
      <w:numPr>
        <w:ilvl w:val="3"/>
        <w:numId w:val="1"/>
      </w:numPr>
      <w:spacing w:before="40" w:line="276" w:lineRule="auto"/>
      <w:jc w:val="both"/>
      <w:outlineLvl w:val="3"/>
    </w:pPr>
    <w:rPr>
      <w:rFonts w:ascii="Adviso OTF Std" w:eastAsiaTheme="majorEastAsia" w:hAnsi="Adviso OTF Std" w:cstheme="majorBidi"/>
      <w:i/>
      <w:iCs/>
      <w:color w:val="54883D"/>
      <w:szCs w:val="24"/>
      <w:lang w:eastAsia="en-US"/>
    </w:rPr>
  </w:style>
  <w:style w:type="paragraph" w:styleId="Naslov5">
    <w:name w:val="heading 5"/>
    <w:basedOn w:val="Normal"/>
    <w:next w:val="Normal"/>
    <w:link w:val="Naslov5Char"/>
    <w:autoRedefine/>
    <w:rsid w:val="00942747"/>
    <w:pPr>
      <w:keepNext/>
      <w:keepLines/>
      <w:numPr>
        <w:ilvl w:val="4"/>
        <w:numId w:val="1"/>
      </w:numPr>
      <w:spacing w:before="40" w:line="276" w:lineRule="auto"/>
      <w:jc w:val="both"/>
      <w:outlineLvl w:val="4"/>
    </w:pPr>
    <w:rPr>
      <w:rFonts w:ascii="Adviso OTF Std" w:eastAsiaTheme="majorEastAsia" w:hAnsi="Adviso OTF Std" w:cstheme="majorBidi"/>
      <w:color w:val="54883D"/>
      <w:szCs w:val="24"/>
      <w:lang w:eastAsia="en-US"/>
    </w:rPr>
  </w:style>
  <w:style w:type="paragraph" w:styleId="Naslov6">
    <w:name w:val="heading 6"/>
    <w:basedOn w:val="Normal"/>
    <w:next w:val="Normal"/>
    <w:link w:val="Naslov6Char"/>
    <w:autoRedefine/>
    <w:rsid w:val="00942747"/>
    <w:pPr>
      <w:keepNext/>
      <w:keepLines/>
      <w:numPr>
        <w:ilvl w:val="5"/>
        <w:numId w:val="1"/>
      </w:numPr>
      <w:spacing w:before="40" w:line="276" w:lineRule="auto"/>
      <w:jc w:val="both"/>
      <w:outlineLvl w:val="5"/>
    </w:pPr>
    <w:rPr>
      <w:rFonts w:ascii="Adviso OTF Std" w:eastAsiaTheme="majorEastAsia" w:hAnsi="Adviso OTF Std" w:cstheme="majorBidi"/>
      <w:color w:val="54883D"/>
      <w:szCs w:val="24"/>
      <w:lang w:eastAsia="en-US"/>
    </w:rPr>
  </w:style>
  <w:style w:type="paragraph" w:styleId="Naslov7">
    <w:name w:val="heading 7"/>
    <w:basedOn w:val="Normal"/>
    <w:next w:val="Normal"/>
    <w:link w:val="Naslov7Char"/>
    <w:autoRedefine/>
    <w:semiHidden/>
    <w:unhideWhenUsed/>
    <w:rsid w:val="00942747"/>
    <w:pPr>
      <w:keepNext/>
      <w:keepLines/>
      <w:numPr>
        <w:ilvl w:val="6"/>
        <w:numId w:val="1"/>
      </w:numPr>
      <w:spacing w:before="40" w:line="276" w:lineRule="auto"/>
      <w:jc w:val="both"/>
      <w:outlineLvl w:val="6"/>
    </w:pPr>
    <w:rPr>
      <w:rFonts w:ascii="Adviso OTF Std" w:eastAsiaTheme="majorEastAsia" w:hAnsi="Adviso OTF Std" w:cstheme="majorBidi"/>
      <w:i/>
      <w:iCs/>
      <w:color w:val="54883D"/>
      <w:szCs w:val="24"/>
      <w:lang w:eastAsia="en-US"/>
    </w:rPr>
  </w:style>
  <w:style w:type="paragraph" w:styleId="Naslov8">
    <w:name w:val="heading 8"/>
    <w:basedOn w:val="Normal"/>
    <w:next w:val="Normal"/>
    <w:link w:val="Naslov8Char"/>
    <w:uiPriority w:val="9"/>
    <w:semiHidden/>
    <w:unhideWhenUsed/>
    <w:qFormat/>
    <w:rsid w:val="00942747"/>
    <w:pPr>
      <w:keepNext/>
      <w:keepLines/>
      <w:numPr>
        <w:ilvl w:val="7"/>
        <w:numId w:val="1"/>
      </w:numPr>
      <w:spacing w:before="40" w:after="0" w:line="276" w:lineRule="auto"/>
      <w:jc w:val="both"/>
      <w:outlineLvl w:val="7"/>
    </w:pPr>
    <w:rPr>
      <w:rFonts w:asciiTheme="majorHAnsi" w:eastAsiaTheme="majorEastAsia" w:hAnsiTheme="majorHAnsi" w:cstheme="majorBidi"/>
      <w:color w:val="272727" w:themeColor="text1" w:themeTint="D8"/>
      <w:sz w:val="21"/>
      <w:szCs w:val="21"/>
      <w:lang w:eastAsia="en-US"/>
    </w:rPr>
  </w:style>
  <w:style w:type="paragraph" w:styleId="Naslov9">
    <w:name w:val="heading 9"/>
    <w:basedOn w:val="Normal"/>
    <w:next w:val="Normal"/>
    <w:link w:val="Naslov9Char"/>
    <w:uiPriority w:val="9"/>
    <w:semiHidden/>
    <w:unhideWhenUsed/>
    <w:qFormat/>
    <w:rsid w:val="00942747"/>
    <w:pPr>
      <w:keepNext/>
      <w:keepLines/>
      <w:numPr>
        <w:ilvl w:val="8"/>
        <w:numId w:val="1"/>
      </w:numPr>
      <w:spacing w:before="40" w:after="0" w:line="276" w:lineRule="auto"/>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Tekstrezerviranogmjesta">
    <w:name w:val="Placeholder Text"/>
    <w:basedOn w:val="Zadanifontodlomka"/>
    <w:rsid w:val="000B5147"/>
    <w:rPr>
      <w:rFonts w:ascii="Adviso OTF Std" w:hAnsi="Adviso OTF Std"/>
      <w:color w:val="808080"/>
    </w:rPr>
  </w:style>
  <w:style w:type="paragraph" w:customStyle="1" w:styleId="5E0C904F292F411B8E9FE713A172E53E">
    <w:name w:val="5E0C904F292F411B8E9FE713A172E53E"/>
    <w:rsid w:val="00942747"/>
  </w:style>
  <w:style w:type="character" w:customStyle="1" w:styleId="Naslov1Char">
    <w:name w:val="Naslov 1 Char"/>
    <w:basedOn w:val="Zadanifontodlomka"/>
    <w:link w:val="Naslov1"/>
    <w:rsid w:val="00942747"/>
    <w:rPr>
      <w:rFonts w:ascii="Adviso OTF Std" w:eastAsiaTheme="majorEastAsia" w:hAnsi="Adviso OTF Std" w:cstheme="majorBidi"/>
      <w:b/>
      <w:sz w:val="36"/>
      <w:szCs w:val="32"/>
      <w:lang w:eastAsia="en-US"/>
    </w:rPr>
  </w:style>
  <w:style w:type="character" w:customStyle="1" w:styleId="Naslov2Char">
    <w:name w:val="Naslov 2 Char"/>
    <w:basedOn w:val="Zadanifontodlomka"/>
    <w:link w:val="Naslov2"/>
    <w:rsid w:val="00942747"/>
    <w:rPr>
      <w:rFonts w:ascii="Adviso OTF Std" w:eastAsia="Times New Roman" w:hAnsi="Adviso OTF Std" w:cs="Arial"/>
      <w:bCs/>
      <w:color w:val="54883D"/>
      <w:sz w:val="32"/>
      <w:szCs w:val="24"/>
      <w:lang w:eastAsia="en-US"/>
    </w:rPr>
  </w:style>
  <w:style w:type="character" w:customStyle="1" w:styleId="Naslov3Char">
    <w:name w:val="Naslov 3 Char"/>
    <w:basedOn w:val="Zadanifontodlomka"/>
    <w:link w:val="Naslov3"/>
    <w:rsid w:val="00942747"/>
    <w:rPr>
      <w:rFonts w:ascii="Adviso OTF Std" w:eastAsia="Times New Roman" w:hAnsi="Adviso OTF Std" w:cstheme="majorBidi"/>
      <w:color w:val="54883D"/>
      <w:sz w:val="28"/>
      <w:szCs w:val="24"/>
      <w:lang w:eastAsia="en-US" w:bidi="en-US"/>
    </w:rPr>
  </w:style>
  <w:style w:type="character" w:customStyle="1" w:styleId="Naslov4Char">
    <w:name w:val="Naslov 4 Char"/>
    <w:basedOn w:val="Zadanifontodlomka"/>
    <w:link w:val="Naslov4"/>
    <w:rsid w:val="00942747"/>
    <w:rPr>
      <w:rFonts w:ascii="Adviso OTF Std" w:eastAsiaTheme="majorEastAsia" w:hAnsi="Adviso OTF Std" w:cstheme="majorBidi"/>
      <w:i/>
      <w:iCs/>
      <w:color w:val="54883D"/>
      <w:szCs w:val="24"/>
      <w:lang w:eastAsia="en-US"/>
    </w:rPr>
  </w:style>
  <w:style w:type="character" w:customStyle="1" w:styleId="Naslov5Char">
    <w:name w:val="Naslov 5 Char"/>
    <w:basedOn w:val="Zadanifontodlomka"/>
    <w:link w:val="Naslov5"/>
    <w:rsid w:val="00942747"/>
    <w:rPr>
      <w:rFonts w:ascii="Adviso OTF Std" w:eastAsiaTheme="majorEastAsia" w:hAnsi="Adviso OTF Std" w:cstheme="majorBidi"/>
      <w:color w:val="54883D"/>
      <w:szCs w:val="24"/>
      <w:lang w:eastAsia="en-US"/>
    </w:rPr>
  </w:style>
  <w:style w:type="character" w:customStyle="1" w:styleId="Naslov6Char">
    <w:name w:val="Naslov 6 Char"/>
    <w:basedOn w:val="Zadanifontodlomka"/>
    <w:link w:val="Naslov6"/>
    <w:rsid w:val="00942747"/>
    <w:rPr>
      <w:rFonts w:ascii="Adviso OTF Std" w:eastAsiaTheme="majorEastAsia" w:hAnsi="Adviso OTF Std" w:cstheme="majorBidi"/>
      <w:color w:val="54883D"/>
      <w:szCs w:val="24"/>
      <w:lang w:eastAsia="en-US"/>
    </w:rPr>
  </w:style>
  <w:style w:type="character" w:customStyle="1" w:styleId="Naslov7Char">
    <w:name w:val="Naslov 7 Char"/>
    <w:basedOn w:val="Zadanifontodlomka"/>
    <w:link w:val="Naslov7"/>
    <w:semiHidden/>
    <w:rsid w:val="00942747"/>
    <w:rPr>
      <w:rFonts w:ascii="Adviso OTF Std" w:eastAsiaTheme="majorEastAsia" w:hAnsi="Adviso OTF Std" w:cstheme="majorBidi"/>
      <w:i/>
      <w:iCs/>
      <w:color w:val="54883D"/>
      <w:szCs w:val="24"/>
      <w:lang w:eastAsia="en-US"/>
    </w:rPr>
  </w:style>
  <w:style w:type="character" w:customStyle="1" w:styleId="Naslov8Char">
    <w:name w:val="Naslov 8 Char"/>
    <w:basedOn w:val="Zadanifontodlomka"/>
    <w:link w:val="Naslov8"/>
    <w:uiPriority w:val="9"/>
    <w:semiHidden/>
    <w:rsid w:val="00942747"/>
    <w:rPr>
      <w:rFonts w:asciiTheme="majorHAnsi" w:eastAsiaTheme="majorEastAsia" w:hAnsiTheme="majorHAnsi" w:cstheme="majorBidi"/>
      <w:color w:val="272727" w:themeColor="text1" w:themeTint="D8"/>
      <w:sz w:val="21"/>
      <w:szCs w:val="21"/>
      <w:lang w:eastAsia="en-US"/>
    </w:rPr>
  </w:style>
  <w:style w:type="character" w:customStyle="1" w:styleId="Naslov9Char">
    <w:name w:val="Naslov 9 Char"/>
    <w:basedOn w:val="Zadanifontodlomka"/>
    <w:link w:val="Naslov9"/>
    <w:uiPriority w:val="9"/>
    <w:semiHidden/>
    <w:rsid w:val="00942747"/>
    <w:rPr>
      <w:rFonts w:asciiTheme="majorHAnsi" w:eastAsiaTheme="majorEastAsia" w:hAnsiTheme="majorHAnsi" w:cstheme="majorBidi"/>
      <w:i/>
      <w:iCs/>
      <w:color w:val="272727" w:themeColor="text1" w:themeTint="D8"/>
      <w:sz w:val="21"/>
      <w:szCs w:val="21"/>
      <w:lang w:eastAsia="en-US"/>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r-HR" w:eastAsia="hr-H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F5D72A-F4E4-42E0-8A48-5A8403FA29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207</Pages>
  <Words>47938</Words>
  <Characters>273251</Characters>
  <Application>Microsoft Office Word</Application>
  <DocSecurity>0</DocSecurity>
  <Lines>2277</Lines>
  <Paragraphs>641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320548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Korisnik5-DLS</dc:creator>
  <cp:lastModifiedBy>Jasmina Ibrišimović</cp:lastModifiedBy>
  <cp:revision>2</cp:revision>
  <cp:lastPrinted>2021-06-15T08:36:00Z</cp:lastPrinted>
  <dcterms:created xsi:type="dcterms:W3CDTF">2023-06-26T07:30:00Z</dcterms:created>
  <dcterms:modified xsi:type="dcterms:W3CDTF">2023-06-26T07:30:00Z</dcterms:modified>
  <dc:language>hr-HR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