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0B74" w14:textId="77777777" w:rsidR="00A0173F" w:rsidRDefault="00A0173F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13858" w:type="dxa"/>
        <w:jc w:val="center"/>
        <w:tblLook w:val="04A0" w:firstRow="1" w:lastRow="0" w:firstColumn="1" w:lastColumn="0" w:noHBand="0" w:noVBand="1"/>
      </w:tblPr>
      <w:tblGrid>
        <w:gridCol w:w="945"/>
        <w:gridCol w:w="1801"/>
        <w:gridCol w:w="3379"/>
        <w:gridCol w:w="4627"/>
        <w:gridCol w:w="3106"/>
      </w:tblGrid>
      <w:tr w:rsidR="00A0173F" w14:paraId="6D817D5B" w14:textId="77777777">
        <w:trPr>
          <w:jc w:val="center"/>
        </w:trPr>
        <w:tc>
          <w:tcPr>
            <w:tcW w:w="945" w:type="dxa"/>
            <w:tcBorders>
              <w:right w:val="nil"/>
            </w:tcBorders>
            <w:shd w:val="clear" w:color="auto" w:fill="auto"/>
          </w:tcPr>
          <w:p w14:paraId="3E6B409A" w14:textId="77777777" w:rsidR="00A0173F" w:rsidRDefault="00A0173F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</w:pPr>
          </w:p>
        </w:tc>
        <w:tc>
          <w:tcPr>
            <w:tcW w:w="12913" w:type="dxa"/>
            <w:gridSpan w:val="4"/>
            <w:shd w:val="clear" w:color="auto" w:fill="auto"/>
          </w:tcPr>
          <w:p w14:paraId="339A1728" w14:textId="77777777" w:rsidR="00A0173F" w:rsidRDefault="00B40C8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  <w:u w:val="single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 xml:space="preserve">IZVJEŠĆE SA PROVEDENOG JAVNOG SAVJETOVANJA NA </w:t>
            </w:r>
          </w:p>
          <w:p w14:paraId="397730C0" w14:textId="77777777" w:rsidR="00A0173F" w:rsidRDefault="00B40C81">
            <w:pPr>
              <w:suppressAutoHyphens/>
              <w:spacing w:after="0" w:line="240" w:lineRule="auto"/>
              <w:jc w:val="center"/>
            </w:pPr>
            <w:r>
              <w:rPr>
                <w:rFonts w:eastAsia="Calibri" w:cstheme="minorHAnsi"/>
                <w:b/>
                <w:spacing w:val="-3"/>
                <w:sz w:val="24"/>
                <w:szCs w:val="24"/>
                <w:lang w:eastAsia="hr-HR"/>
              </w:rPr>
              <w:t>ODLUKU O UREĐENJU PROMETA NA PODRUČJU GRADA MALOG LOŠINJA</w:t>
            </w:r>
          </w:p>
          <w:p w14:paraId="2C95F9B6" w14:textId="77777777" w:rsidR="00A0173F" w:rsidRDefault="00B40C81">
            <w:pPr>
              <w:suppressAutoHyphens/>
              <w:spacing w:after="0" w:line="240" w:lineRule="auto"/>
              <w:jc w:val="center"/>
            </w:pPr>
            <w:bookmarkStart w:id="0" w:name="__DdeLink__89_2235678577"/>
            <w:r>
              <w:rPr>
                <w:rFonts w:eastAsia="Calibri" w:cstheme="minorHAnsi"/>
                <w:sz w:val="24"/>
                <w:szCs w:val="24"/>
                <w:lang w:eastAsia="hr-HR"/>
              </w:rPr>
              <w:t>(05. travnja do 04. svibnja 2022. godine)</w:t>
            </w:r>
            <w:bookmarkEnd w:id="0"/>
          </w:p>
          <w:p w14:paraId="10998B4B" w14:textId="77777777" w:rsidR="00A0173F" w:rsidRDefault="00A017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A0173F" w14:paraId="001ADD6D" w14:textId="77777777">
        <w:trPr>
          <w:jc w:val="center"/>
        </w:trPr>
        <w:tc>
          <w:tcPr>
            <w:tcW w:w="945" w:type="dxa"/>
            <w:tcBorders>
              <w:right w:val="nil"/>
            </w:tcBorders>
            <w:shd w:val="clear" w:color="auto" w:fill="auto"/>
          </w:tcPr>
          <w:p w14:paraId="1BB30658" w14:textId="77777777" w:rsidR="00A0173F" w:rsidRDefault="00B40C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Redni Broj:</w:t>
            </w:r>
          </w:p>
        </w:tc>
        <w:tc>
          <w:tcPr>
            <w:tcW w:w="1801" w:type="dxa"/>
            <w:shd w:val="clear" w:color="auto" w:fill="auto"/>
          </w:tcPr>
          <w:p w14:paraId="3E07223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Datum:</w:t>
            </w:r>
          </w:p>
        </w:tc>
        <w:tc>
          <w:tcPr>
            <w:tcW w:w="3379" w:type="dxa"/>
            <w:shd w:val="clear" w:color="auto" w:fill="auto"/>
          </w:tcPr>
          <w:p w14:paraId="32B8F71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Podnositelj:</w:t>
            </w:r>
          </w:p>
        </w:tc>
        <w:tc>
          <w:tcPr>
            <w:tcW w:w="4627" w:type="dxa"/>
            <w:shd w:val="clear" w:color="auto" w:fill="auto"/>
          </w:tcPr>
          <w:p w14:paraId="7CED10E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Primjedbe:</w:t>
            </w:r>
          </w:p>
        </w:tc>
        <w:tc>
          <w:tcPr>
            <w:tcW w:w="3106" w:type="dxa"/>
            <w:shd w:val="clear" w:color="auto" w:fill="auto"/>
          </w:tcPr>
          <w:p w14:paraId="2DADD03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Odgovor/Obrazloženje:</w:t>
            </w:r>
          </w:p>
        </w:tc>
      </w:tr>
      <w:tr w:rsidR="00A0173F" w14:paraId="3D2443C0" w14:textId="77777777">
        <w:trPr>
          <w:jc w:val="center"/>
        </w:trPr>
        <w:tc>
          <w:tcPr>
            <w:tcW w:w="945" w:type="dxa"/>
            <w:tcBorders>
              <w:right w:val="nil"/>
            </w:tcBorders>
            <w:shd w:val="clear" w:color="auto" w:fill="auto"/>
          </w:tcPr>
          <w:p w14:paraId="21AD5E97" w14:textId="77777777" w:rsidR="00A0173F" w:rsidRDefault="00B40C81">
            <w:pPr>
              <w:spacing w:after="0" w:line="240" w:lineRule="auto"/>
            </w:pPr>
            <w:r>
              <w:t>1.</w:t>
            </w:r>
          </w:p>
        </w:tc>
        <w:tc>
          <w:tcPr>
            <w:tcW w:w="1801" w:type="dxa"/>
            <w:shd w:val="clear" w:color="auto" w:fill="auto"/>
          </w:tcPr>
          <w:p w14:paraId="13127EF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shd w:val="clear" w:color="auto" w:fill="auto"/>
          </w:tcPr>
          <w:p w14:paraId="479E26E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Glen Fuks</w:t>
            </w:r>
          </w:p>
          <w:p w14:paraId="1947E701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ascii="Calibri;sans-serif" w:hAnsi="Calibri;sans-serif"/>
                <w:color w:val="000000"/>
              </w:rPr>
              <w:t>transfer.nerezine@gmail.com)</w:t>
            </w:r>
          </w:p>
        </w:tc>
        <w:tc>
          <w:tcPr>
            <w:tcW w:w="4627" w:type="dxa"/>
            <w:shd w:val="clear" w:color="auto" w:fill="auto"/>
          </w:tcPr>
          <w:p w14:paraId="7675DED6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22F2B0E7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53795CD1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71EAA207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  <w:color w:val="000000"/>
              </w:rPr>
            </w:pPr>
          </w:p>
          <w:p w14:paraId="5156DA28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</w:rPr>
              <w:lastRenderedPageBreak/>
              <w:t xml:space="preserve">Parkirna mjesta za obavljanje taxi djelatnosti potrebno je preciznije definirati odlukom gdje se nalaze, a obzirom da je isto definirano u dogovoru sa taksi prijevoznicima. </w:t>
            </w:r>
          </w:p>
          <w:p w14:paraId="0BFC14DD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</w:rPr>
              <w:t>Odlukom nije samo bitno okvirno navesti već precizirati kako nakon usvajanja odluke ne bi bilo drugačijeg iscrtavanja taksi parkirnih mjesta.</w:t>
            </w:r>
          </w:p>
          <w:p w14:paraId="60B91E14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  <w:p w14:paraId="38C3BD28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483C83D8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</w:rPr>
            </w:pPr>
          </w:p>
        </w:tc>
        <w:tc>
          <w:tcPr>
            <w:tcW w:w="3106" w:type="dxa"/>
            <w:shd w:val="clear" w:color="auto" w:fill="auto"/>
          </w:tcPr>
          <w:p w14:paraId="549AC6E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50CDE9D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0691512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0FE2E97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0F221DD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2AE09F9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Malom Lošinju- dva na Dubovici, četiri na Rivi lošinjskih kapetana u blizini Vele Rive, pet u ulici Braće  Ivana i Stjepana Vidulića ( od ulaska u garažu prema zgradi Opskrbnog centra), dva na Trgu RH, jedno ispred </w:t>
            </w:r>
            <w:r>
              <w:rPr>
                <w:rFonts w:cstheme="minorHAnsi"/>
                <w:sz w:val="24"/>
                <w:szCs w:val="24"/>
              </w:rPr>
              <w:lastRenderedPageBreak/>
              <w:t>trgovine Lidl na Bočacu, dva u ljetnoj sezoni u ul. Lošinjskih brodograditelja kod Talijanskog vrtića, dva u blizini autobusnog stajališta.</w:t>
            </w:r>
          </w:p>
          <w:p w14:paraId="065865A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0840E88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4329F1A8" w14:textId="77777777">
        <w:trPr>
          <w:jc w:val="center"/>
        </w:trPr>
        <w:tc>
          <w:tcPr>
            <w:tcW w:w="945" w:type="dxa"/>
            <w:tcBorders>
              <w:right w:val="nil"/>
            </w:tcBorders>
            <w:shd w:val="clear" w:color="auto" w:fill="auto"/>
          </w:tcPr>
          <w:p w14:paraId="3348010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01" w:type="dxa"/>
            <w:shd w:val="clear" w:color="auto" w:fill="auto"/>
          </w:tcPr>
          <w:p w14:paraId="6C5B5E8C" w14:textId="77777777" w:rsidR="00A0173F" w:rsidRDefault="00A017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847233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  <w:p w14:paraId="2C1F90BC" w14:textId="77777777" w:rsidR="00A0173F" w:rsidRDefault="00A017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9" w:type="dxa"/>
            <w:shd w:val="clear" w:color="auto" w:fill="auto"/>
          </w:tcPr>
          <w:p w14:paraId="5200514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Jasmina Fuks</w:t>
            </w:r>
          </w:p>
          <w:p w14:paraId="713A76C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(jasmina.ibrisimovic@gmail.com)</w:t>
            </w:r>
          </w:p>
          <w:p w14:paraId="6AEC2275" w14:textId="77777777" w:rsidR="00A0173F" w:rsidRDefault="00A017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627" w:type="dxa"/>
            <w:shd w:val="clear" w:color="auto" w:fill="auto"/>
          </w:tcPr>
          <w:p w14:paraId="7FF2E51A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244C075D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13C34A70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 xml:space="preserve"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</w:t>
            </w:r>
            <w:r>
              <w:rPr>
                <w:rFonts w:eastAsia="Calibri" w:cs="Tahoma"/>
                <w:color w:val="000000"/>
              </w:rPr>
              <w:lastRenderedPageBreak/>
              <w:t>Domi, četiri u ulici Priko (dva na početku – ispred trgovine Bipa I dva oko broja 30), jedno ispred trgovine Lidl na Bočacu, dva u ulici Lošinjskih brodograditelja kod Talijanskog vrtića.</w:t>
            </w:r>
          </w:p>
          <w:p w14:paraId="460B6163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3DA3DD5E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52704726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38665B24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shd w:val="clear" w:color="auto" w:fill="auto"/>
          </w:tcPr>
          <w:p w14:paraId="49C341D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62C236D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4FBFA0F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058FE88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7CD9062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2CCD97A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Malom Lošinju- dva na Dubovici, četiri na Rivi lošinjskih kapetana u blizini </w:t>
            </w:r>
            <w:r>
              <w:rPr>
                <w:rFonts w:cstheme="minorHAnsi"/>
                <w:sz w:val="24"/>
                <w:szCs w:val="24"/>
              </w:rPr>
              <w:lastRenderedPageBreak/>
              <w:t>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663EBB6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0FA835F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71D6171F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3B28A016" w14:textId="77777777" w:rsidR="00A0173F" w:rsidRDefault="00B40C81">
            <w:pPr>
              <w:spacing w:after="0" w:line="240" w:lineRule="auto"/>
            </w:pPr>
            <w:r>
              <w:lastRenderedPageBreak/>
              <w:t>3.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20922E9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2312B625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EDMAR d.o.o.</w:t>
            </w:r>
          </w:p>
          <w:p w14:paraId="1FE2680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(grisa_kamalic@yahoo.com)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4BBCE1E7" w14:textId="77777777" w:rsidR="00A0173F" w:rsidRDefault="00A0173F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8333835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50000233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2B613A2B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 xml:space="preserve">Prijedlog: Za poslove obavljanja taxi djelatnosti osiguravaju se parkirna mjesta i to: dva na autobusnoj stanici u Malom Lošinju i dva na </w:t>
            </w:r>
            <w:r>
              <w:rPr>
                <w:rFonts w:eastAsia="Calibri" w:cs="Tahoma"/>
                <w:color w:val="000000"/>
              </w:rPr>
              <w:lastRenderedPageBreak/>
              <w:t>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4C013CB7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6683220D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4FBE4A4D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5235564C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  <w:p w14:paraId="633C71C8" w14:textId="77777777" w:rsidR="00A0173F" w:rsidRDefault="00A0173F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0E5ED22" w14:textId="77777777" w:rsidR="00A0173F" w:rsidRDefault="00A0173F">
            <w:pPr>
              <w:spacing w:after="0" w:line="240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2FC7054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012212B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1333D5F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46A4FB8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4252BE0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 Velom Lošinju – dva u blizini gornjeg parkirališta,</w:t>
            </w:r>
          </w:p>
          <w:p w14:paraId="7B51E3D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0F9FB21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7C80BCC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7FD45893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3D41E664" w14:textId="77777777" w:rsidR="00A0173F" w:rsidRDefault="00B40C81">
            <w:pPr>
              <w:spacing w:after="0" w:line="240" w:lineRule="auto"/>
            </w:pPr>
            <w:r>
              <w:lastRenderedPageBreak/>
              <w:t>4.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243053F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  <w:p w14:paraId="6D12B33A" w14:textId="77777777" w:rsidR="00A0173F" w:rsidRDefault="00A017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1729942" w14:textId="77777777" w:rsidR="00A0173F" w:rsidRDefault="00A0173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246E1CB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UO EL PASO</w:t>
            </w:r>
          </w:p>
          <w:p w14:paraId="2F508AF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(elpaso.losinj@yahoo.com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3FF0466A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 xml:space="preserve"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</w:t>
            </w:r>
            <w:r>
              <w:rPr>
                <w:rFonts w:cstheme="minorHAnsi"/>
                <w:color w:val="000000"/>
              </w:rPr>
              <w:lastRenderedPageBreak/>
              <w:t>sezoni u ul. Lošinjskih brodograditelja kod Talijanskog vrtića.</w:t>
            </w:r>
          </w:p>
          <w:p w14:paraId="7FCA2B6E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09F11818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01361163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1245AD14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160D8EE4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212F8FC4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38AB269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18F50D0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Nakon usuglašavanja sa MUPom i izradi elaborata,a na zahtjev djelatnika koji </w:t>
            </w:r>
            <w:r>
              <w:rPr>
                <w:rFonts w:cstheme="minorHAnsi"/>
                <w:sz w:val="24"/>
                <w:szCs w:val="24"/>
              </w:rPr>
              <w:lastRenderedPageBreak/>
              <w:t>obavljaju djelatnost taksi prijevoza</w:t>
            </w:r>
          </w:p>
          <w:p w14:paraId="0C02436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4DE0892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39FB7D7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0009B46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0F596E7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74EE94E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7A81076C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1056FF9C" w14:textId="77777777" w:rsidR="00A0173F" w:rsidRDefault="00B40C81">
            <w:pPr>
              <w:spacing w:after="0" w:line="240" w:lineRule="auto"/>
            </w:pPr>
            <w:r>
              <w:lastRenderedPageBreak/>
              <w:t>5.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7498AF0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20808C7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Pamela Marjanović</w:t>
            </w:r>
          </w:p>
          <w:p w14:paraId="7E98BBAA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sz w:val="24"/>
                <w:szCs w:val="24"/>
              </w:rPr>
              <w:t>(</w:t>
            </w:r>
            <w:r>
              <w:rPr>
                <w:rFonts w:ascii="Calibri;sans-serif" w:hAnsi="Calibri;sans-serif"/>
                <w:color w:val="000000"/>
              </w:rPr>
              <w:t>nayalena39@gmail.com)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4464692F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 xml:space="preserve">Za poslove obavljanja taxi djelatnosti osiguravaju se parkirna mjesta i to: dva na autobusnoj stanici u Malom Lošinju i Velom Lošinju, dva u ulici Brače Vidulića, jedno ispred </w:t>
            </w:r>
            <w:r>
              <w:rPr>
                <w:rFonts w:cstheme="minorHAnsi"/>
                <w:color w:val="000000"/>
              </w:rPr>
              <w:lastRenderedPageBreak/>
              <w:t>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5B2416CD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128B9170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0F573CCC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20C4200C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1F0E4035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00C1EE8D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2AE93AA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507C626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Nakon usuglašavanja sa MUPom i izradi elaborata,a na zahtjev djelatnika koji obavljaju djelatnost taksi prijevoza</w:t>
            </w:r>
          </w:p>
          <w:p w14:paraId="4ED6E15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248EB9E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127E350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0EC4EED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340A6DE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0F27875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2B48EFC3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4306B81D" w14:textId="77777777" w:rsidR="00A0173F" w:rsidRDefault="00B40C81">
            <w:pPr>
              <w:spacing w:after="0" w:line="240" w:lineRule="auto"/>
            </w:pPr>
            <w:r>
              <w:lastRenderedPageBreak/>
              <w:t>6.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73D2105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5CCACC3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Gordana Lamešić</w:t>
            </w:r>
          </w:p>
          <w:p w14:paraId="6B08A9A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szCs w:val="24"/>
              </w:rPr>
              <w:t>(glamesic@gmail.com)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46613F70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1BCB8887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6A41588A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67EE9A7F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47A9D759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59B749AC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67922B3E" w14:textId="77777777" w:rsidR="00A0173F" w:rsidRDefault="00B40C81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  <w:r>
              <w:rPr>
                <w:rFonts w:eastAsia="Calibri" w:cs="Tahoma"/>
                <w:color w:val="000000"/>
              </w:rPr>
              <w:lastRenderedPageBreak/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6D91C89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0CC9CF6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35268E3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232BA29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5C0A1C7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0AF2698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10C83725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</w:t>
            </w:r>
            <w:r>
              <w:rPr>
                <w:rFonts w:cstheme="minorHAnsi"/>
                <w:sz w:val="24"/>
                <w:szCs w:val="24"/>
              </w:rPr>
              <w:lastRenderedPageBreak/>
              <w:t xml:space="preserve">turističkih autobusa nije dozvoljeno zaustavljanje i </w:t>
            </w:r>
          </w:p>
          <w:p w14:paraId="6BF82FA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4FFE43A6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2822DA71" w14:textId="77777777" w:rsidR="00A0173F" w:rsidRDefault="00B40C81">
            <w:pPr>
              <w:spacing w:after="0" w:line="240" w:lineRule="auto"/>
            </w:pPr>
            <w:r>
              <w:lastRenderedPageBreak/>
              <w:t>7.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5C22E94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425C4CE4" w14:textId="77777777" w:rsidR="00A0173F" w:rsidRDefault="00B40C81">
            <w:pPr>
              <w:spacing w:after="0" w:line="240" w:lineRule="auto"/>
              <w:rPr>
                <w:rFonts w:ascii="Calibri;sans-serif" w:hAnsi="Calibri;sans-serif" w:cstheme="minorHAnsi"/>
                <w:color w:val="000000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 xml:space="preserve">Dario Džimbeg </w:t>
            </w:r>
          </w:p>
          <w:p w14:paraId="69FEA995" w14:textId="77777777" w:rsidR="00A0173F" w:rsidRDefault="00B40C81">
            <w:pPr>
              <w:spacing w:after="0" w:line="240" w:lineRule="auto"/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(</w:t>
            </w:r>
            <w:r>
              <w:rPr>
                <w:rFonts w:ascii="Calibri;sans-serif" w:hAnsi="Calibri;sans-serif"/>
                <w:color w:val="000000"/>
              </w:rPr>
              <w:t>dariodzimbeg@gmail.com</w:t>
            </w:r>
            <w:r>
              <w:t xml:space="preserve"> 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69BCA267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04AF2B21" w14:textId="77777777" w:rsidR="00A0173F" w:rsidRDefault="00A0173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4F163F12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237E6437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42D7612E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Parkirna mjesta za obavljanje taxi djelatnosti potrebno je preciznije definirati odlukom gdje se nalaze, a obzirom da je isto definirano u dogovoru sa taksi prijevoznicima. Odlukom nije samo bitno </w:t>
            </w:r>
            <w:r>
              <w:rPr>
                <w:rFonts w:eastAsia="Calibri" w:cs="Tahoma"/>
              </w:rPr>
              <w:lastRenderedPageBreak/>
              <w:t>okvirno navesti već precizirati kako nakon usvajanja odluke ne bi bilo drugačijeg iscrtavanja taksi parkirnih mjesta.</w:t>
            </w:r>
          </w:p>
          <w:p w14:paraId="5BB7FB53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3C318248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525FE9E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449D5CB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63FBE1B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510E99D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382FE88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20F94C35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</w:t>
            </w:r>
            <w:r>
              <w:rPr>
                <w:rFonts w:cstheme="minorHAnsi"/>
                <w:sz w:val="24"/>
                <w:szCs w:val="24"/>
              </w:rPr>
              <w:lastRenderedPageBreak/>
              <w:t>kod Talijanskog vrtića, dva u blizini autobusnog stajališta.</w:t>
            </w:r>
          </w:p>
          <w:p w14:paraId="16ED3EB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268B7B1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0A8BA085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687621C7" w14:textId="77777777" w:rsidR="00A0173F" w:rsidRDefault="00B40C81">
            <w:pPr>
              <w:spacing w:after="0" w:line="240" w:lineRule="auto"/>
            </w:pPr>
            <w:r>
              <w:lastRenderedPageBreak/>
              <w:t>8.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16FAAD6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29DB27A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Željko Marjanović (cobra16@net.hr)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578D0656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5838F4D2" w14:textId="77777777" w:rsidR="00A0173F" w:rsidRDefault="00A0173F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</w:p>
          <w:p w14:paraId="1C15057E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6D806725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7201F55E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lastRenderedPageBreak/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502F0BF6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37EABD1A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4365550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217BCB6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2538054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712FC8E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513B9B7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76C7F1C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Malom Lošinju- dva na Dubovici, četiri na Rivi lošinjskih kapetana u blizini Vele Rive, pet u ulici Braće  Ivana i Stjepana Vidulića ( od ulaska u garažu prema zgradi Opskrbnog centra), dva na </w:t>
            </w:r>
            <w:r>
              <w:rPr>
                <w:rFonts w:cstheme="minorHAnsi"/>
                <w:sz w:val="24"/>
                <w:szCs w:val="24"/>
              </w:rPr>
              <w:lastRenderedPageBreak/>
              <w:t>Trgu RH, jedno ispred trgovine Lidl na Bočacu, dva u ljetnoj sezoni u ul. Lošinjskih brodograditelja kod Talijanskog vrtića, dva u blizini autobusnog stajališta.</w:t>
            </w:r>
          </w:p>
          <w:p w14:paraId="6F935F6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03C07D1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18B2104A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2999B488" w14:textId="77777777" w:rsidR="00A0173F" w:rsidRDefault="00B40C81">
            <w:pPr>
              <w:spacing w:after="0" w:line="240" w:lineRule="auto"/>
            </w:pPr>
            <w:r>
              <w:lastRenderedPageBreak/>
              <w:t>9.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08AF915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52665D9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;sans-serif" w:hAnsi="Calibri;sans-serif" w:cstheme="minorHAnsi"/>
                <w:color w:val="000000"/>
                <w:szCs w:val="24"/>
              </w:rPr>
              <w:t xml:space="preserve">Glenn Fuks </w:t>
            </w:r>
          </w:p>
          <w:p w14:paraId="3C2228A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(gfuks10@gmail.com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057F4A1F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7F4B2F7F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026A09BC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 xml:space="preserve"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</w:t>
            </w:r>
            <w:r>
              <w:rPr>
                <w:rFonts w:eastAsia="Calibri" w:cs="Tahoma"/>
                <w:color w:val="000000"/>
              </w:rPr>
              <w:lastRenderedPageBreak/>
              <w:t>trgovine Bipa I dva oko broja 30), jedno ispred trgovine Lidl na Bočacu, dva u ulici Lošinjskih brodograditelja kod Talijanskog vrtića.</w:t>
            </w:r>
          </w:p>
          <w:p w14:paraId="390428AB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6F990AE0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5D4333A7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7621664E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7A5EB9F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1F112DD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71188DB5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56015B9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0D231C4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1701802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Malom Lošinju- dva na Dubovici, četiri na Rivi lošinjskih kapetana u blizini </w:t>
            </w:r>
            <w:r>
              <w:rPr>
                <w:rFonts w:cstheme="minorHAnsi"/>
                <w:sz w:val="24"/>
                <w:szCs w:val="24"/>
              </w:rPr>
              <w:lastRenderedPageBreak/>
              <w:t>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2F9E2B4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61EE940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23A65F26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02279365" w14:textId="77777777" w:rsidR="00A0173F" w:rsidRDefault="00B40C81">
            <w:pPr>
              <w:spacing w:after="0" w:line="240" w:lineRule="auto"/>
            </w:pPr>
            <w:r>
              <w:lastRenderedPageBreak/>
              <w:t>10.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434E391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2AF2334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Višnja Biga</w:t>
            </w:r>
          </w:p>
          <w:p w14:paraId="28A6138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 xml:space="preserve"> (taxi.neno@gmail.com</w:t>
            </w:r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064892CB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29341A50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4EE23B1D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  <w:color w:val="000000"/>
              </w:rPr>
              <w:t xml:space="preserve">Prijedlog: Za poslove obavljanja taxi djelatnosti osiguravaju se parkirna mjesta i to: dva na autobusnoj stanici u Malom Lošinju i dva na autobusnoj stanici u Velom Lošinju, dva u ulici Braće Vidulića – nakon ulaza u garažu, odnosno </w:t>
            </w:r>
            <w:r>
              <w:rPr>
                <w:rFonts w:eastAsia="Calibri" w:cs="Tahoma"/>
                <w:color w:val="000000"/>
              </w:rPr>
              <w:lastRenderedPageBreak/>
              <w:t>prije pješačkog prijelaza, jedno ispred policijske postaje na Dubovici, četiri na Rivi lošinjskih kapetana u blizini Vele Rive, ispred bivše trgovine Domi, četiri u ulici Priko (dva na početku – ispred trgovine Bipa I dva oko broja 30), dva kd Trga Republike Hrvatske (ispred ribarnice), jedno ispred trgovine Lidl na Bočacu, dva u ulici Lošinjskih brodograditelja kod Talijanskog vrtića.</w:t>
            </w:r>
          </w:p>
          <w:p w14:paraId="5802AF62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  <w:color w:val="000000"/>
              </w:rPr>
            </w:pPr>
          </w:p>
          <w:p w14:paraId="7A0F395C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35187ACE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072BF865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3CE5001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3840BA6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263B278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46675AE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06171DF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3FE67D7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08679F5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0A596C8F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0A5FED81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409D0D4C" w14:textId="77777777" w:rsidR="00A0173F" w:rsidRDefault="00B40C81">
            <w:pPr>
              <w:spacing w:after="0" w:line="240" w:lineRule="auto"/>
            </w:pPr>
            <w:r>
              <w:lastRenderedPageBreak/>
              <w:t>11.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6413E3F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6A1C6B6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 xml:space="preserve">Visnja Biga </w:t>
            </w:r>
          </w:p>
          <w:p w14:paraId="5F50C92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(visnja36@gmail.com</w:t>
            </w:r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394281C3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4778FB71" w14:textId="77777777" w:rsidR="00A0173F" w:rsidRDefault="00A0173F">
            <w:pPr>
              <w:spacing w:after="0" w:line="240" w:lineRule="auto"/>
              <w:jc w:val="both"/>
              <w:rPr>
                <w:rFonts w:ascii="Calibri" w:hAnsi="Calibri" w:cstheme="minorHAnsi"/>
                <w:color w:val="000000"/>
              </w:rPr>
            </w:pPr>
          </w:p>
          <w:p w14:paraId="07530395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  <w:color w:val="000000"/>
              </w:rPr>
              <w:lastRenderedPageBreak/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dva kod Trga Republike Hrvatske (ispred ribarnice), jedno ispred trgovine Lidl na Bočacu, dva u ulici Lošinjskih brodograditelja kod Talijanskog vrtića.</w:t>
            </w:r>
          </w:p>
          <w:p w14:paraId="16BD2354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  <w:color w:val="000000"/>
              </w:rPr>
            </w:pPr>
          </w:p>
          <w:p w14:paraId="710109D5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4FE312AF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5550A967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127FA87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466F959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41CB3F1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2D41134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(5) Utvrđuju se lokacije autotaxi stajališta na slijedećim lokacijama:</w:t>
            </w:r>
          </w:p>
          <w:p w14:paraId="348D592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2DA2A05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52ECE0C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6478D3B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721DA544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1D271A4C" w14:textId="77777777" w:rsidR="00A0173F" w:rsidRDefault="00B40C81">
            <w:pPr>
              <w:spacing w:after="0" w:line="240" w:lineRule="auto"/>
            </w:pPr>
            <w:r>
              <w:lastRenderedPageBreak/>
              <w:t>12.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0028A47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3239137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Iva Kanjir</w:t>
            </w:r>
          </w:p>
          <w:p w14:paraId="52AC673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 xml:space="preserve"> (iva.kanjir@gmail.com</w:t>
            </w:r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3B01816D" w14:textId="77777777" w:rsidR="00A0173F" w:rsidRDefault="00B40C81">
            <w:pPr>
              <w:spacing w:after="0"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</w:rPr>
              <w:t xml:space="preserve">ČLANAK 27.STAVAK 3. </w:t>
            </w:r>
            <w:r>
              <w:rPr>
                <w:rFonts w:cstheme="minorHAnsi"/>
                <w:color w:val="000000"/>
              </w:rPr>
              <w:t xml:space="preserve">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</w:t>
            </w:r>
            <w:r>
              <w:rPr>
                <w:rFonts w:cstheme="minorHAnsi"/>
                <w:color w:val="000000"/>
              </w:rPr>
              <w:lastRenderedPageBreak/>
              <w:t>Priko (dva na početku ulice i dva oko broja 30), jedno ispred trgovine Lidl na Bočacu, dva u ljetnoj sezoni u ul. Lošinjskih brodograditelja kod Talijanskog vrtića.</w:t>
            </w:r>
          </w:p>
          <w:p w14:paraId="43CF0C83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  <w:color w:val="000000"/>
              </w:rPr>
            </w:pPr>
          </w:p>
          <w:p w14:paraId="791FD63A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dva kd Trga Republike Hrvatske (ispred ribarnice), jedno ispred trgovine Lidl na Bočacu, dva u ulici Lošinjskih brodograditelja kod Talijanskog vrtića.</w:t>
            </w:r>
          </w:p>
          <w:p w14:paraId="556A6AB3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6E8C4A23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</w:t>
            </w:r>
          </w:p>
          <w:p w14:paraId="17051D40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</w:p>
          <w:p w14:paraId="3A3FCF88" w14:textId="77777777" w:rsidR="00A0173F" w:rsidRDefault="00B40C81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>
              <w:rPr>
                <w:rFonts w:eastAsia="Calibri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  <w:p w14:paraId="3D095F7C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</w:rPr>
            </w:pPr>
          </w:p>
          <w:p w14:paraId="2BA0F20A" w14:textId="77777777" w:rsidR="00A0173F" w:rsidRDefault="00A0173F">
            <w:pPr>
              <w:spacing w:after="0" w:line="240" w:lineRule="auto"/>
              <w:jc w:val="both"/>
              <w:rPr>
                <w:rFonts w:eastAsia="Calibri" w:cs="Tahoma"/>
                <w:color w:val="000000"/>
              </w:rPr>
            </w:pP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587222E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2DB0E2E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Nakon usuglašavanja sa MUPom i izradi elaborata,a na zahtjev djelatnika koji </w:t>
            </w:r>
            <w:r>
              <w:rPr>
                <w:rFonts w:cstheme="minorHAnsi"/>
                <w:sz w:val="24"/>
                <w:szCs w:val="24"/>
              </w:rPr>
              <w:lastRenderedPageBreak/>
              <w:t>obavljaju djelatnost taksi prijevoza</w:t>
            </w:r>
          </w:p>
          <w:p w14:paraId="75FCED7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032DCCC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0F151E0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382E779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69AEECC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76BE004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42A594E5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765A1D1B" w14:textId="77777777" w:rsidR="00A0173F" w:rsidRDefault="00B40C81">
            <w:pPr>
              <w:spacing w:after="0" w:line="240" w:lineRule="auto"/>
            </w:pPr>
            <w:r>
              <w:lastRenderedPageBreak/>
              <w:t>13.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7A1B9B4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1021DAF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Božica Jovanović (bozicarlk483@gmail.com)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7DDA61FD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ČLANAK 27.STAVAK 3. (</w:t>
            </w:r>
            <w:r>
              <w:t>3)Za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3DEE1774" w14:textId="77777777" w:rsidR="00A0173F" w:rsidRDefault="00A0173F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72069062" w14:textId="77777777" w:rsidR="00A0173F" w:rsidRDefault="00B40C81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</w:rPr>
              <w:t>Prijedlog:Za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dva kod Trga Republike Hrvatske (ispred ribarnice), jedno ispred trgovine Lidl na Bočacu, dva u ulici Lošinjskih brodograditelja kod Talijanskog vrtića.</w:t>
            </w:r>
          </w:p>
          <w:p w14:paraId="00DDF83E" w14:textId="77777777" w:rsidR="00A0173F" w:rsidRDefault="00B40C81">
            <w:pPr>
              <w:spacing w:line="240" w:lineRule="auto"/>
              <w:jc w:val="both"/>
            </w:pPr>
            <w:r>
              <w:rPr>
                <w:rFonts w:eastAsia="Calibri" w:cs="Tahoma"/>
              </w:rPr>
              <w:t xml:space="preserve">Parkirna mjesta za obavljanje taxi djelatnosti potrebno je preciznije definirati odlukom gdje se nalaze, a obzirom da je isto definirano u dogovoru sa taksi prijevoznicima. Odlukom nije samo bitno okvirno navesti već precizirati kako nakon usvajanja odluke ne bi bilo drugačijeg iscrtavanja taksi parkirnih mjesta. </w:t>
            </w:r>
          </w:p>
          <w:p w14:paraId="5E8900B8" w14:textId="77777777" w:rsidR="00A0173F" w:rsidRDefault="00B40C81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</w:rPr>
              <w:lastRenderedPageBreak/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48ED746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5897656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43197C3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43BFA12D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2997089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2231B9D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68B321EE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        (6)Na autotaksi stajalištima i stajalištima turističkih autobusa nije dozvoljeno zaustavljanje i </w:t>
            </w:r>
          </w:p>
          <w:p w14:paraId="3B29837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391BAE8F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654DEA28" w14:textId="77777777" w:rsidR="00A0173F" w:rsidRDefault="00B40C81">
            <w:pPr>
              <w:spacing w:after="0" w:line="240" w:lineRule="auto"/>
            </w:pPr>
            <w:r>
              <w:lastRenderedPageBreak/>
              <w:t>14.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791CFFF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68953F4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ascii="Calibri;sans-serif" w:hAnsi="Calibri;sans-serif" w:cstheme="minorHAnsi"/>
                <w:color w:val="000000"/>
                <w:szCs w:val="24"/>
              </w:rPr>
              <w:t>Silvia Muskardin (dreamer03free@gmail.com</w:t>
            </w:r>
            <w:r>
              <w:rPr>
                <w:rFonts w:cstheme="minorHAnsi"/>
                <w:sz w:val="24"/>
                <w:szCs w:val="24"/>
              </w:rPr>
              <w:t xml:space="preserve"> 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40A8C994" w14:textId="77777777" w:rsidR="00A0173F" w:rsidRDefault="00B40C81">
            <w:pPr>
              <w:pStyle w:val="LO-normal"/>
              <w:spacing w:after="160" w:line="259" w:lineRule="auto"/>
              <w:jc w:val="both"/>
              <w:rPr>
                <w:rFonts w:ascii="Calibri" w:hAnsi="Calibri"/>
              </w:rPr>
            </w:pPr>
            <w:r>
              <w:rPr>
                <w:rFonts w:eastAsia="Tahoma" w:cs="Tahoma"/>
                <w:color w:val="000000"/>
              </w:rPr>
              <w:t>ČLANAK 27.STAVAK 3.</w:t>
            </w:r>
            <w:r>
              <w:rPr>
                <w:rFonts w:eastAsia="Calibri" w:cs="Calibri"/>
                <w:color w:val="000000"/>
              </w:rPr>
              <w:t>(3)Za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2649FD3F" w14:textId="77777777" w:rsidR="00A0173F" w:rsidRDefault="00B40C81">
            <w:pPr>
              <w:pStyle w:val="LO-normal"/>
              <w:jc w:val="both"/>
            </w:pPr>
            <w:r>
              <w:rPr>
                <w:rFonts w:eastAsia="Tahoma" w:cs="Tahoma"/>
                <w:color w:val="000000"/>
              </w:rPr>
              <w:t>Prijedlog: Za poslove obavljanja taxi djelatnosti osiguravaju se parkirna mjesta i to: dva na 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7F85227D" w14:textId="77777777" w:rsidR="00A0173F" w:rsidRDefault="00A0173F">
            <w:pPr>
              <w:pStyle w:val="LO-normal"/>
              <w:jc w:val="both"/>
              <w:rPr>
                <w:rFonts w:ascii="Calibri" w:eastAsia="Tahoma" w:hAnsi="Calibri" w:cs="Tahoma"/>
                <w:color w:val="000000"/>
              </w:rPr>
            </w:pPr>
          </w:p>
          <w:p w14:paraId="318915FD" w14:textId="77777777" w:rsidR="00A0173F" w:rsidRDefault="00B40C81">
            <w:pPr>
              <w:pStyle w:val="LO-normal"/>
              <w:jc w:val="both"/>
              <w:rPr>
                <w:rFonts w:ascii="Calibri" w:hAnsi="Calibri"/>
              </w:rPr>
            </w:pPr>
            <w:r>
              <w:rPr>
                <w:rFonts w:eastAsia="Tahoma" w:cs="Tahoma"/>
                <w:color w:val="000000"/>
              </w:rPr>
              <w:t xml:space="preserve">Parkirna mjesta za obavljanje taxi djelatnosti potrebno je preciznije definirati odlukom gdje se </w:t>
            </w:r>
            <w:r>
              <w:rPr>
                <w:rFonts w:eastAsia="Tahoma" w:cs="Tahoma"/>
                <w:color w:val="000000"/>
              </w:rPr>
              <w:lastRenderedPageBreak/>
              <w:t xml:space="preserve">nalaze, a obzirom da je isto definirano u dogovoru sa taksi prijevoznicima. </w:t>
            </w:r>
          </w:p>
          <w:p w14:paraId="731D590F" w14:textId="77777777" w:rsidR="00A0173F" w:rsidRDefault="00B40C81">
            <w:pPr>
              <w:pStyle w:val="LO-normal"/>
              <w:jc w:val="both"/>
              <w:rPr>
                <w:rFonts w:ascii="Calibri" w:hAnsi="Calibri"/>
              </w:rPr>
            </w:pPr>
            <w:r>
              <w:rPr>
                <w:rFonts w:eastAsia="Tahoma" w:cs="Tahoma"/>
                <w:color w:val="000000"/>
              </w:rPr>
              <w:t>Odlukom nije samo bitno okvirno navesti već precizirati kako nakon usvajanja odluke ne bi bilo drugačijeg iscrtavanja taksi parkirnih mjesta.</w:t>
            </w:r>
          </w:p>
          <w:p w14:paraId="47EE7F99" w14:textId="77777777" w:rsidR="00A0173F" w:rsidRDefault="00A0173F">
            <w:pPr>
              <w:pStyle w:val="LO-normal"/>
              <w:jc w:val="both"/>
              <w:rPr>
                <w:rFonts w:ascii="Calibri" w:eastAsia="Tahoma" w:hAnsi="Calibri" w:cs="Tahoma"/>
                <w:color w:val="000000"/>
              </w:rPr>
            </w:pPr>
          </w:p>
          <w:p w14:paraId="23A1E0D5" w14:textId="77777777" w:rsidR="00A0173F" w:rsidRDefault="00B40C81">
            <w:pPr>
              <w:pStyle w:val="LO-normal"/>
              <w:jc w:val="both"/>
              <w:rPr>
                <w:rFonts w:ascii="Calibri" w:hAnsi="Calibri"/>
              </w:rPr>
            </w:pPr>
            <w:r>
              <w:rPr>
                <w:rFonts w:eastAsia="Tahoma" w:cs="Tahoma"/>
                <w:color w:val="000000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143B137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396665A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285715C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2FEA75A4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(5) Utvrđuju se lokacije autotaxi stajališta na slijedećim lokacijama:</w:t>
            </w:r>
          </w:p>
          <w:p w14:paraId="50AFD6F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04D6990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 Malom Lošinju- dva na Dubovici, četiri na Rivi lošinjskih kapetana u blizini Vele Rive, pet u ulici Braće  Ivana i Stjepana Vidulića ( od ulaska u garažu prema zgradi Opskrbnog centra), dva na Trgu RH, jedno ispred trgovine Lidl na Bočacu, dva u ljetnoj sezoni u ul. </w:t>
            </w:r>
            <w:r>
              <w:rPr>
                <w:rFonts w:cstheme="minorHAnsi"/>
                <w:sz w:val="24"/>
                <w:szCs w:val="24"/>
              </w:rPr>
              <w:lastRenderedPageBreak/>
              <w:t>Lošinjskih brodograditelja kod Talijanskog vrtića, dva u blizini autobusnog stajališta.</w:t>
            </w:r>
          </w:p>
          <w:p w14:paraId="37B9461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59C36C3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  <w:tr w:rsidR="00A0173F" w14:paraId="3868B8AA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76047458" w14:textId="77777777" w:rsidR="00A0173F" w:rsidRDefault="00B40C81">
            <w:pPr>
              <w:spacing w:after="0" w:line="240" w:lineRule="auto"/>
            </w:pPr>
            <w:r>
              <w:lastRenderedPageBreak/>
              <w:t>15.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23F0505A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55475440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Grad Mali Lošinj</w:t>
            </w:r>
          </w:p>
          <w:p w14:paraId="2C780700" w14:textId="77777777" w:rsidR="00A0173F" w:rsidRDefault="00B40C81">
            <w:pPr>
              <w:spacing w:after="0" w:line="240" w:lineRule="auto"/>
            </w:pPr>
            <w:bookmarkStart w:id="1" w:name="__DdeLink__326_2817267055"/>
            <w:r>
              <w:rPr>
                <w:rFonts w:cstheme="minorHAnsi"/>
                <w:color w:val="000000"/>
                <w:highlight w:val="white"/>
              </w:rPr>
              <w:t>(Odsjek za urbanizam, komunalno gospodarstvo i gospodarenje gradskom imovinom)</w:t>
            </w:r>
            <w:bookmarkEnd w:id="1"/>
          </w:p>
          <w:p w14:paraId="13B1461F" w14:textId="77777777" w:rsidR="00A0173F" w:rsidRDefault="00A0173F">
            <w:pPr>
              <w:spacing w:after="0" w:line="240" w:lineRule="auto"/>
              <w:rPr>
                <w:rFonts w:ascii="Calibri" w:hAnsi="Calibri" w:cstheme="minorHAnsi"/>
                <w:color w:val="000000"/>
                <w:highlight w:val="white"/>
              </w:rPr>
            </w:pP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12DBD2CE" w14:textId="77777777" w:rsidR="00A0173F" w:rsidRDefault="00B40C81">
            <w:pPr>
              <w:spacing w:after="160" w:line="259" w:lineRule="auto"/>
              <w:jc w:val="both"/>
              <w:rPr>
                <w:rFonts w:ascii="Calibri" w:eastAsia="Calibri" w:hAnsi="Calibri" w:cs="Tahoma"/>
                <w:lang w:eastAsia="hr-HR"/>
              </w:rPr>
            </w:pPr>
            <w:r>
              <w:rPr>
                <w:rFonts w:eastAsia="Calibri" w:cs="Tahoma"/>
                <w:lang w:eastAsia="hr-HR"/>
              </w:rPr>
              <w:t>Članak 28.st.2.,  umjesto“Odluci o porezima Grada Malog Lošinja “ treba pisati”Odluci o porezima na javne površine Grada Malog Lošinja”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1632DD83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Tehnički ispravak</w:t>
            </w:r>
          </w:p>
        </w:tc>
      </w:tr>
      <w:tr w:rsidR="00A0173F" w14:paraId="78F02F57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248135F0" w14:textId="77777777" w:rsidR="00A0173F" w:rsidRDefault="00B40C81">
            <w:pPr>
              <w:spacing w:after="0" w:line="240" w:lineRule="auto"/>
            </w:pPr>
            <w:r>
              <w:t>16.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0BFF0C6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528BD1EA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Grad Mali Lošinj</w:t>
            </w:r>
          </w:p>
          <w:p w14:paraId="5900D992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(Odsjek za urbanizam, komunalno gospodarstvo i gospodarenje gradskom imovinom)</w:t>
            </w:r>
          </w:p>
          <w:p w14:paraId="10A78E88" w14:textId="77777777" w:rsidR="00A0173F" w:rsidRDefault="00A0173F">
            <w:pPr>
              <w:spacing w:after="0" w:line="240" w:lineRule="auto"/>
              <w:rPr>
                <w:rFonts w:ascii="Calibri" w:hAnsi="Calibri" w:cstheme="minorHAnsi"/>
                <w:color w:val="000000"/>
                <w:highlight w:val="white"/>
              </w:rPr>
            </w:pP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0713BEBE" w14:textId="77777777" w:rsidR="00A0173F" w:rsidRDefault="00B40C81">
            <w:pPr>
              <w:spacing w:line="240" w:lineRule="auto"/>
              <w:jc w:val="both"/>
              <w:rPr>
                <w:rFonts w:ascii="Calibri" w:eastAsia="Calibri" w:hAnsi="Calibri" w:cs="Tahoma"/>
                <w:lang w:eastAsia="hr-HR"/>
              </w:rPr>
            </w:pPr>
            <w:r>
              <w:rPr>
                <w:rFonts w:eastAsia="Calibri" w:cs="Tahoma"/>
                <w:lang w:eastAsia="hr-HR"/>
              </w:rPr>
              <w:t>Članak 30.st.3.alineja 3., Iza riječi “ uvale Zela dodaje se “u Ustrinama kod Braščine prema uvali Veli žal.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1B892F8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Tehnički ispravak</w:t>
            </w:r>
          </w:p>
        </w:tc>
      </w:tr>
      <w:tr w:rsidR="00A0173F" w14:paraId="0254CA51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315527C0" w14:textId="77777777" w:rsidR="00A0173F" w:rsidRDefault="00B40C81">
            <w:pPr>
              <w:spacing w:after="0" w:line="240" w:lineRule="auto"/>
            </w:pPr>
            <w:r>
              <w:t>17.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2AE2B01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5589424F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Grad Mali Lošinj</w:t>
            </w:r>
          </w:p>
          <w:p w14:paraId="0DC1AB24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(Odsjek za urbanizam, komunalno gospodarstvo i gospodarenje gradskom imovinom)</w:t>
            </w:r>
          </w:p>
          <w:p w14:paraId="59CF40C5" w14:textId="77777777" w:rsidR="00A0173F" w:rsidRDefault="00A0173F">
            <w:pPr>
              <w:spacing w:after="0" w:line="240" w:lineRule="auto"/>
              <w:rPr>
                <w:rFonts w:ascii="Calibri" w:hAnsi="Calibri" w:cstheme="minorHAnsi"/>
                <w:color w:val="000000"/>
                <w:highlight w:val="white"/>
              </w:rPr>
            </w:pP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7EF4A459" w14:textId="77777777" w:rsidR="00A0173F" w:rsidRDefault="00B40C81">
            <w:pPr>
              <w:spacing w:after="160" w:line="259" w:lineRule="auto"/>
              <w:jc w:val="both"/>
              <w:rPr>
                <w:rFonts w:ascii="Calibri" w:eastAsia="Calibri" w:hAnsi="Calibri" w:cs="Tahoma"/>
                <w:lang w:eastAsia="hr-HR"/>
              </w:rPr>
            </w:pPr>
            <w:r>
              <w:rPr>
                <w:rFonts w:eastAsia="Calibri" w:cs="Tahoma"/>
                <w:lang w:eastAsia="hr-HR"/>
              </w:rPr>
              <w:t>Članak 39.stavak 5., Briše se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0A51E1EC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Tehnički ispravak</w:t>
            </w:r>
          </w:p>
        </w:tc>
      </w:tr>
      <w:tr w:rsidR="00A0173F" w14:paraId="48F71A87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09E24605" w14:textId="77777777" w:rsidR="00A0173F" w:rsidRDefault="00B40C81">
            <w:pPr>
              <w:spacing w:after="0" w:line="240" w:lineRule="auto"/>
            </w:pPr>
            <w:r>
              <w:t>18.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48A4D0F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75F13F1A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Grad Mali Lošinj</w:t>
            </w:r>
          </w:p>
          <w:p w14:paraId="430EBFE2" w14:textId="77777777" w:rsidR="00A0173F" w:rsidRDefault="00B40C81">
            <w:pPr>
              <w:spacing w:after="0" w:line="240" w:lineRule="auto"/>
            </w:pPr>
            <w:r>
              <w:rPr>
                <w:rFonts w:cstheme="minorHAnsi"/>
                <w:color w:val="000000"/>
                <w:highlight w:val="white"/>
              </w:rPr>
              <w:t>(Odsjek za urbanizam, komunalno gospodarstvo i gospodarenje gradskom imovinom)</w:t>
            </w:r>
          </w:p>
          <w:p w14:paraId="27E40942" w14:textId="77777777" w:rsidR="00A0173F" w:rsidRDefault="00A0173F">
            <w:pPr>
              <w:spacing w:after="0" w:line="240" w:lineRule="auto"/>
              <w:rPr>
                <w:rFonts w:ascii="Calibri" w:hAnsi="Calibri" w:cstheme="minorHAnsi"/>
                <w:color w:val="000000"/>
                <w:highlight w:val="white"/>
              </w:rPr>
            </w:pP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7243FFBE" w14:textId="77777777" w:rsidR="00A0173F" w:rsidRDefault="00B40C81">
            <w:pPr>
              <w:spacing w:after="160" w:line="259" w:lineRule="auto"/>
              <w:jc w:val="both"/>
              <w:rPr>
                <w:rFonts w:ascii="Calibri" w:eastAsia="Calibri" w:hAnsi="Calibri" w:cs="Tahoma"/>
                <w:lang w:eastAsia="hr-HR"/>
              </w:rPr>
            </w:pPr>
            <w:r>
              <w:rPr>
                <w:rFonts w:eastAsia="Calibri" w:cs="Tahoma"/>
                <w:lang w:eastAsia="hr-HR"/>
              </w:rPr>
              <w:t>Članak 40.st.4., “u Ustrinama kod Braščine”, Briše se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35B702E7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Tehnički ispravak</w:t>
            </w:r>
          </w:p>
        </w:tc>
      </w:tr>
      <w:tr w:rsidR="00A0173F" w14:paraId="0D389B5A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4AC1993D" w14:textId="77777777" w:rsidR="00A0173F" w:rsidRDefault="00B40C81">
            <w:pPr>
              <w:spacing w:after="0" w:line="240" w:lineRule="auto"/>
            </w:pPr>
            <w:r>
              <w:t>19.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00209E18" w14:textId="77777777" w:rsidR="00A0173F" w:rsidRDefault="00B40C81">
            <w:pPr>
              <w:spacing w:after="0" w:line="240" w:lineRule="auto"/>
            </w:pPr>
            <w: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7E5DA587" w14:textId="77777777" w:rsidR="00A0173F" w:rsidRDefault="00B40C81">
            <w:pPr>
              <w:spacing w:after="0" w:line="240" w:lineRule="auto"/>
            </w:pPr>
            <w:r>
              <w:t>MO Nerezine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69A42FB1" w14:textId="77777777" w:rsidR="00A0173F" w:rsidRDefault="00B40C81">
            <w:pPr>
              <w:spacing w:after="160" w:line="259" w:lineRule="auto"/>
              <w:jc w:val="both"/>
            </w:pPr>
            <w:r>
              <w:t xml:space="preserve">Predlaže se navesti „Nerezine-pješačke zone: Lučica: uz more od Obale nerez.pomoraca do </w:t>
            </w:r>
            <w:r>
              <w:lastRenderedPageBreak/>
              <w:t>plaže Lučica, Rapoča: od kraja Obale nerez.pomoraca uz more do Samostana (ulica Sv.Franje)”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11EF09E4" w14:textId="35830338" w:rsidR="00A0173F" w:rsidRDefault="00B40C81">
            <w:pPr>
              <w:spacing w:after="0" w:line="240" w:lineRule="auto"/>
            </w:pPr>
            <w:r>
              <w:lastRenderedPageBreak/>
              <w:t>Prihvaćeno- tehnička greška</w:t>
            </w:r>
          </w:p>
          <w:p w14:paraId="5AC68712" w14:textId="00FD5694" w:rsidR="00B40C81" w:rsidRDefault="00B40C81">
            <w:pPr>
              <w:spacing w:after="0" w:line="240" w:lineRule="auto"/>
            </w:pPr>
          </w:p>
        </w:tc>
      </w:tr>
      <w:tr w:rsidR="00A0173F" w14:paraId="695063B6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4FAC8F0E" w14:textId="77777777" w:rsidR="00A0173F" w:rsidRDefault="00B40C81">
            <w:pPr>
              <w:spacing w:after="0" w:line="240" w:lineRule="auto"/>
            </w:pPr>
            <w:r>
              <w:t>20.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29F8F13E" w14:textId="77777777" w:rsidR="00A0173F" w:rsidRDefault="00B40C81">
            <w:pPr>
              <w:spacing w:after="0" w:line="240" w:lineRule="auto"/>
            </w:pPr>
            <w:r>
              <w:t>04.05.2022.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4E4B933E" w14:textId="77777777" w:rsidR="00A0173F" w:rsidRDefault="00B40C81">
            <w:pPr>
              <w:spacing w:after="0" w:line="240" w:lineRule="auto"/>
            </w:pPr>
            <w:r>
              <w:t>MO Veli Lošinj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7737A85B" w14:textId="437CDDD0" w:rsidR="00F663C6" w:rsidRPr="00F663C6" w:rsidRDefault="00F663C6" w:rsidP="00F663C6">
            <w:r w:rsidRPr="00F663C6">
              <w:t>Predlažemo da se prometovanje ulicom od raskrižja s ulicom Grbica pa sve do prije trga ispred crkve Sveta Ana (Obrada Hrgovića 21) ograniči samo za stanare. Isto tako, na samom trgu da bude zabranjeno prometovanje, zaustavljanje i parkiranje svih vozila osim omogu</w:t>
            </w:r>
            <w:r w:rsidR="008D2745">
              <w:t>ć</w:t>
            </w:r>
            <w:r w:rsidRPr="00F663C6">
              <w:t>enog kolnog prolaza za stanare dviju kuća na samom trgu i poljoprivrednike s traktorima prema svojim kampanja</w:t>
            </w:r>
            <w:r>
              <w:t>m</w:t>
            </w:r>
            <w:r w:rsidRPr="00F663C6">
              <w:t>a.</w:t>
            </w:r>
          </w:p>
          <w:p w14:paraId="445C8272" w14:textId="77777777" w:rsidR="00A0173F" w:rsidRDefault="00A0173F">
            <w:pPr>
              <w:spacing w:after="160" w:line="259" w:lineRule="auto"/>
              <w:jc w:val="both"/>
            </w:pPr>
          </w:p>
          <w:p w14:paraId="2C052FD9" w14:textId="77777777" w:rsidR="00A0173F" w:rsidRDefault="00A0173F">
            <w:pPr>
              <w:spacing w:after="160" w:line="259" w:lineRule="auto"/>
              <w:jc w:val="both"/>
            </w:pPr>
          </w:p>
          <w:p w14:paraId="5E0968E7" w14:textId="77777777" w:rsidR="00A0173F" w:rsidRDefault="00A0173F">
            <w:pPr>
              <w:spacing w:after="160" w:line="259" w:lineRule="auto"/>
              <w:jc w:val="both"/>
            </w:pP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2A0A544A" w14:textId="5B8ADD32" w:rsidR="00B40C81" w:rsidRDefault="00B40C81" w:rsidP="00A86B38">
            <w:pPr>
              <w:spacing w:after="0" w:line="240" w:lineRule="auto"/>
            </w:pPr>
            <w:r>
              <w:t>Prihvaća se na način da je izrađen Elaborat za Trg ispred crkvice Sv. Ane</w:t>
            </w:r>
            <w:r w:rsidR="008D2745">
              <w:t xml:space="preserve"> i dijela ul. O. Hrgovića</w:t>
            </w:r>
            <w:r w:rsidR="00A86B38">
              <w:t xml:space="preserve"> koji se objavljuje</w:t>
            </w:r>
            <w:r>
              <w:t xml:space="preserve"> te će se prometno obilježiti sukladno Prometnom elaboratu</w:t>
            </w:r>
            <w:r w:rsidR="00F663C6">
              <w:t>.</w:t>
            </w:r>
          </w:p>
        </w:tc>
      </w:tr>
      <w:tr w:rsidR="00A0173F" w14:paraId="55188116" w14:textId="77777777">
        <w:trPr>
          <w:jc w:val="center"/>
        </w:trPr>
        <w:tc>
          <w:tcPr>
            <w:tcW w:w="945" w:type="dxa"/>
            <w:tcBorders>
              <w:top w:val="nil"/>
              <w:right w:val="nil"/>
            </w:tcBorders>
            <w:shd w:val="clear" w:color="auto" w:fill="auto"/>
          </w:tcPr>
          <w:p w14:paraId="4C0E2C3C" w14:textId="77777777" w:rsidR="00A0173F" w:rsidRDefault="00B40C81">
            <w:pPr>
              <w:spacing w:after="0" w:line="240" w:lineRule="auto"/>
            </w:pPr>
            <w:r>
              <w:t>21.</w:t>
            </w:r>
          </w:p>
        </w:tc>
        <w:tc>
          <w:tcPr>
            <w:tcW w:w="1801" w:type="dxa"/>
            <w:tcBorders>
              <w:top w:val="nil"/>
            </w:tcBorders>
            <w:shd w:val="clear" w:color="auto" w:fill="auto"/>
          </w:tcPr>
          <w:p w14:paraId="56C3E1F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05.05.2022. </w:t>
            </w:r>
            <w:r>
              <w:rPr>
                <w:rFonts w:cstheme="minorHAnsi"/>
                <w:sz w:val="24"/>
                <w:szCs w:val="24"/>
                <w:u w:val="single"/>
              </w:rPr>
              <w:t>VAN ROKA</w:t>
            </w:r>
          </w:p>
        </w:tc>
        <w:tc>
          <w:tcPr>
            <w:tcW w:w="3379" w:type="dxa"/>
            <w:tcBorders>
              <w:top w:val="nil"/>
            </w:tcBorders>
            <w:shd w:val="clear" w:color="auto" w:fill="auto"/>
          </w:tcPr>
          <w:p w14:paraId="33BFED30" w14:textId="77777777" w:rsidR="00A0173F" w:rsidRDefault="00B40C81">
            <w:pPr>
              <w:spacing w:after="0" w:line="240" w:lineRule="auto"/>
              <w:rPr>
                <w:rFonts w:ascii="Calibri;sans-serif" w:hAnsi="Calibri;sans-serif" w:cstheme="minorHAnsi"/>
                <w:szCs w:val="24"/>
                <w:lang w:val="en-US"/>
              </w:rPr>
            </w:pPr>
            <w:r>
              <w:rPr>
                <w:rFonts w:ascii="Calibri;sans-serif" w:hAnsi="Calibri;sans-serif" w:cstheme="minorHAnsi"/>
                <w:szCs w:val="24"/>
                <w:lang w:val="en-US"/>
              </w:rPr>
              <w:t xml:space="preserve">Maja </w:t>
            </w:r>
            <w:proofErr w:type="spellStart"/>
            <w:r>
              <w:rPr>
                <w:rFonts w:ascii="Calibri;sans-serif" w:hAnsi="Calibri;sans-serif" w:cstheme="minorHAnsi"/>
                <w:szCs w:val="24"/>
                <w:lang w:val="en-US"/>
              </w:rPr>
              <w:t>Gasic</w:t>
            </w:r>
            <w:proofErr w:type="spellEnd"/>
          </w:p>
          <w:p w14:paraId="64FB0FF8" w14:textId="77777777" w:rsidR="00A0173F" w:rsidRDefault="00B40C81">
            <w:pPr>
              <w:spacing w:after="0" w:line="240" w:lineRule="auto"/>
              <w:rPr>
                <w:rFonts w:ascii="Calibri;sans-serif" w:hAnsi="Calibri;sans-serif" w:cstheme="minorHAnsi"/>
                <w:szCs w:val="24"/>
                <w:lang w:val="en-US"/>
              </w:rPr>
            </w:pPr>
            <w:r>
              <w:rPr>
                <w:rFonts w:ascii="Calibri;sans-serif" w:hAnsi="Calibri;sans-serif" w:cstheme="minorHAnsi"/>
                <w:szCs w:val="24"/>
                <w:lang w:val="en-US"/>
              </w:rPr>
              <w:t xml:space="preserve"> (mgasic93@gmail.com)</w:t>
            </w:r>
          </w:p>
        </w:tc>
        <w:tc>
          <w:tcPr>
            <w:tcW w:w="4627" w:type="dxa"/>
            <w:tcBorders>
              <w:top w:val="nil"/>
            </w:tcBorders>
            <w:shd w:val="clear" w:color="auto" w:fill="auto"/>
          </w:tcPr>
          <w:p w14:paraId="0EA08C84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</w:rPr>
              <w:t>ČLANAK 27.STAVAK 3.</w:t>
            </w:r>
            <w:r>
              <w:rPr>
                <w:rFonts w:eastAsia="Calibri" w:cs="Tahoma"/>
                <w:lang w:eastAsia="hr-HR"/>
              </w:rPr>
              <w:t>(3)Za poslove obavljanja taxi djelatnosti osiguravaju se parkirna mjesta i to: dva na autobusnoj stanici u Malom Lošinju i Velom Lošinju, dva u ulici Brače Vidulića, jedno ispred policijske postaje na Dubovici, četiri na Rivi lošinjskih kapetana u blizini Vele Rive, četiri u ulici Priko (dva na početku ulice i dva oko broja 30), jedno ispred trgovine Lidl na Bočacu, dva u ljetnoj sezoni u ul. Lošinjskih brodograditelja kod Talijanskog vrtića.</w:t>
            </w:r>
          </w:p>
          <w:p w14:paraId="403B5B40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  <w:lang w:eastAsia="hr-HR"/>
              </w:rPr>
            </w:pPr>
          </w:p>
          <w:p w14:paraId="4028820A" w14:textId="77777777" w:rsidR="00A0173F" w:rsidRDefault="00B40C81">
            <w:pPr>
              <w:spacing w:after="0" w:line="240" w:lineRule="auto"/>
              <w:jc w:val="both"/>
            </w:pPr>
            <w:r>
              <w:rPr>
                <w:rFonts w:eastAsia="Calibri" w:cs="Tahoma"/>
                <w:lang w:eastAsia="hr-HR"/>
              </w:rPr>
              <w:t xml:space="preserve">Prijedlog:Za poslove obavljanja taxi djelatnosti osiguravaju se parkirna mjesta i to: dva na </w:t>
            </w:r>
            <w:r>
              <w:rPr>
                <w:rFonts w:eastAsia="Calibri" w:cs="Tahoma"/>
                <w:lang w:eastAsia="hr-HR"/>
              </w:rPr>
              <w:lastRenderedPageBreak/>
              <w:t>autobusnoj stanici u Malom Lošinju i dva na autobusnoj stanici u Velom Lošinju, dva u ulici Braće Vidulića – nakon ulaza u garažu, odnosno prije pješačkog prijelaza, jedno ispred policijske postaje na Dubovici, četiri na Rivi lošinjskih kapetana u blizini Vele Rive, ispred bivše trgovine Domi, četiri u ulici Priko (dva na početku – ispred trgovine Bipa I dva oko broja 30), jedno ispred trgovine Lidl na Bočacu, dva u ulici Lošinjskih brodograditelja kod Talijanskog vrtića.</w:t>
            </w:r>
          </w:p>
          <w:p w14:paraId="6D1180AA" w14:textId="77777777" w:rsidR="00A0173F" w:rsidRDefault="00A0173F">
            <w:pPr>
              <w:spacing w:after="0" w:line="240" w:lineRule="auto"/>
              <w:jc w:val="both"/>
              <w:rPr>
                <w:rFonts w:ascii="Calibri" w:eastAsia="Calibri" w:hAnsi="Calibri" w:cs="Tahoma"/>
                <w:lang w:eastAsia="hr-HR"/>
              </w:rPr>
            </w:pPr>
          </w:p>
          <w:p w14:paraId="5381DB17" w14:textId="77777777" w:rsidR="00A0173F" w:rsidRDefault="00B40C81">
            <w:pPr>
              <w:spacing w:after="0" w:line="240" w:lineRule="auto"/>
              <w:jc w:val="both"/>
              <w:rPr>
                <w:rFonts w:ascii="Calibri" w:eastAsia="Calibri" w:hAnsi="Calibri" w:cs="Tahoma"/>
              </w:rPr>
            </w:pPr>
            <w:r>
              <w:rPr>
                <w:rFonts w:eastAsia="Calibri" w:cs="Tahoma"/>
              </w:rPr>
              <w:t xml:space="preserve">Parkirna mjesta za obavljanje taxi djelatnosti potrebno je preciznije definirati odlukom gdje se nalaze, a obzirom da je isto definirano u dogovoru sa taksi prijevoznicima. </w:t>
            </w:r>
          </w:p>
          <w:p w14:paraId="37BED966" w14:textId="77777777" w:rsidR="00A0173F" w:rsidRDefault="00B40C81">
            <w:pPr>
              <w:spacing w:line="240" w:lineRule="auto"/>
              <w:jc w:val="both"/>
              <w:rPr>
                <w:rFonts w:ascii="Calibri" w:hAnsi="Calibri"/>
              </w:rPr>
            </w:pPr>
            <w:r>
              <w:rPr>
                <w:rFonts w:eastAsia="Calibri" w:cs="Tahoma"/>
              </w:rPr>
              <w:t xml:space="preserve">Odlukom nije samo bitno okvirno navesti već precizirati kako nakon usvajanja odluke ne bi bilo drugačijeg iscrtavanja taksi parkirnih mjesta. </w:t>
            </w:r>
            <w:r>
              <w:rPr>
                <w:rFonts w:eastAsia="Calibri" w:cs="Tahoma"/>
                <w:lang w:eastAsia="hr-HR"/>
              </w:rPr>
              <w:t>Također, obzirom da se odlukom navodi kako se taksi stajališta određuju prometnim projektom na koju MUP daje suglasnost molim da se isti objavi javno i to prije nego što Odluka ide na usvajanje Gradskom vijeću.</w:t>
            </w:r>
          </w:p>
        </w:tc>
        <w:tc>
          <w:tcPr>
            <w:tcW w:w="3106" w:type="dxa"/>
            <w:tcBorders>
              <w:top w:val="nil"/>
            </w:tcBorders>
            <w:shd w:val="clear" w:color="auto" w:fill="auto"/>
          </w:tcPr>
          <w:p w14:paraId="2FA6E1F1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Djelomično usvojeno te se uz ovo izvješće objavljuje prometni elaborat.</w:t>
            </w:r>
          </w:p>
          <w:p w14:paraId="3036A3C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Nakon usuglašavanja sa MUPom i izradi elaborata,a na zahtjev djelatnika koji obavljaju djelatnost taksi prijevoza</w:t>
            </w:r>
          </w:p>
          <w:p w14:paraId="3B350EB6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Članak 27. postaje članak 26. a st. 5 i 6.glase:</w:t>
            </w:r>
          </w:p>
          <w:p w14:paraId="7D822FA9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(5) Utvrđuju se lokacije autotaxi stajališta na slijedećim lokacijama:</w:t>
            </w:r>
          </w:p>
          <w:p w14:paraId="066B548B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Velom Lošinju – dva u blizini gornjeg parkirališta,</w:t>
            </w:r>
          </w:p>
          <w:p w14:paraId="5E970C92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 Malom Lošinju- dva na Dubovici, četiri na Rivi lošinjskih kapetana u blizini Vele Rive, pet u ulici Braće  Ivana i Stjepana Vidulića ( od ulaska u garažu prema zgradi Opskrbnog centra), dva na Trgu RH, jedno ispred trgovine Lidl na Bočacu, dva u ljetnoj sezoni u ul. Lošinjskih brodograditelja kod Talijanskog vrtića, dva u blizini autobusnog stajališta.</w:t>
            </w:r>
          </w:p>
          <w:p w14:paraId="63CA2018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(6)Na autotaksi stajalištima i stajalištima turističkih autobusa nije dozvoljeno zaustavljanje i </w:t>
            </w:r>
          </w:p>
          <w:p w14:paraId="5C3E1780" w14:textId="77777777" w:rsidR="00A0173F" w:rsidRDefault="00B40C8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parkiranje drugih vozila.</w:t>
            </w:r>
          </w:p>
        </w:tc>
      </w:tr>
    </w:tbl>
    <w:p w14:paraId="281CFEF0" w14:textId="77777777" w:rsidR="00A0173F" w:rsidRDefault="00A0173F"/>
    <w:p w14:paraId="7B6CFDC6" w14:textId="77777777" w:rsidR="00A0173F" w:rsidRDefault="00B40C81">
      <w:pPr>
        <w:spacing w:after="0"/>
        <w:rPr>
          <w:rFonts w:ascii="Calibri" w:hAnsi="Calibri"/>
        </w:rPr>
      </w:pPr>
      <w:r>
        <w:rPr>
          <w:rFonts w:cstheme="minorHAnsi"/>
        </w:rPr>
        <w:t>KLASA: 340-03/22-01/09</w:t>
      </w:r>
    </w:p>
    <w:p w14:paraId="1F5084CD" w14:textId="77777777" w:rsidR="00A0173F" w:rsidRDefault="00B40C81">
      <w:pPr>
        <w:spacing w:after="0"/>
        <w:rPr>
          <w:rFonts w:ascii="Calibri" w:hAnsi="Calibri"/>
        </w:rPr>
      </w:pPr>
      <w:r>
        <w:rPr>
          <w:rFonts w:cstheme="minorHAnsi"/>
        </w:rPr>
        <w:t xml:space="preserve">URBROJ: </w:t>
      </w:r>
      <w:r>
        <w:t>2213/01-01-22-</w:t>
      </w:r>
    </w:p>
    <w:p w14:paraId="6F03674A" w14:textId="5D07492B" w:rsidR="00A0173F" w:rsidRDefault="00B40C81">
      <w:pPr>
        <w:spacing w:after="0"/>
        <w:rPr>
          <w:rFonts w:ascii="Calibri" w:hAnsi="Calibri"/>
        </w:rPr>
      </w:pPr>
      <w:r>
        <w:rPr>
          <w:rFonts w:cstheme="minorHAnsi"/>
        </w:rPr>
        <w:t xml:space="preserve">Mali Lošinj, </w:t>
      </w:r>
      <w:r w:rsidR="00F666B3">
        <w:rPr>
          <w:rFonts w:cstheme="minorHAnsi"/>
        </w:rPr>
        <w:t>04.07</w:t>
      </w:r>
      <w:r>
        <w:rPr>
          <w:rFonts w:cstheme="minorHAnsi"/>
        </w:rPr>
        <w:t xml:space="preserve">.2022. </w:t>
      </w:r>
    </w:p>
    <w:p w14:paraId="709E7246" w14:textId="77777777" w:rsidR="00A0173F" w:rsidRDefault="00A0173F"/>
    <w:sectPr w:rsidR="00A0173F">
      <w:pgSz w:w="16838" w:h="11906" w:orient="landscape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;sans-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3F"/>
    <w:rsid w:val="008D2745"/>
    <w:rsid w:val="009F718C"/>
    <w:rsid w:val="00A0173F"/>
    <w:rsid w:val="00A86B38"/>
    <w:rsid w:val="00B40C81"/>
    <w:rsid w:val="00F663C6"/>
    <w:rsid w:val="00F6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A74A"/>
  <w15:docId w15:val="{E28B12E8-B1AC-47F2-B104-A0C28068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C69"/>
    <w:pPr>
      <w:spacing w:after="200" w:line="276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basedOn w:val="DefaultParagraphFont"/>
    <w:uiPriority w:val="99"/>
    <w:unhideWhenUsed/>
    <w:rsid w:val="00A80CC1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theme="minorHAnsi"/>
      <w:sz w:val="24"/>
      <w:szCs w:val="24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after="160" w:line="252" w:lineRule="auto"/>
      <w:ind w:left="720"/>
      <w:contextualSpacing/>
    </w:pPr>
    <w:rPr>
      <w:rFonts w:ascii="Calibri" w:eastAsia="Calibri" w:hAnsi="Calibri" w:cs="Times New Roman"/>
      <w:lang w:val="hr-BA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customStyle="1" w:styleId="LO-normal">
    <w:name w:val="LO-normal"/>
    <w:qFormat/>
    <w:rPr>
      <w:sz w:val="22"/>
    </w:rPr>
  </w:style>
  <w:style w:type="table" w:styleId="TableGrid">
    <w:name w:val="Table Grid"/>
    <w:basedOn w:val="TableNormal"/>
    <w:uiPriority w:val="59"/>
    <w:rsid w:val="0061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5869</Words>
  <Characters>33459</Characters>
  <Application>Microsoft Office Word</Application>
  <DocSecurity>0</DocSecurity>
  <Lines>278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dc:description/>
  <cp:lastModifiedBy>Martina Krajina</cp:lastModifiedBy>
  <cp:revision>2</cp:revision>
  <cp:lastPrinted>2019-07-23T10:37:00Z</cp:lastPrinted>
  <dcterms:created xsi:type="dcterms:W3CDTF">2022-07-06T13:54:00Z</dcterms:created>
  <dcterms:modified xsi:type="dcterms:W3CDTF">2022-07-06T13:54:00Z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