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67007" w14:textId="77777777" w:rsidR="00FB23A7" w:rsidRPr="00C72921" w:rsidRDefault="00FB23A7">
      <w:pPr>
        <w:pStyle w:val="Standard"/>
        <w:rPr>
          <w:lang w:val="hr-HR"/>
        </w:rPr>
      </w:pPr>
    </w:p>
    <w:p w14:paraId="6B94824D" w14:textId="77777777" w:rsidR="00FB23A7" w:rsidRPr="00C72921" w:rsidRDefault="00FB23A7">
      <w:pPr>
        <w:pStyle w:val="Standard"/>
        <w:rPr>
          <w:lang w:val="hr-HR"/>
        </w:rPr>
      </w:pPr>
    </w:p>
    <w:tbl>
      <w:tblPr>
        <w:tblW w:w="135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1875"/>
        <w:gridCol w:w="2430"/>
        <w:gridCol w:w="6075"/>
        <w:gridCol w:w="2460"/>
      </w:tblGrid>
      <w:tr w:rsidR="00FB23A7" w:rsidRPr="00C72921" w14:paraId="568FDF98" w14:textId="77777777">
        <w:tblPrEx>
          <w:tblCellMar>
            <w:top w:w="0" w:type="dxa"/>
            <w:bottom w:w="0" w:type="dxa"/>
          </w:tblCellMar>
        </w:tblPrEx>
        <w:tc>
          <w:tcPr>
            <w:tcW w:w="13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7A1EF" w14:textId="77777777" w:rsidR="00FB23A7" w:rsidRPr="00C72921" w:rsidRDefault="007610A6">
            <w:pPr>
              <w:pStyle w:val="Header"/>
              <w:jc w:val="center"/>
              <w:rPr>
                <w:lang w:val="hr-HR"/>
              </w:rPr>
            </w:pPr>
            <w:r w:rsidRPr="00C72921">
              <w:rPr>
                <w:rFonts w:ascii="Arial" w:hAnsi="Arial" w:cs="Arial"/>
                <w:b/>
                <w:color w:val="000000"/>
                <w:u w:val="single"/>
                <w:lang w:val="hr-HR"/>
              </w:rPr>
              <w:t>IZVJEŠĆE SA PROVEDENOG JAVNOG SAVJETOVANJA NA</w:t>
            </w:r>
          </w:p>
          <w:p w14:paraId="2BEC1F46" w14:textId="77777777" w:rsidR="00FB23A7" w:rsidRPr="00C72921" w:rsidRDefault="007610A6">
            <w:pPr>
              <w:pStyle w:val="Header"/>
              <w:jc w:val="center"/>
              <w:rPr>
                <w:lang w:val="hr-HR"/>
              </w:rPr>
            </w:pPr>
            <w:r w:rsidRPr="00C72921">
              <w:rPr>
                <w:rFonts w:ascii="Arial" w:hAnsi="Arial" w:cs="Arial"/>
                <w:b/>
                <w:color w:val="000000"/>
                <w:u w:val="single"/>
                <w:lang w:val="hr-HR"/>
              </w:rPr>
              <w:t>ODLUKU  O KOMUNALNOM REDU</w:t>
            </w:r>
          </w:p>
          <w:p w14:paraId="1C7884EB" w14:textId="77777777" w:rsidR="00FB23A7" w:rsidRPr="00C72921" w:rsidRDefault="007610A6">
            <w:pPr>
              <w:pStyle w:val="Header"/>
              <w:jc w:val="center"/>
              <w:rPr>
                <w:color w:val="000000"/>
                <w:lang w:val="hr-HR"/>
              </w:rPr>
            </w:pPr>
            <w:r w:rsidRPr="00C72921">
              <w:rPr>
                <w:rFonts w:ascii="Arial" w:hAnsi="Arial" w:cs="Arial"/>
                <w:b/>
                <w:color w:val="000000"/>
                <w:u w:val="single"/>
                <w:lang w:val="hr-HR"/>
              </w:rPr>
              <w:t>(21.06.2019.-21.07.2019.)</w:t>
            </w:r>
          </w:p>
        </w:tc>
      </w:tr>
      <w:tr w:rsidR="00FB23A7" w:rsidRPr="00C72921" w14:paraId="067C9CFC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1BB35" w14:textId="77777777" w:rsidR="00FB23A7" w:rsidRPr="00C72921" w:rsidRDefault="007610A6">
            <w:pPr>
              <w:pStyle w:val="Standard"/>
              <w:rPr>
                <w:color w:val="000000"/>
                <w:lang w:val="hr-HR"/>
              </w:rPr>
            </w:pPr>
            <w:r w:rsidRPr="00C72921">
              <w:rPr>
                <w:rFonts w:ascii="Arial" w:hAnsi="Arial" w:cs="Arial"/>
                <w:color w:val="000000"/>
                <w:lang w:val="hr-HR"/>
              </w:rPr>
              <w:t>Rd.br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7DD29" w14:textId="77777777" w:rsidR="00FB23A7" w:rsidRPr="00C72921" w:rsidRDefault="007610A6">
            <w:pPr>
              <w:pStyle w:val="Standard"/>
              <w:rPr>
                <w:color w:val="000000"/>
                <w:lang w:val="hr-HR"/>
              </w:rPr>
            </w:pPr>
            <w:r w:rsidRPr="00C72921">
              <w:rPr>
                <w:rFonts w:ascii="Arial" w:hAnsi="Arial" w:cs="Arial"/>
                <w:color w:val="000000"/>
                <w:lang w:val="hr-HR"/>
              </w:rPr>
              <w:t>NAZIV/IME I PREZIME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C3FDD" w14:textId="77777777" w:rsidR="00FB23A7" w:rsidRPr="00C72921" w:rsidRDefault="007610A6">
            <w:pPr>
              <w:pStyle w:val="Standard"/>
              <w:rPr>
                <w:color w:val="000000"/>
                <w:lang w:val="hr-HR"/>
              </w:rPr>
            </w:pPr>
            <w:r w:rsidRPr="00C72921">
              <w:rPr>
                <w:rFonts w:ascii="Arial" w:hAnsi="Arial" w:cs="Arial"/>
                <w:color w:val="000000"/>
                <w:lang w:val="hr-HR"/>
              </w:rPr>
              <w:t>E-MAIL/ADRESA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AF68D" w14:textId="77777777" w:rsidR="00FB23A7" w:rsidRPr="00C72921" w:rsidRDefault="007610A6">
            <w:pPr>
              <w:pStyle w:val="Standard"/>
              <w:rPr>
                <w:color w:val="000000"/>
                <w:lang w:val="hr-HR"/>
              </w:rPr>
            </w:pPr>
            <w:r w:rsidRPr="00C72921">
              <w:rPr>
                <w:rFonts w:ascii="Arial" w:hAnsi="Arial" w:cs="Arial"/>
                <w:color w:val="000000"/>
                <w:lang w:val="hr-HR"/>
              </w:rPr>
              <w:t>PRIMJEDBA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13CF8" w14:textId="77777777" w:rsidR="00FB23A7" w:rsidRPr="00C72921" w:rsidRDefault="007610A6">
            <w:pPr>
              <w:pStyle w:val="Standard"/>
              <w:rPr>
                <w:color w:val="000000"/>
                <w:lang w:val="hr-HR"/>
              </w:rPr>
            </w:pPr>
            <w:r w:rsidRPr="00C72921">
              <w:rPr>
                <w:rFonts w:ascii="Arial" w:hAnsi="Arial" w:cs="Arial"/>
                <w:color w:val="000000"/>
                <w:lang w:val="hr-HR"/>
              </w:rPr>
              <w:t>ODGOVOR/NAPOMENA</w:t>
            </w:r>
          </w:p>
        </w:tc>
      </w:tr>
      <w:tr w:rsidR="00FB23A7" w:rsidRPr="00C72921" w14:paraId="2556E57D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F2D6F" w14:textId="77777777" w:rsidR="00FB23A7" w:rsidRPr="00C72921" w:rsidRDefault="00FB23A7">
            <w:pPr>
              <w:pStyle w:val="Standard"/>
              <w:rPr>
                <w:color w:val="000000"/>
                <w:lang w:val="hr-HR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EFCDF" w14:textId="77777777" w:rsidR="00FB23A7" w:rsidRPr="00C72921" w:rsidRDefault="007610A6">
            <w:pPr>
              <w:pStyle w:val="Standard"/>
              <w:rPr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Komunalne usluge Cres Lošinj d.o.o.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7F976" w14:textId="77777777" w:rsidR="00FB23A7" w:rsidRPr="00C72921" w:rsidRDefault="007610A6">
            <w:pPr>
              <w:pStyle w:val="Standard"/>
              <w:rPr>
                <w:sz w:val="22"/>
                <w:szCs w:val="22"/>
                <w:lang w:val="hr-HR"/>
              </w:rPr>
            </w:pPr>
            <w:r w:rsidRPr="00C7292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Mije Mirkovića 17</w:t>
            </w:r>
          </w:p>
          <w:p w14:paraId="660A06D8" w14:textId="77777777" w:rsidR="00FB23A7" w:rsidRPr="00C72921" w:rsidRDefault="007610A6">
            <w:pPr>
              <w:pStyle w:val="Standard"/>
              <w:rPr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Mali Lošinj</w:t>
            </w:r>
          </w:p>
          <w:p w14:paraId="29B58AA6" w14:textId="77777777" w:rsidR="00FB23A7" w:rsidRPr="00C72921" w:rsidRDefault="007610A6">
            <w:pPr>
              <w:pStyle w:val="Standard"/>
              <w:rPr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antonio.viskic@kucl.hr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4D7A6" w14:textId="77777777" w:rsidR="00FB23A7" w:rsidRPr="00C72921" w:rsidRDefault="00FB23A7">
            <w:pPr>
              <w:pStyle w:val="Standard"/>
              <w:rPr>
                <w:color w:val="000000"/>
                <w:lang w:val="hr-HR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1D0DF" w14:textId="77777777" w:rsidR="00FB23A7" w:rsidRPr="00C72921" w:rsidRDefault="00FB23A7">
            <w:pPr>
              <w:pStyle w:val="Standard"/>
              <w:rPr>
                <w:color w:val="000000"/>
                <w:lang w:val="hr-HR"/>
              </w:rPr>
            </w:pPr>
          </w:p>
        </w:tc>
      </w:tr>
      <w:tr w:rsidR="00FB23A7" w:rsidRPr="00C72921" w14:paraId="01EEDFE0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EA429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43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C71C3" w14:textId="77777777" w:rsidR="00FB23A7" w:rsidRPr="00C72921" w:rsidRDefault="00FB23A7">
            <w:pPr>
              <w:pStyle w:val="Standard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540DF" w14:textId="77777777" w:rsidR="00FB23A7" w:rsidRPr="00C72921" w:rsidRDefault="007610A6">
            <w:pPr>
              <w:pStyle w:val="Standard"/>
              <w:jc w:val="both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Članak 2. točka 3</w:t>
            </w:r>
            <w:r w:rsidRPr="00C72921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 xml:space="preserve">  </w:t>
            </w:r>
            <w:r w:rsidRPr="00C72921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 xml:space="preserve">„Način uređenja i korištenja javne površina javne namjene i zemljišta, te građevina, uređaja i </w:t>
            </w:r>
            <w:r w:rsidRPr="00C72921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oprema u  vlasništvu Grada za gospodarske i druge svrhe te uvjeti korištenja javnih parkirališta, javnih garaža, nerazvrstanih cesta i dr površina javne namjene za parkiranje vozila - Dodaje se građevina, uređaja i oprema”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68EBE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prihvaća.</w:t>
            </w:r>
          </w:p>
        </w:tc>
      </w:tr>
      <w:tr w:rsidR="00FB23A7" w:rsidRPr="00C72921" w14:paraId="4C437543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F477A" w14:textId="77777777" w:rsidR="00FB23A7" w:rsidRPr="00C72921" w:rsidRDefault="007610A6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43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E885" w14:textId="77777777" w:rsidR="00000000" w:rsidRPr="00C72921" w:rsidRDefault="007610A6">
            <w:pPr>
              <w:rPr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5EE96" w14:textId="77777777" w:rsidR="00FB23A7" w:rsidRPr="00C72921" w:rsidRDefault="007610A6">
            <w:pPr>
              <w:pStyle w:val="Standard"/>
              <w:jc w:val="both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Članak 4 i članak 5 „U članku 4 maknuti</w:t>
            </w:r>
            <w:r w:rsidRPr="00C7292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točku 5 pod stavkom 3 te istu dodati u članku 5 pod stavkom 1, u isti stavak dodati i skale za more, ograde, zastave i sl.”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EDA23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prihvaća.</w:t>
            </w:r>
          </w:p>
        </w:tc>
      </w:tr>
      <w:tr w:rsidR="00FB23A7" w:rsidRPr="00C72921" w14:paraId="0358CB10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6719E" w14:textId="77777777" w:rsidR="00FB23A7" w:rsidRPr="00C72921" w:rsidRDefault="007610A6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color w:val="00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43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191EA" w14:textId="77777777" w:rsidR="00000000" w:rsidRPr="00C72921" w:rsidRDefault="007610A6">
            <w:pPr>
              <w:rPr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79DD7" w14:textId="77777777" w:rsidR="00FB23A7" w:rsidRPr="00C72921" w:rsidRDefault="007610A6">
            <w:pPr>
              <w:pStyle w:val="TableContents"/>
              <w:jc w:val="both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 xml:space="preserve">Članak 13 </w:t>
            </w:r>
            <w:r w:rsidRPr="00C72921">
              <w:rPr>
                <w:rFonts w:ascii="Arial" w:eastAsia="Calibri" w:hAnsi="Arial" w:cs="Tahoma"/>
                <w:color w:val="000000"/>
                <w:sz w:val="22"/>
                <w:szCs w:val="22"/>
                <w:lang w:val="hr-HR" w:eastAsia="hr-HR"/>
              </w:rPr>
              <w:t xml:space="preserve">Izmijeniti naslov u Uređenje ograda, vrtova, </w:t>
            </w:r>
            <w:r w:rsidRPr="00C72921">
              <w:rPr>
                <w:rFonts w:ascii="Arial" w:eastAsia="Calibri" w:hAnsi="Arial" w:cs="Tahoma"/>
                <w:color w:val="000000"/>
                <w:sz w:val="22"/>
                <w:szCs w:val="22"/>
                <w:lang w:val="hr-HR" w:eastAsia="hr-HR"/>
              </w:rPr>
              <w:t>voćnjaka i sličnih okućnica površina (okućnica) te sva neizgrađena i izgrađena građevinska zemljišta unutar naselja</w:t>
            </w:r>
          </w:p>
          <w:p w14:paraId="246F2729" w14:textId="77777777" w:rsidR="00FB23A7" w:rsidRPr="00C72921" w:rsidRDefault="007610A6">
            <w:pPr>
              <w:pStyle w:val="TableContents"/>
              <w:jc w:val="both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eastAsia="Calibri" w:hAnsi="Arial" w:cs="Tahoma"/>
                <w:color w:val="000000"/>
                <w:sz w:val="22"/>
                <w:szCs w:val="22"/>
                <w:lang w:val="hr-HR" w:eastAsia="hr-HR"/>
              </w:rPr>
              <w:t>U stavku 1 članka 13 maknuti (bez fuge)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E1281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prihvaća.</w:t>
            </w:r>
          </w:p>
        </w:tc>
      </w:tr>
      <w:tr w:rsidR="00FB23A7" w:rsidRPr="00C72921" w14:paraId="2810F7F0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2E362" w14:textId="77777777" w:rsidR="00FB23A7" w:rsidRPr="00C72921" w:rsidRDefault="007610A6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43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9CD6A" w14:textId="77777777" w:rsidR="00000000" w:rsidRPr="00C72921" w:rsidRDefault="007610A6">
            <w:pPr>
              <w:rPr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A38CC" w14:textId="77777777" w:rsidR="00FB23A7" w:rsidRPr="00C72921" w:rsidRDefault="007610A6">
            <w:pPr>
              <w:pStyle w:val="Textbody"/>
              <w:jc w:val="both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Članak 14 U stavku 3 dodati t</w:t>
            </w: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e neizgrađena i izgrađena građevinska zemljišta unutar naselja U stavku 7 dodati kako se odnosi na novoizgrađene površine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1AE85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prihvaća.</w:t>
            </w:r>
          </w:p>
        </w:tc>
      </w:tr>
      <w:tr w:rsidR="00FB23A7" w:rsidRPr="00C72921" w14:paraId="5DC7CEAC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480F0" w14:textId="77777777" w:rsidR="00FB23A7" w:rsidRPr="00C72921" w:rsidRDefault="007610A6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43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34D5A" w14:textId="77777777" w:rsidR="00000000" w:rsidRPr="00C72921" w:rsidRDefault="007610A6">
            <w:pPr>
              <w:rPr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B718E" w14:textId="77777777" w:rsidR="00FB23A7" w:rsidRPr="00C72921" w:rsidRDefault="007610A6">
            <w:pPr>
              <w:pStyle w:val="Textbody"/>
              <w:jc w:val="both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 xml:space="preserve">Članak 16 Dodati stavak 3 koji definira da predmeti iz stavka 1 koji se postavljaju na području urbanističke cjeline grada koja je </w:t>
            </w: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 xml:space="preserve">zaštićena kao spomenik kulture, ili kao pojedinačno kulturno dobro, se mogu postaviti uz suglasnost nadležnog odjela Ministarstva kulture, također za isti stavak dodati </w:t>
            </w: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lastRenderedPageBreak/>
              <w:t>prekršajnu odredbu . Također u pripadajućem članku isto dodati da se predmetno odnosi i</w:t>
            </w: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 xml:space="preserve"> na bankomate.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011CE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lastRenderedPageBreak/>
              <w:t>Primjedba se prihvaća.</w:t>
            </w:r>
          </w:p>
        </w:tc>
      </w:tr>
      <w:tr w:rsidR="00FB23A7" w:rsidRPr="00C72921" w14:paraId="320A65E3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07739" w14:textId="77777777" w:rsidR="00FB23A7" w:rsidRPr="00C72921" w:rsidRDefault="007610A6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color w:val="000000"/>
                <w:sz w:val="22"/>
                <w:szCs w:val="22"/>
                <w:lang w:val="hr-HR"/>
              </w:rPr>
              <w:t>6</w:t>
            </w:r>
          </w:p>
        </w:tc>
        <w:tc>
          <w:tcPr>
            <w:tcW w:w="430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A9E47" w14:textId="77777777" w:rsidR="00FB23A7" w:rsidRPr="00C72921" w:rsidRDefault="00FB23A7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6B1BB" w14:textId="77777777" w:rsidR="00FB23A7" w:rsidRPr="00C72921" w:rsidRDefault="007610A6">
            <w:pPr>
              <w:pStyle w:val="Textbody"/>
              <w:jc w:val="both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Članak 20 Maknuti u stavku 2 „bez prethodne obavijesti”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D25A7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prihvaća.</w:t>
            </w:r>
          </w:p>
        </w:tc>
      </w:tr>
      <w:tr w:rsidR="00FB23A7" w:rsidRPr="00C72921" w14:paraId="2068D048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396CC" w14:textId="77777777" w:rsidR="00FB23A7" w:rsidRPr="00C72921" w:rsidRDefault="007610A6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color w:val="000000"/>
                <w:sz w:val="22"/>
                <w:szCs w:val="22"/>
                <w:lang w:val="hr-HR"/>
              </w:rPr>
              <w:t>7</w:t>
            </w:r>
          </w:p>
        </w:tc>
        <w:tc>
          <w:tcPr>
            <w:tcW w:w="43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CE813" w14:textId="77777777" w:rsidR="00000000" w:rsidRPr="00C72921" w:rsidRDefault="007610A6">
            <w:pPr>
              <w:rPr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0042F" w14:textId="77777777" w:rsidR="00FB23A7" w:rsidRPr="00C72921" w:rsidRDefault="007610A6">
            <w:pPr>
              <w:pStyle w:val="Textbody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Članak 23 Stavak 1 potrebno izmijeniti na način zabranjeno je izvođenje žive glazbe bez odobrenja nadležnog tijela..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D4C66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prihvaća.</w:t>
            </w:r>
          </w:p>
        </w:tc>
      </w:tr>
      <w:tr w:rsidR="00FB23A7" w:rsidRPr="00C72921" w14:paraId="3A20C711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B0ADB" w14:textId="77777777" w:rsidR="00FB23A7" w:rsidRPr="00C72921" w:rsidRDefault="007610A6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color w:val="000000"/>
                <w:sz w:val="22"/>
                <w:szCs w:val="22"/>
                <w:lang w:val="hr-HR"/>
              </w:rPr>
              <w:t>8</w:t>
            </w:r>
          </w:p>
        </w:tc>
        <w:tc>
          <w:tcPr>
            <w:tcW w:w="43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C764E" w14:textId="77777777" w:rsidR="00000000" w:rsidRPr="00C72921" w:rsidRDefault="007610A6">
            <w:pPr>
              <w:rPr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38D30" w14:textId="77777777" w:rsidR="00FB23A7" w:rsidRPr="00C72921" w:rsidRDefault="007610A6"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eastAsia="Calibri" w:hAnsi="Arial" w:cs="Tahoma"/>
                <w:color w:val="000000"/>
                <w:sz w:val="22"/>
                <w:szCs w:val="22"/>
                <w:lang w:val="hr-HR" w:eastAsia="hr-HR"/>
              </w:rPr>
              <w:t>Članak 26 U stavku 3 maknuti „bez posebne obavijesti“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C5836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prihvaća.</w:t>
            </w:r>
          </w:p>
        </w:tc>
      </w:tr>
      <w:tr w:rsidR="00FB23A7" w:rsidRPr="00C72921" w14:paraId="6C720C43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19A8A" w14:textId="77777777" w:rsidR="00FB23A7" w:rsidRPr="00C72921" w:rsidRDefault="007610A6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color w:val="000000"/>
                <w:sz w:val="22"/>
                <w:szCs w:val="22"/>
                <w:lang w:val="hr-HR"/>
              </w:rPr>
              <w:t>9</w:t>
            </w:r>
          </w:p>
        </w:tc>
        <w:tc>
          <w:tcPr>
            <w:tcW w:w="43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25EED" w14:textId="77777777" w:rsidR="00000000" w:rsidRPr="00C72921" w:rsidRDefault="007610A6">
            <w:pPr>
              <w:rPr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065D1" w14:textId="77777777" w:rsidR="00FB23A7" w:rsidRPr="00C72921" w:rsidRDefault="007610A6"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U odluci dodati članak koji će zabraniti šetanje gradom u kupaćim kostimima.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ED3D9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odbija jer se u luci nalaze vezovi jahtaša te b</w:t>
            </w: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i primjena takvog članka dovela do negativnog efekta.</w:t>
            </w:r>
          </w:p>
        </w:tc>
      </w:tr>
      <w:tr w:rsidR="00FB23A7" w:rsidRPr="00C72921" w14:paraId="5E038F4D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D5DC6" w14:textId="77777777" w:rsidR="00FB23A7" w:rsidRPr="00C72921" w:rsidRDefault="007610A6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color w:val="000000"/>
                <w:sz w:val="22"/>
                <w:szCs w:val="22"/>
                <w:lang w:val="hr-HR"/>
              </w:rPr>
              <w:t>10</w:t>
            </w:r>
          </w:p>
        </w:tc>
        <w:tc>
          <w:tcPr>
            <w:tcW w:w="43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36373" w14:textId="77777777" w:rsidR="00000000" w:rsidRPr="00C72921" w:rsidRDefault="007610A6">
            <w:pPr>
              <w:rPr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B099E" w14:textId="77777777" w:rsidR="00FB23A7" w:rsidRPr="00C72921" w:rsidRDefault="007610A6"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eastAsia="Calibri" w:hAnsi="Arial" w:cs="Tahoma"/>
                <w:color w:val="000000"/>
                <w:sz w:val="22"/>
                <w:szCs w:val="22"/>
                <w:lang w:val="hr-HR" w:eastAsia="hr-HR"/>
              </w:rPr>
              <w:t xml:space="preserve">U odluci se neregistrirana vozila smatraju </w:t>
            </w:r>
            <w:r w:rsidRPr="00C72921">
              <w:rPr>
                <w:rFonts w:ascii="Arial" w:eastAsia="Calibri" w:hAnsi="Arial" w:cs="Tahoma"/>
                <w:color w:val="000000"/>
                <w:sz w:val="22"/>
                <w:szCs w:val="22"/>
                <w:lang w:val="hr-HR" w:eastAsia="hr-HR"/>
              </w:rPr>
              <w:t>komunalnim otpadom, na više mjesta što je dosta nejasno jer Zakon o održivom gospodarenju otpadom olupine svrstava u komunalni otpad. Također je upitno dali se može uklonjeno vozilo čuvati samo 30 dana.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CE03E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prihvaća u djelu svrstavanje olupine u komunalni otpad. Vozilo se čuva 30 dana po procjeni Povjerenstva.</w:t>
            </w:r>
          </w:p>
        </w:tc>
      </w:tr>
      <w:tr w:rsidR="00FB23A7" w:rsidRPr="00C72921" w14:paraId="35DB86EE" w14:textId="77777777">
        <w:tblPrEx>
          <w:tblCellMar>
            <w:top w:w="0" w:type="dxa"/>
            <w:bottom w:w="0" w:type="dxa"/>
          </w:tblCellMar>
        </w:tblPrEx>
        <w:tc>
          <w:tcPr>
            <w:tcW w:w="135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D6293" w14:textId="77777777" w:rsidR="00FB23A7" w:rsidRPr="00C72921" w:rsidRDefault="00FB23A7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FB23A7" w:rsidRPr="00C72921" w14:paraId="323F8966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43705" w14:textId="77777777" w:rsidR="00FB23A7" w:rsidRPr="00C72921" w:rsidRDefault="00FB23A7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F9D80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Anna Lenhart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9F371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anna.lenhart.dr@gmail.com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D1BE1" w14:textId="77777777" w:rsidR="00FB23A7" w:rsidRPr="00C72921" w:rsidRDefault="00FB23A7"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35AD0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</w:tr>
      <w:tr w:rsidR="00FB23A7" w:rsidRPr="00C72921" w14:paraId="56C5EACE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6CB7F" w14:textId="77777777" w:rsidR="00FB23A7" w:rsidRPr="00C72921" w:rsidRDefault="007610A6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4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99EE1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0EC1D" w14:textId="77777777" w:rsidR="00FB23A7" w:rsidRPr="00C72921" w:rsidRDefault="007610A6"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Javna parkirališta – trebalo bi urediti prostor za javni parking u Sv. Jakovu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EEE3A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 xml:space="preserve">Primjedba se odbija jer javna </w:t>
            </w: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parkirališta, kao ni njihovo uređenje jer nisu predmet Odluke o komunalnom redu, već druge odluke Grada.</w:t>
            </w:r>
          </w:p>
        </w:tc>
      </w:tr>
      <w:tr w:rsidR="00FB23A7" w:rsidRPr="00C72921" w14:paraId="4DAA4312" w14:textId="77777777">
        <w:tblPrEx>
          <w:tblCellMar>
            <w:top w:w="0" w:type="dxa"/>
            <w:bottom w:w="0" w:type="dxa"/>
          </w:tblCellMar>
        </w:tblPrEx>
        <w:tc>
          <w:tcPr>
            <w:tcW w:w="135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DC279" w14:textId="77777777" w:rsidR="00FB23A7" w:rsidRPr="00C72921" w:rsidRDefault="00FB23A7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FB23A7" w:rsidRPr="00C72921" w14:paraId="792F46C0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BDC57" w14:textId="77777777" w:rsidR="00FB23A7" w:rsidRPr="00C72921" w:rsidRDefault="00FB23A7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0B511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Jasmina Fuks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F479B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jasmina.fuks@mali-losinj.hr</w:t>
            </w: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AFDDF" w14:textId="77777777" w:rsidR="00FB23A7" w:rsidRPr="00C72921" w:rsidRDefault="00FB23A7"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A1187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</w:tr>
      <w:tr w:rsidR="00FB23A7" w:rsidRPr="00C72921" w14:paraId="3A7621F6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A245F" w14:textId="77777777" w:rsidR="00FB23A7" w:rsidRPr="00C72921" w:rsidRDefault="00FB23A7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20449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B5210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81F3C" w14:textId="77777777" w:rsidR="00FB23A7" w:rsidRPr="00C72921" w:rsidRDefault="007610A6">
            <w:pPr>
              <w:pStyle w:val="Textbody"/>
              <w:spacing w:after="0" w:line="240" w:lineRule="auto"/>
              <w:rPr>
                <w:rFonts w:ascii="Arial" w:hAnsi="Arial"/>
                <w:color w:val="000000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Cs w:val="22"/>
                <w:lang w:val="hr-HR"/>
              </w:rPr>
              <w:t xml:space="preserve">na JP nije dozvoljeno upotrebljavati za sport i igru, ukoliko iste nisu </w:t>
            </w:r>
            <w:r w:rsidRPr="00C72921">
              <w:rPr>
                <w:rFonts w:ascii="Arial" w:hAnsi="Arial"/>
                <w:color w:val="000000"/>
                <w:szCs w:val="22"/>
                <w:lang w:val="hr-HR"/>
              </w:rPr>
              <w:t>tome namijenjene i ukoliko se ne radi o nekakvoj manifestaciji.</w:t>
            </w:r>
          </w:p>
          <w:p w14:paraId="5162F818" w14:textId="77777777" w:rsidR="00FB23A7" w:rsidRPr="00C72921" w:rsidRDefault="007610A6">
            <w:pPr>
              <w:pStyle w:val="Textbody"/>
              <w:spacing w:after="0" w:line="240" w:lineRule="auto"/>
              <w:rPr>
                <w:rFonts w:ascii="Arial" w:hAnsi="Arial"/>
                <w:color w:val="000000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Cs w:val="22"/>
                <w:lang w:val="hr-HR"/>
              </w:rPr>
              <w:t>na JP nije dozvoljeno nuđenje</w:t>
            </w:r>
            <w:bookmarkStart w:id="0" w:name="_GoBack"/>
            <w:bookmarkEnd w:id="0"/>
            <w:r w:rsidRPr="00C72921">
              <w:rPr>
                <w:rFonts w:ascii="Arial" w:hAnsi="Arial"/>
                <w:color w:val="000000"/>
                <w:szCs w:val="22"/>
                <w:lang w:val="hr-HR"/>
              </w:rPr>
              <w:t>, nagovaranje  ili prodaja usluga hrane i pića, kao i smještaja</w:t>
            </w:r>
          </w:p>
          <w:p w14:paraId="5CD48C81" w14:textId="77777777" w:rsidR="00FB23A7" w:rsidRPr="00C72921" w:rsidRDefault="00FB23A7">
            <w:pPr>
              <w:pStyle w:val="Standard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F1E42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prihvaća.</w:t>
            </w:r>
          </w:p>
          <w:p w14:paraId="01D8AB50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  <w:p w14:paraId="7030CDAA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  <w:p w14:paraId="1B4ED60B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prihvaća.</w:t>
            </w:r>
          </w:p>
        </w:tc>
      </w:tr>
      <w:tr w:rsidR="00FB23A7" w:rsidRPr="00C72921" w14:paraId="40F11992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BC86" w14:textId="77777777" w:rsidR="00FB23A7" w:rsidRPr="00C72921" w:rsidRDefault="00FB23A7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3893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9155B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4EF26" w14:textId="77777777" w:rsidR="00FB23A7" w:rsidRPr="00C72921" w:rsidRDefault="007610A6">
            <w:pPr>
              <w:pStyle w:val="Textbody"/>
              <w:spacing w:after="0" w:line="240" w:lineRule="auto"/>
              <w:rPr>
                <w:rFonts w:ascii="Arial" w:hAnsi="Arial"/>
                <w:color w:val="000000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Cs w:val="22"/>
                <w:lang w:val="hr-HR"/>
              </w:rPr>
              <w:t>nije dopušteno zadržavanje na JP ispred trgovina i ugostiteljskih objekata radi konzumacije alkoholnih i bezalkoholnih pića</w:t>
            </w:r>
          </w:p>
          <w:p w14:paraId="7B1722EC" w14:textId="77777777" w:rsidR="00FB23A7" w:rsidRPr="00C72921" w:rsidRDefault="00FB23A7">
            <w:pPr>
              <w:pStyle w:val="Textbody"/>
              <w:spacing w:after="0" w:line="240" w:lineRule="auto"/>
              <w:rPr>
                <w:rFonts w:ascii="Arial" w:hAnsi="Arial"/>
                <w:color w:val="000000"/>
                <w:szCs w:val="22"/>
                <w:lang w:val="hr-HR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3B8B0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prihvaća.</w:t>
            </w:r>
          </w:p>
        </w:tc>
      </w:tr>
      <w:tr w:rsidR="00FB23A7" w:rsidRPr="00C72921" w14:paraId="59B22340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EC383" w14:textId="77777777" w:rsidR="00FB23A7" w:rsidRPr="00C72921" w:rsidRDefault="00FB23A7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F71C0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BA1A6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54169" w14:textId="77777777" w:rsidR="00FB23A7" w:rsidRPr="00C72921" w:rsidRDefault="007610A6">
            <w:pPr>
              <w:pStyle w:val="Textbody"/>
              <w:spacing w:after="0" w:line="240" w:lineRule="auto"/>
              <w:rPr>
                <w:rFonts w:ascii="Arial" w:hAnsi="Arial"/>
                <w:color w:val="000000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Cs w:val="22"/>
                <w:lang w:val="hr-HR"/>
              </w:rPr>
              <w:t>nije dopušteno odbacivanje glomaznog otpada po javnim površinama</w:t>
            </w:r>
          </w:p>
          <w:p w14:paraId="79AB2664" w14:textId="77777777" w:rsidR="00FB23A7" w:rsidRPr="00C72921" w:rsidRDefault="00FB23A7">
            <w:pPr>
              <w:pStyle w:val="Textbody"/>
              <w:spacing w:after="0" w:line="240" w:lineRule="auto"/>
              <w:rPr>
                <w:rFonts w:ascii="Arial" w:hAnsi="Arial"/>
                <w:color w:val="000000"/>
                <w:szCs w:val="22"/>
                <w:lang w:val="hr-HR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CD4F2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odbija jer se navedeno nalazi u Odluci.</w:t>
            </w:r>
          </w:p>
        </w:tc>
      </w:tr>
      <w:tr w:rsidR="00FB23A7" w:rsidRPr="00C72921" w14:paraId="54B103B3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F3833" w14:textId="77777777" w:rsidR="00FB23A7" w:rsidRPr="00C72921" w:rsidRDefault="00FB23A7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BD039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FF06C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757A5" w14:textId="77777777" w:rsidR="00FB23A7" w:rsidRPr="00C72921" w:rsidRDefault="007610A6">
            <w:pPr>
              <w:pStyle w:val="Textbody"/>
              <w:spacing w:after="0" w:line="240" w:lineRule="auto"/>
              <w:rPr>
                <w:rFonts w:ascii="Arial" w:hAnsi="Arial"/>
                <w:color w:val="000000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Cs w:val="22"/>
                <w:lang w:val="hr-HR"/>
              </w:rPr>
              <w:t>članak vezan za pasmine je potrebno uskladiti sa Odlukom o kućnim ljubimcina Grada Maloga Lošinja, kao i dodati prekršajne mjere</w:t>
            </w:r>
          </w:p>
          <w:p w14:paraId="523A2ACF" w14:textId="77777777" w:rsidR="00FB23A7" w:rsidRPr="00C72921" w:rsidRDefault="00FB23A7">
            <w:pPr>
              <w:pStyle w:val="Textbody"/>
              <w:spacing w:after="0" w:line="240" w:lineRule="auto"/>
              <w:rPr>
                <w:rFonts w:ascii="Arial" w:hAnsi="Arial"/>
                <w:color w:val="000000"/>
                <w:szCs w:val="22"/>
                <w:lang w:val="hr-HR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9272F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prihvaća.</w:t>
            </w:r>
          </w:p>
        </w:tc>
      </w:tr>
      <w:tr w:rsidR="00FB23A7" w:rsidRPr="00C72921" w14:paraId="1464974A" w14:textId="77777777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7CAC3" w14:textId="77777777" w:rsidR="00FB23A7" w:rsidRPr="00C72921" w:rsidRDefault="00FB23A7">
            <w:pPr>
              <w:pStyle w:val="TableContents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A616C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84A1E" w14:textId="77777777" w:rsidR="00FB23A7" w:rsidRPr="00C72921" w:rsidRDefault="00FB23A7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05198" w14:textId="77777777" w:rsidR="00FB23A7" w:rsidRPr="00C72921" w:rsidRDefault="007610A6">
            <w:pPr>
              <w:pStyle w:val="Textbody"/>
              <w:spacing w:after="0" w:line="240" w:lineRule="auto"/>
              <w:rPr>
                <w:rFonts w:ascii="Arial" w:hAnsi="Arial"/>
                <w:color w:val="000000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Cs w:val="22"/>
                <w:lang w:val="hr-HR"/>
              </w:rPr>
              <w:t>potrebno dodati prekršajne mjere za uništavanje komunalne opreme.</w:t>
            </w:r>
          </w:p>
          <w:p w14:paraId="6EE6EEE3" w14:textId="77777777" w:rsidR="00FB23A7" w:rsidRPr="00C72921" w:rsidRDefault="00FB23A7">
            <w:pPr>
              <w:pStyle w:val="Textbody"/>
              <w:spacing w:after="0" w:line="240" w:lineRule="auto"/>
              <w:rPr>
                <w:rFonts w:ascii="Arial" w:hAnsi="Arial"/>
                <w:color w:val="000000"/>
                <w:szCs w:val="22"/>
                <w:lang w:val="hr-HR"/>
              </w:rPr>
            </w:pP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75CEC" w14:textId="77777777" w:rsidR="00FB23A7" w:rsidRPr="00C72921" w:rsidRDefault="007610A6">
            <w:pPr>
              <w:pStyle w:val="TableContents"/>
              <w:rPr>
                <w:rFonts w:ascii="Arial" w:hAnsi="Arial"/>
                <w:color w:val="000000"/>
                <w:sz w:val="22"/>
                <w:szCs w:val="22"/>
                <w:lang w:val="hr-HR"/>
              </w:rPr>
            </w:pPr>
            <w:r w:rsidRPr="00C72921">
              <w:rPr>
                <w:rFonts w:ascii="Arial" w:hAnsi="Arial"/>
                <w:color w:val="000000"/>
                <w:sz w:val="22"/>
                <w:szCs w:val="22"/>
                <w:lang w:val="hr-HR"/>
              </w:rPr>
              <w:t>Primjedba se odbija jer se navedeno nalazi u Odluci.</w:t>
            </w:r>
          </w:p>
        </w:tc>
      </w:tr>
    </w:tbl>
    <w:p w14:paraId="720CA548" w14:textId="77777777" w:rsidR="00FB23A7" w:rsidRPr="00C72921" w:rsidRDefault="00FB23A7">
      <w:pPr>
        <w:pStyle w:val="Standard"/>
        <w:rPr>
          <w:lang w:val="hr-HR"/>
        </w:rPr>
      </w:pPr>
    </w:p>
    <w:sectPr w:rsidR="00FB23A7" w:rsidRPr="00C72921">
      <w:pgSz w:w="15840" w:h="12240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38539" w14:textId="77777777" w:rsidR="007610A6" w:rsidRDefault="007610A6">
      <w:pPr>
        <w:rPr>
          <w:rFonts w:hint="eastAsia"/>
        </w:rPr>
      </w:pPr>
      <w:r>
        <w:separator/>
      </w:r>
    </w:p>
  </w:endnote>
  <w:endnote w:type="continuationSeparator" w:id="0">
    <w:p w14:paraId="55486511" w14:textId="77777777" w:rsidR="007610A6" w:rsidRDefault="007610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D5A9F" w14:textId="77777777" w:rsidR="007610A6" w:rsidRDefault="007610A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24F8298" w14:textId="77777777" w:rsidR="007610A6" w:rsidRDefault="007610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23A7"/>
    <w:rsid w:val="00223F00"/>
    <w:rsid w:val="005067B6"/>
    <w:rsid w:val="007610A6"/>
    <w:rsid w:val="00B25037"/>
    <w:rsid w:val="00C72921"/>
    <w:rsid w:val="00DD3091"/>
    <w:rsid w:val="00FB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08CF"/>
  <w15:docId w15:val="{ED5DAC9F-C9A2-4C5B-A06C-ED3B5783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Krajina</dc:creator>
  <cp:lastModifiedBy>Martina Krajina</cp:lastModifiedBy>
  <cp:revision>2</cp:revision>
  <dcterms:created xsi:type="dcterms:W3CDTF">2019-07-25T13:42:00Z</dcterms:created>
  <dcterms:modified xsi:type="dcterms:W3CDTF">2019-07-25T13:42:00Z</dcterms:modified>
</cp:coreProperties>
</file>