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C76C" w14:textId="2AF10D90" w:rsidR="00C91F2F" w:rsidRPr="00C91F2F" w:rsidRDefault="00BC0B7F" w:rsidP="009F7E98">
      <w:pPr>
        <w:ind w:left="360"/>
        <w:rPr>
          <w:rFonts w:ascii="Arial" w:hAnsi="Arial" w:cs="Arial"/>
          <w:sz w:val="22"/>
          <w:szCs w:val="22"/>
          <w:lang w:val="hr-HR"/>
        </w:rPr>
      </w:pPr>
      <w:bookmarkStart w:id="0" w:name="_Hlk524047297"/>
      <w:r w:rsidRPr="00C91F2F">
        <w:rPr>
          <w:rFonts w:ascii="Arial" w:hAnsi="Arial" w:cs="Arial"/>
          <w:sz w:val="28"/>
          <w:szCs w:val="28"/>
          <w:lang w:val="hr-HR"/>
        </w:rPr>
        <w:t xml:space="preserve">         </w:t>
      </w:r>
    </w:p>
    <w:p w14:paraId="756F6DA2" w14:textId="01A2F75B" w:rsidR="00C91F2F" w:rsidRPr="00C91F2F" w:rsidRDefault="00C91F2F" w:rsidP="00C91F2F">
      <w:pPr>
        <w:ind w:left="360"/>
        <w:jc w:val="center"/>
        <w:rPr>
          <w:rFonts w:ascii="Arial" w:hAnsi="Arial" w:cs="Arial"/>
          <w:sz w:val="28"/>
          <w:szCs w:val="28"/>
          <w:lang w:val="hr-HR"/>
        </w:rPr>
      </w:pPr>
      <w:r w:rsidRPr="00C91F2F">
        <w:rPr>
          <w:rFonts w:ascii="Arial" w:hAnsi="Arial" w:cs="Arial"/>
          <w:noProof/>
          <w:lang w:val="hr-HR" w:eastAsia="hr-HR"/>
        </w:rPr>
        <w:drawing>
          <wp:inline distT="0" distB="0" distL="0" distR="0" wp14:anchorId="28D139BF" wp14:editId="7DA1271B">
            <wp:extent cx="588010" cy="742749"/>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049" cy="752904"/>
                    </a:xfrm>
                    <a:prstGeom prst="rect">
                      <a:avLst/>
                    </a:prstGeom>
                    <a:solidFill>
                      <a:srgbClr val="FFFFFF"/>
                    </a:solidFill>
                    <a:ln>
                      <a:noFill/>
                    </a:ln>
                  </pic:spPr>
                </pic:pic>
              </a:graphicData>
            </a:graphic>
          </wp:inline>
        </w:drawing>
      </w:r>
    </w:p>
    <w:bookmarkEnd w:id="0"/>
    <w:p w14:paraId="4ECDC9E0" w14:textId="63F81DBF" w:rsidR="00C91F2F" w:rsidRPr="00C91F2F" w:rsidRDefault="00C91F2F" w:rsidP="00C91F2F">
      <w:pPr>
        <w:pStyle w:val="Heading6"/>
        <w:tabs>
          <w:tab w:val="clear" w:pos="0"/>
        </w:tabs>
        <w:ind w:left="360"/>
        <w:jc w:val="center"/>
        <w:rPr>
          <w:rFonts w:ascii="Arial" w:eastAsia="Times New Roman" w:hAnsi="Arial" w:cs="Arial"/>
          <w:spacing w:val="22"/>
          <w:sz w:val="24"/>
          <w:szCs w:val="24"/>
          <w:lang w:eastAsia="ar-SA"/>
        </w:rPr>
      </w:pPr>
      <w:r w:rsidRPr="00C91F2F">
        <w:rPr>
          <w:rFonts w:ascii="Arial" w:eastAsia="Times New Roman" w:hAnsi="Arial" w:cs="Arial"/>
          <w:spacing w:val="22"/>
          <w:sz w:val="24"/>
          <w:szCs w:val="24"/>
          <w:lang w:eastAsia="ar-SA"/>
        </w:rPr>
        <w:t>REPUBLIKA HRVATSKA</w:t>
      </w:r>
    </w:p>
    <w:p w14:paraId="47C6711D" w14:textId="409A115D" w:rsidR="00C91F2F" w:rsidRPr="00C91F2F" w:rsidRDefault="00C91F2F" w:rsidP="00C91F2F">
      <w:pPr>
        <w:pStyle w:val="Heading3"/>
        <w:tabs>
          <w:tab w:val="clear" w:pos="0"/>
        </w:tabs>
        <w:ind w:left="360"/>
        <w:jc w:val="center"/>
        <w:rPr>
          <w:rFonts w:ascii="Arial" w:eastAsia="Times New Roman" w:hAnsi="Arial" w:cs="Arial"/>
          <w:spacing w:val="-3"/>
          <w:sz w:val="24"/>
          <w:szCs w:val="24"/>
          <w:lang w:eastAsia="ar-SA"/>
        </w:rPr>
      </w:pPr>
      <w:bookmarkStart w:id="1" w:name="_Toc524064676"/>
      <w:r w:rsidRPr="00C91F2F">
        <w:rPr>
          <w:rFonts w:ascii="Arial" w:eastAsia="Times New Roman" w:hAnsi="Arial" w:cs="Arial"/>
          <w:spacing w:val="-3"/>
          <w:sz w:val="24"/>
          <w:szCs w:val="24"/>
          <w:lang w:eastAsia="ar-SA"/>
        </w:rPr>
        <w:t>PRIMORSKO - GORANSKA ŽUPANIJA</w:t>
      </w:r>
      <w:bookmarkEnd w:id="1"/>
    </w:p>
    <w:p w14:paraId="22EE3E1A" w14:textId="7198EE14" w:rsidR="00C91F2F" w:rsidRPr="00C91F2F" w:rsidRDefault="00C91F2F" w:rsidP="00C91F2F">
      <w:pPr>
        <w:pStyle w:val="Heading4"/>
        <w:tabs>
          <w:tab w:val="clear" w:pos="0"/>
        </w:tabs>
        <w:ind w:left="360"/>
        <w:jc w:val="center"/>
        <w:rPr>
          <w:rFonts w:ascii="Arial" w:eastAsia="Times New Roman" w:hAnsi="Arial" w:cs="Arial"/>
          <w:spacing w:val="-3"/>
          <w:sz w:val="24"/>
          <w:szCs w:val="24"/>
          <w:lang w:eastAsia="ar-SA"/>
        </w:rPr>
      </w:pPr>
      <w:r w:rsidRPr="00C91F2F">
        <w:rPr>
          <w:rFonts w:ascii="Arial" w:eastAsia="Times New Roman" w:hAnsi="Arial" w:cs="Arial"/>
          <w:spacing w:val="-3"/>
          <w:sz w:val="24"/>
          <w:szCs w:val="24"/>
          <w:lang w:eastAsia="ar-SA"/>
        </w:rPr>
        <w:t>GRAD MALI LOŠINJ</w:t>
      </w:r>
    </w:p>
    <w:p w14:paraId="5E829F9D" w14:textId="77777777" w:rsidR="00BC0B7F" w:rsidRPr="00C91F2F" w:rsidRDefault="00BC0B7F" w:rsidP="00BC0B7F">
      <w:pPr>
        <w:ind w:left="360"/>
        <w:jc w:val="center"/>
        <w:rPr>
          <w:rFonts w:ascii="Arial" w:hAnsi="Arial" w:cs="Arial"/>
          <w:sz w:val="28"/>
          <w:szCs w:val="28"/>
          <w:lang w:val="hr-HR"/>
        </w:rPr>
      </w:pPr>
    </w:p>
    <w:p w14:paraId="54323A0D" w14:textId="77777777" w:rsidR="00BC0B7F" w:rsidRPr="00C91F2F" w:rsidRDefault="00BC0B7F" w:rsidP="00BC0B7F">
      <w:pPr>
        <w:ind w:left="360"/>
        <w:jc w:val="center"/>
        <w:rPr>
          <w:rFonts w:ascii="Arial" w:hAnsi="Arial" w:cs="Arial"/>
          <w:sz w:val="28"/>
          <w:szCs w:val="28"/>
          <w:lang w:val="hr-HR"/>
        </w:rPr>
      </w:pPr>
    </w:p>
    <w:p w14:paraId="25E9F3C5" w14:textId="77777777" w:rsidR="00BC0B7F" w:rsidRPr="00C91F2F" w:rsidRDefault="00BC0B7F" w:rsidP="00BC0B7F">
      <w:pPr>
        <w:ind w:left="360"/>
        <w:jc w:val="center"/>
        <w:rPr>
          <w:rFonts w:ascii="Arial" w:hAnsi="Arial" w:cs="Arial"/>
          <w:sz w:val="28"/>
          <w:szCs w:val="28"/>
          <w:lang w:val="hr-HR"/>
        </w:rPr>
      </w:pPr>
    </w:p>
    <w:p w14:paraId="1B398763" w14:textId="77777777" w:rsidR="00BC0B7F" w:rsidRPr="00C91F2F" w:rsidRDefault="00BC0B7F" w:rsidP="00BC0B7F">
      <w:pPr>
        <w:ind w:left="360"/>
        <w:jc w:val="center"/>
        <w:rPr>
          <w:rFonts w:ascii="Arial" w:hAnsi="Arial" w:cs="Arial"/>
          <w:sz w:val="28"/>
          <w:szCs w:val="28"/>
          <w:lang w:val="hr-HR"/>
        </w:rPr>
      </w:pPr>
    </w:p>
    <w:p w14:paraId="090BAAFF" w14:textId="77777777" w:rsidR="00BC0B7F" w:rsidRPr="00C91F2F" w:rsidRDefault="00BC0B7F" w:rsidP="00BC0B7F">
      <w:pPr>
        <w:ind w:left="360"/>
        <w:jc w:val="center"/>
        <w:rPr>
          <w:rFonts w:ascii="Arial" w:hAnsi="Arial" w:cs="Arial"/>
          <w:sz w:val="28"/>
          <w:szCs w:val="28"/>
          <w:lang w:val="hr-HR"/>
        </w:rPr>
      </w:pPr>
    </w:p>
    <w:p w14:paraId="1FABBDCC" w14:textId="77777777" w:rsidR="00BC0B7F" w:rsidRPr="00C91F2F" w:rsidRDefault="00BC0B7F" w:rsidP="00BC0B7F">
      <w:pPr>
        <w:ind w:left="360"/>
        <w:jc w:val="center"/>
        <w:rPr>
          <w:rFonts w:ascii="Arial" w:hAnsi="Arial" w:cs="Arial"/>
          <w:sz w:val="28"/>
          <w:szCs w:val="28"/>
          <w:lang w:val="hr-HR"/>
        </w:rPr>
      </w:pPr>
    </w:p>
    <w:p w14:paraId="1A9D07B0" w14:textId="77777777" w:rsidR="00BC0B7F" w:rsidRPr="00C91F2F" w:rsidRDefault="00BC0B7F" w:rsidP="00BC0B7F">
      <w:pPr>
        <w:ind w:left="360"/>
        <w:jc w:val="center"/>
        <w:rPr>
          <w:rFonts w:ascii="Arial" w:hAnsi="Arial" w:cs="Arial"/>
          <w:sz w:val="28"/>
          <w:szCs w:val="28"/>
          <w:lang w:val="hr-HR"/>
        </w:rPr>
      </w:pPr>
    </w:p>
    <w:p w14:paraId="153CB6D8" w14:textId="77777777" w:rsidR="00BC0B7F" w:rsidRPr="00C91F2F" w:rsidRDefault="00BC0B7F" w:rsidP="00BC0B7F">
      <w:pPr>
        <w:ind w:left="360"/>
        <w:jc w:val="center"/>
        <w:rPr>
          <w:rFonts w:ascii="Arial" w:hAnsi="Arial" w:cs="Arial"/>
          <w:sz w:val="28"/>
          <w:szCs w:val="28"/>
          <w:lang w:val="hr-HR"/>
        </w:rPr>
      </w:pPr>
    </w:p>
    <w:p w14:paraId="553F3005" w14:textId="77777777" w:rsidR="00BC0B7F" w:rsidRPr="00C91F2F" w:rsidRDefault="00BC0B7F" w:rsidP="00BC0B7F">
      <w:pPr>
        <w:ind w:left="360"/>
        <w:jc w:val="center"/>
        <w:rPr>
          <w:rFonts w:ascii="Arial" w:hAnsi="Arial" w:cs="Arial"/>
          <w:sz w:val="28"/>
          <w:szCs w:val="28"/>
          <w:lang w:val="hr-HR"/>
        </w:rPr>
      </w:pPr>
    </w:p>
    <w:p w14:paraId="74220874" w14:textId="77777777" w:rsidR="00BC0B7F" w:rsidRPr="00C91F2F" w:rsidRDefault="00BC0B7F" w:rsidP="00BC0B7F">
      <w:pPr>
        <w:ind w:left="360"/>
        <w:jc w:val="center"/>
        <w:rPr>
          <w:rFonts w:ascii="Arial" w:hAnsi="Arial" w:cs="Arial"/>
          <w:sz w:val="28"/>
          <w:szCs w:val="28"/>
          <w:lang w:val="hr-HR"/>
        </w:rPr>
      </w:pPr>
    </w:p>
    <w:p w14:paraId="58AB45C5" w14:textId="77777777" w:rsidR="00BC0B7F" w:rsidRPr="00C91F2F" w:rsidRDefault="00BC0B7F" w:rsidP="00BC0B7F">
      <w:pPr>
        <w:ind w:left="360"/>
        <w:jc w:val="center"/>
        <w:rPr>
          <w:rFonts w:ascii="Arial" w:hAnsi="Arial" w:cs="Arial"/>
          <w:sz w:val="28"/>
          <w:szCs w:val="28"/>
          <w:lang w:val="hr-HR"/>
        </w:rPr>
      </w:pPr>
    </w:p>
    <w:p w14:paraId="3DA08BAE" w14:textId="77777777" w:rsidR="00BC0B7F" w:rsidRPr="00C91F2F" w:rsidRDefault="00BC0B7F" w:rsidP="00BC0B7F">
      <w:pPr>
        <w:ind w:left="360"/>
        <w:jc w:val="center"/>
        <w:rPr>
          <w:rFonts w:ascii="Arial" w:hAnsi="Arial" w:cs="Arial"/>
          <w:sz w:val="28"/>
          <w:szCs w:val="28"/>
          <w:lang w:val="hr-HR"/>
        </w:rPr>
      </w:pPr>
    </w:p>
    <w:p w14:paraId="531B6861" w14:textId="77777777" w:rsidR="00BC0B7F" w:rsidRPr="00C91F2F" w:rsidRDefault="00BC0B7F" w:rsidP="00BC0B7F">
      <w:pPr>
        <w:ind w:left="360"/>
        <w:jc w:val="center"/>
        <w:rPr>
          <w:rFonts w:ascii="Arial" w:hAnsi="Arial" w:cs="Arial"/>
          <w:sz w:val="28"/>
          <w:szCs w:val="28"/>
          <w:lang w:val="hr-HR"/>
        </w:rPr>
      </w:pPr>
    </w:p>
    <w:p w14:paraId="5D8026BB" w14:textId="77777777" w:rsidR="00BC0B7F" w:rsidRPr="00C91F2F" w:rsidRDefault="00BC0B7F" w:rsidP="00BC0B7F">
      <w:pPr>
        <w:ind w:left="360"/>
        <w:jc w:val="center"/>
        <w:rPr>
          <w:rFonts w:ascii="Arial" w:hAnsi="Arial" w:cs="Arial"/>
          <w:sz w:val="28"/>
          <w:szCs w:val="28"/>
          <w:lang w:val="hr-HR"/>
        </w:rPr>
      </w:pPr>
    </w:p>
    <w:p w14:paraId="185AB771" w14:textId="77777777" w:rsidR="00BC0B7F" w:rsidRPr="00C91F2F" w:rsidRDefault="00BC0B7F" w:rsidP="00BC0B7F">
      <w:pPr>
        <w:ind w:left="360"/>
        <w:jc w:val="center"/>
        <w:rPr>
          <w:rFonts w:ascii="Arial" w:hAnsi="Arial" w:cs="Arial"/>
          <w:b/>
          <w:sz w:val="28"/>
          <w:szCs w:val="28"/>
          <w:lang w:val="hr-HR"/>
        </w:rPr>
      </w:pPr>
      <w:r w:rsidRPr="00C91F2F">
        <w:rPr>
          <w:rFonts w:ascii="Arial" w:hAnsi="Arial" w:cs="Arial"/>
          <w:b/>
          <w:sz w:val="28"/>
          <w:szCs w:val="28"/>
          <w:lang w:val="hr-HR"/>
        </w:rPr>
        <w:t>UPUTE ZA IZRADU PRORAČUNA</w:t>
      </w:r>
    </w:p>
    <w:p w14:paraId="6B3C25EB" w14:textId="77777777" w:rsidR="00BC0B7F" w:rsidRPr="00C91F2F" w:rsidRDefault="00BC0B7F" w:rsidP="00BC0B7F">
      <w:pPr>
        <w:ind w:left="360"/>
        <w:jc w:val="center"/>
        <w:rPr>
          <w:rFonts w:ascii="Arial" w:hAnsi="Arial" w:cs="Arial"/>
          <w:b/>
          <w:sz w:val="28"/>
          <w:szCs w:val="28"/>
          <w:lang w:val="hr-HR"/>
        </w:rPr>
      </w:pPr>
      <w:r w:rsidRPr="00C91F2F">
        <w:rPr>
          <w:rFonts w:ascii="Arial" w:hAnsi="Arial" w:cs="Arial"/>
          <w:b/>
          <w:sz w:val="28"/>
          <w:szCs w:val="28"/>
          <w:lang w:val="hr-HR"/>
        </w:rPr>
        <w:t>GRADA MALOG LOŠ</w:t>
      </w:r>
      <w:bookmarkStart w:id="2" w:name="_GoBack"/>
      <w:bookmarkEnd w:id="2"/>
      <w:r w:rsidRPr="00C91F2F">
        <w:rPr>
          <w:rFonts w:ascii="Arial" w:hAnsi="Arial" w:cs="Arial"/>
          <w:b/>
          <w:sz w:val="28"/>
          <w:szCs w:val="28"/>
          <w:lang w:val="hr-HR"/>
        </w:rPr>
        <w:t>INJA</w:t>
      </w:r>
    </w:p>
    <w:p w14:paraId="7D87873A" w14:textId="7B264D0A" w:rsidR="00BC0B7F" w:rsidRPr="00C91F2F" w:rsidRDefault="00BC0B7F" w:rsidP="00BC0B7F">
      <w:pPr>
        <w:ind w:left="360"/>
        <w:jc w:val="center"/>
        <w:rPr>
          <w:rFonts w:ascii="Arial" w:hAnsi="Arial" w:cs="Arial"/>
          <w:b/>
          <w:sz w:val="28"/>
          <w:szCs w:val="28"/>
          <w:lang w:val="hr-HR"/>
        </w:rPr>
      </w:pPr>
      <w:r w:rsidRPr="00C91F2F">
        <w:rPr>
          <w:rFonts w:ascii="Arial" w:hAnsi="Arial" w:cs="Arial"/>
          <w:b/>
          <w:sz w:val="28"/>
          <w:szCs w:val="28"/>
          <w:lang w:val="hr-HR"/>
        </w:rPr>
        <w:t>ZA RAZDOBLJE 20</w:t>
      </w:r>
      <w:r w:rsidR="00C91F2F" w:rsidRPr="00C91F2F">
        <w:rPr>
          <w:rFonts w:ascii="Arial" w:hAnsi="Arial" w:cs="Arial"/>
          <w:b/>
          <w:sz w:val="28"/>
          <w:szCs w:val="28"/>
          <w:lang w:val="hr-HR"/>
        </w:rPr>
        <w:t>19</w:t>
      </w:r>
      <w:r w:rsidRPr="00C91F2F">
        <w:rPr>
          <w:rFonts w:ascii="Arial" w:hAnsi="Arial" w:cs="Arial"/>
          <w:b/>
          <w:sz w:val="28"/>
          <w:szCs w:val="28"/>
          <w:lang w:val="hr-HR"/>
        </w:rPr>
        <w:t>. – 20</w:t>
      </w:r>
      <w:r w:rsidR="00C91F2F" w:rsidRPr="00C91F2F">
        <w:rPr>
          <w:rFonts w:ascii="Arial" w:hAnsi="Arial" w:cs="Arial"/>
          <w:b/>
          <w:sz w:val="28"/>
          <w:szCs w:val="28"/>
          <w:lang w:val="hr-HR"/>
        </w:rPr>
        <w:t>21</w:t>
      </w:r>
      <w:r w:rsidRPr="00C91F2F">
        <w:rPr>
          <w:rFonts w:ascii="Arial" w:hAnsi="Arial" w:cs="Arial"/>
          <w:b/>
          <w:sz w:val="28"/>
          <w:szCs w:val="28"/>
          <w:lang w:val="hr-HR"/>
        </w:rPr>
        <w:t>.</w:t>
      </w:r>
    </w:p>
    <w:p w14:paraId="535BBAC6" w14:textId="77777777" w:rsidR="00BC0B7F" w:rsidRPr="00C91F2F" w:rsidRDefault="00BC0B7F" w:rsidP="00BC0B7F">
      <w:pPr>
        <w:ind w:left="360"/>
        <w:jc w:val="center"/>
        <w:rPr>
          <w:rFonts w:ascii="Arial" w:hAnsi="Arial" w:cs="Arial"/>
          <w:b/>
          <w:sz w:val="28"/>
          <w:szCs w:val="28"/>
          <w:lang w:val="hr-HR"/>
        </w:rPr>
      </w:pPr>
    </w:p>
    <w:p w14:paraId="01191DC4" w14:textId="77777777" w:rsidR="00BC0B7F" w:rsidRPr="00C91F2F" w:rsidRDefault="00BC0B7F" w:rsidP="00BC0B7F">
      <w:pPr>
        <w:ind w:left="360"/>
        <w:jc w:val="center"/>
        <w:rPr>
          <w:rFonts w:ascii="Arial" w:hAnsi="Arial" w:cs="Arial"/>
          <w:b/>
          <w:sz w:val="28"/>
          <w:szCs w:val="28"/>
          <w:lang w:val="hr-HR"/>
        </w:rPr>
      </w:pPr>
    </w:p>
    <w:p w14:paraId="3B97A7E5" w14:textId="77777777" w:rsidR="00BC0B7F" w:rsidRPr="00C91F2F" w:rsidRDefault="00BC0B7F" w:rsidP="00BC0B7F">
      <w:pPr>
        <w:ind w:left="360"/>
        <w:jc w:val="center"/>
        <w:rPr>
          <w:rFonts w:ascii="Arial" w:hAnsi="Arial" w:cs="Arial"/>
          <w:b/>
          <w:sz w:val="28"/>
          <w:szCs w:val="28"/>
          <w:lang w:val="hr-HR"/>
        </w:rPr>
      </w:pPr>
    </w:p>
    <w:p w14:paraId="4410BECE" w14:textId="77777777" w:rsidR="00BC0B7F" w:rsidRPr="00C91F2F" w:rsidRDefault="00BC0B7F" w:rsidP="00BC0B7F">
      <w:pPr>
        <w:ind w:left="360"/>
        <w:jc w:val="center"/>
        <w:rPr>
          <w:rFonts w:ascii="Arial" w:hAnsi="Arial" w:cs="Arial"/>
          <w:b/>
          <w:sz w:val="28"/>
          <w:szCs w:val="28"/>
          <w:lang w:val="hr-HR"/>
        </w:rPr>
      </w:pPr>
    </w:p>
    <w:p w14:paraId="5174B622" w14:textId="77777777" w:rsidR="00BC0B7F" w:rsidRPr="00C91F2F" w:rsidRDefault="00BC0B7F" w:rsidP="00BC0B7F">
      <w:pPr>
        <w:ind w:left="360"/>
        <w:jc w:val="center"/>
        <w:rPr>
          <w:rFonts w:ascii="Arial" w:hAnsi="Arial" w:cs="Arial"/>
          <w:b/>
          <w:sz w:val="28"/>
          <w:szCs w:val="28"/>
          <w:lang w:val="hr-HR"/>
        </w:rPr>
      </w:pPr>
    </w:p>
    <w:p w14:paraId="057C1344" w14:textId="77777777" w:rsidR="00BC0B7F" w:rsidRPr="00C91F2F" w:rsidRDefault="00BC0B7F" w:rsidP="00BC0B7F">
      <w:pPr>
        <w:ind w:left="360"/>
        <w:jc w:val="center"/>
        <w:rPr>
          <w:rFonts w:ascii="Arial" w:hAnsi="Arial" w:cs="Arial"/>
          <w:sz w:val="28"/>
          <w:szCs w:val="28"/>
          <w:lang w:val="hr-HR"/>
        </w:rPr>
      </w:pPr>
    </w:p>
    <w:p w14:paraId="03FBD42D" w14:textId="77777777" w:rsidR="00BC0B7F" w:rsidRPr="00C91F2F" w:rsidRDefault="00BC0B7F" w:rsidP="00BC0B7F">
      <w:pPr>
        <w:ind w:left="360"/>
        <w:jc w:val="center"/>
        <w:rPr>
          <w:rFonts w:ascii="Arial" w:hAnsi="Arial" w:cs="Arial"/>
          <w:sz w:val="28"/>
          <w:szCs w:val="28"/>
          <w:lang w:val="hr-HR"/>
        </w:rPr>
      </w:pPr>
    </w:p>
    <w:p w14:paraId="6F0765DC" w14:textId="77777777" w:rsidR="00BC0B7F" w:rsidRPr="00C91F2F" w:rsidRDefault="00BC0B7F" w:rsidP="00BC0B7F">
      <w:pPr>
        <w:ind w:left="360"/>
        <w:jc w:val="center"/>
        <w:rPr>
          <w:rFonts w:ascii="Arial" w:hAnsi="Arial" w:cs="Arial"/>
          <w:sz w:val="28"/>
          <w:szCs w:val="28"/>
          <w:lang w:val="hr-HR"/>
        </w:rPr>
      </w:pPr>
    </w:p>
    <w:p w14:paraId="09DBACE0" w14:textId="77777777" w:rsidR="00BC0B7F" w:rsidRPr="00C91F2F" w:rsidRDefault="00BC0B7F" w:rsidP="00BC0B7F">
      <w:pPr>
        <w:ind w:left="360"/>
        <w:jc w:val="center"/>
        <w:rPr>
          <w:rFonts w:ascii="Arial" w:hAnsi="Arial" w:cs="Arial"/>
          <w:sz w:val="28"/>
          <w:szCs w:val="28"/>
          <w:lang w:val="hr-HR"/>
        </w:rPr>
      </w:pPr>
    </w:p>
    <w:p w14:paraId="4B83BBE8" w14:textId="77777777" w:rsidR="00BC0B7F" w:rsidRPr="00C91F2F" w:rsidRDefault="00BC0B7F" w:rsidP="00BC0B7F">
      <w:pPr>
        <w:ind w:left="360"/>
        <w:jc w:val="center"/>
        <w:rPr>
          <w:rFonts w:ascii="Arial" w:hAnsi="Arial" w:cs="Arial"/>
          <w:sz w:val="28"/>
          <w:szCs w:val="28"/>
          <w:lang w:val="hr-HR"/>
        </w:rPr>
      </w:pPr>
    </w:p>
    <w:p w14:paraId="06FEBE08" w14:textId="77777777" w:rsidR="00C91F2F" w:rsidRPr="00C91F2F" w:rsidRDefault="00C91F2F" w:rsidP="00BC0B7F">
      <w:pPr>
        <w:ind w:left="360"/>
        <w:jc w:val="center"/>
        <w:rPr>
          <w:rFonts w:ascii="Arial" w:hAnsi="Arial" w:cs="Arial"/>
          <w:sz w:val="28"/>
          <w:szCs w:val="28"/>
          <w:lang w:val="hr-HR"/>
        </w:rPr>
      </w:pPr>
    </w:p>
    <w:p w14:paraId="52E2AE45" w14:textId="77777777" w:rsidR="00C91F2F" w:rsidRPr="00C91F2F" w:rsidRDefault="00C91F2F" w:rsidP="00BC0B7F">
      <w:pPr>
        <w:ind w:left="360"/>
        <w:jc w:val="center"/>
        <w:rPr>
          <w:rFonts w:ascii="Arial" w:hAnsi="Arial" w:cs="Arial"/>
          <w:sz w:val="28"/>
          <w:szCs w:val="28"/>
          <w:lang w:val="hr-HR"/>
        </w:rPr>
      </w:pPr>
    </w:p>
    <w:p w14:paraId="273A80C7" w14:textId="77777777" w:rsidR="00C91F2F" w:rsidRPr="00C91F2F" w:rsidRDefault="00C91F2F" w:rsidP="00BC0B7F">
      <w:pPr>
        <w:ind w:left="360"/>
        <w:jc w:val="center"/>
        <w:rPr>
          <w:rFonts w:ascii="Arial" w:hAnsi="Arial" w:cs="Arial"/>
          <w:sz w:val="28"/>
          <w:szCs w:val="28"/>
          <w:lang w:val="hr-HR"/>
        </w:rPr>
      </w:pPr>
    </w:p>
    <w:p w14:paraId="4B35B549" w14:textId="77777777" w:rsidR="00C91F2F" w:rsidRPr="00C91F2F" w:rsidRDefault="00C91F2F" w:rsidP="00BC0B7F">
      <w:pPr>
        <w:ind w:left="360"/>
        <w:jc w:val="center"/>
        <w:rPr>
          <w:rFonts w:ascii="Arial" w:hAnsi="Arial" w:cs="Arial"/>
          <w:sz w:val="28"/>
          <w:szCs w:val="28"/>
          <w:lang w:val="hr-HR"/>
        </w:rPr>
      </w:pPr>
    </w:p>
    <w:p w14:paraId="5E933B11" w14:textId="77777777" w:rsidR="00C91F2F" w:rsidRPr="00C91F2F" w:rsidRDefault="00C91F2F" w:rsidP="00C91F2F">
      <w:pPr>
        <w:rPr>
          <w:rFonts w:ascii="Arial" w:hAnsi="Arial" w:cs="Arial"/>
          <w:sz w:val="28"/>
          <w:szCs w:val="28"/>
          <w:lang w:val="hr-HR"/>
        </w:rPr>
      </w:pPr>
    </w:p>
    <w:p w14:paraId="17CC8568" w14:textId="23B12989" w:rsidR="00BC0B7F" w:rsidRPr="00C91F2F" w:rsidRDefault="00BC0B7F" w:rsidP="00BC0B7F">
      <w:pPr>
        <w:ind w:left="360"/>
        <w:jc w:val="center"/>
        <w:rPr>
          <w:rFonts w:ascii="Arial" w:hAnsi="Arial" w:cs="Arial"/>
          <w:sz w:val="28"/>
          <w:szCs w:val="28"/>
          <w:lang w:val="hr-HR"/>
        </w:rPr>
      </w:pPr>
      <w:r w:rsidRPr="00C91F2F">
        <w:rPr>
          <w:rFonts w:ascii="Arial" w:hAnsi="Arial" w:cs="Arial"/>
          <w:sz w:val="28"/>
          <w:szCs w:val="28"/>
          <w:lang w:val="hr-HR"/>
        </w:rPr>
        <w:t xml:space="preserve">Mali Lošinj, </w:t>
      </w:r>
      <w:r w:rsidR="00C91F2F" w:rsidRPr="00C91F2F">
        <w:rPr>
          <w:rFonts w:ascii="Arial" w:hAnsi="Arial" w:cs="Arial"/>
          <w:sz w:val="28"/>
          <w:szCs w:val="28"/>
          <w:lang w:val="hr-HR"/>
        </w:rPr>
        <w:t>rujan</w:t>
      </w:r>
      <w:r w:rsidRPr="00C91F2F">
        <w:rPr>
          <w:rFonts w:ascii="Arial" w:hAnsi="Arial" w:cs="Arial"/>
          <w:sz w:val="28"/>
          <w:szCs w:val="28"/>
          <w:lang w:val="hr-HR"/>
        </w:rPr>
        <w:t xml:space="preserve"> 201</w:t>
      </w:r>
      <w:r w:rsidR="00C91F2F" w:rsidRPr="00C91F2F">
        <w:rPr>
          <w:rFonts w:ascii="Arial" w:hAnsi="Arial" w:cs="Arial"/>
          <w:sz w:val="28"/>
          <w:szCs w:val="28"/>
          <w:lang w:val="hr-HR"/>
        </w:rPr>
        <w:t>8</w:t>
      </w:r>
      <w:r w:rsidRPr="00C91F2F">
        <w:rPr>
          <w:rFonts w:ascii="Arial" w:hAnsi="Arial" w:cs="Arial"/>
          <w:sz w:val="28"/>
          <w:szCs w:val="28"/>
          <w:lang w:val="hr-HR"/>
        </w:rPr>
        <w:t>. god.</w:t>
      </w:r>
    </w:p>
    <w:p w14:paraId="106BA27B" w14:textId="64D88D41" w:rsidR="00BC0B7F" w:rsidRPr="00C91F2F" w:rsidRDefault="00BC0B7F" w:rsidP="00C91F2F">
      <w:pPr>
        <w:rPr>
          <w:rFonts w:ascii="Arial" w:hAnsi="Arial" w:cs="Arial"/>
          <w:sz w:val="28"/>
          <w:szCs w:val="28"/>
          <w:lang w:val="hr-HR"/>
        </w:rPr>
      </w:pPr>
    </w:p>
    <w:p w14:paraId="62AFE37B" w14:textId="10B6E2F8" w:rsidR="00C91F2F" w:rsidRPr="00C91F2F" w:rsidRDefault="00C91F2F" w:rsidP="00C91F2F">
      <w:pPr>
        <w:rPr>
          <w:rFonts w:ascii="Arial" w:hAnsi="Arial" w:cs="Arial"/>
          <w:sz w:val="28"/>
          <w:szCs w:val="28"/>
          <w:lang w:val="hr-HR"/>
        </w:rPr>
      </w:pPr>
    </w:p>
    <w:p w14:paraId="532DEC2E" w14:textId="23CA815F" w:rsidR="00C91F2F" w:rsidRPr="00C91F2F" w:rsidRDefault="00C91F2F" w:rsidP="00C91F2F">
      <w:pPr>
        <w:rPr>
          <w:rFonts w:ascii="Arial" w:hAnsi="Arial" w:cs="Arial"/>
          <w:sz w:val="28"/>
          <w:szCs w:val="28"/>
          <w:lang w:val="hr-HR"/>
        </w:rPr>
      </w:pPr>
    </w:p>
    <w:sdt>
      <w:sdtPr>
        <w:rPr>
          <w:rFonts w:ascii="Calibri" w:eastAsia="Calibri" w:hAnsi="Calibri" w:cs="Times New Roman"/>
          <w:color w:val="auto"/>
          <w:sz w:val="24"/>
          <w:szCs w:val="24"/>
          <w:lang w:eastAsia="ar-SA"/>
        </w:rPr>
        <w:id w:val="1099289989"/>
        <w:docPartObj>
          <w:docPartGallery w:val="Table of Contents"/>
          <w:docPartUnique/>
        </w:docPartObj>
      </w:sdtPr>
      <w:sdtEndPr>
        <w:rPr>
          <w:b/>
          <w:bCs/>
          <w:noProof/>
        </w:rPr>
      </w:sdtEndPr>
      <w:sdtContent>
        <w:p w14:paraId="19B00D26" w14:textId="0E8D3341" w:rsidR="00FD0B8D" w:rsidRPr="00FD0B8D" w:rsidRDefault="00FD0B8D">
          <w:pPr>
            <w:pStyle w:val="TOCHeading"/>
            <w:rPr>
              <w:rFonts w:ascii="Arial" w:hAnsi="Arial" w:cs="Arial"/>
              <w:b/>
              <w:color w:val="auto"/>
              <w:sz w:val="24"/>
              <w:szCs w:val="24"/>
            </w:rPr>
          </w:pPr>
          <w:r w:rsidRPr="00FD0B8D">
            <w:rPr>
              <w:rFonts w:ascii="Arial" w:hAnsi="Arial" w:cs="Arial"/>
              <w:b/>
              <w:color w:val="auto"/>
              <w:sz w:val="24"/>
              <w:szCs w:val="24"/>
            </w:rPr>
            <w:t>SADRŽAJ</w:t>
          </w:r>
        </w:p>
        <w:p w14:paraId="00C1354B" w14:textId="1A4D6A1A" w:rsidR="00FD0B8D" w:rsidRDefault="00FD0B8D">
          <w:pPr>
            <w:pStyle w:val="TOC3"/>
            <w:tabs>
              <w:tab w:val="right" w:leader="dot" w:pos="9062"/>
            </w:tabs>
            <w:rPr>
              <w:noProof/>
            </w:rPr>
          </w:pPr>
          <w:r>
            <w:rPr>
              <w:b/>
              <w:bCs/>
              <w:noProof/>
            </w:rPr>
            <w:fldChar w:fldCharType="begin"/>
          </w:r>
          <w:r>
            <w:rPr>
              <w:b/>
              <w:bCs/>
              <w:noProof/>
            </w:rPr>
            <w:instrText xml:space="preserve"> TOC \o "1-3" \h \z \u </w:instrText>
          </w:r>
          <w:r>
            <w:rPr>
              <w:b/>
              <w:bCs/>
              <w:noProof/>
            </w:rPr>
            <w:fldChar w:fldCharType="separate"/>
          </w:r>
        </w:p>
        <w:p w14:paraId="0F263373" w14:textId="5C319E9E" w:rsidR="00FD0B8D" w:rsidRDefault="000326F3">
          <w:pPr>
            <w:pStyle w:val="TOC1"/>
            <w:tabs>
              <w:tab w:val="left" w:pos="480"/>
              <w:tab w:val="right" w:leader="dot" w:pos="9062"/>
            </w:tabs>
            <w:rPr>
              <w:noProof/>
            </w:rPr>
          </w:pPr>
          <w:hyperlink w:anchor="_Toc524064677" w:history="1">
            <w:r w:rsidR="00FD0B8D" w:rsidRPr="00807791">
              <w:rPr>
                <w:rStyle w:val="Hyperlink"/>
                <w:rFonts w:ascii="Arial" w:hAnsi="Arial" w:cs="Arial"/>
                <w:b/>
                <w:noProof/>
                <w:lang w:val="hr-HR"/>
              </w:rPr>
              <w:t>1.</w:t>
            </w:r>
            <w:r w:rsidR="00FD0B8D">
              <w:rPr>
                <w:noProof/>
              </w:rPr>
              <w:tab/>
            </w:r>
            <w:r w:rsidR="00FD0B8D" w:rsidRPr="00807791">
              <w:rPr>
                <w:rStyle w:val="Hyperlink"/>
                <w:rFonts w:ascii="Arial" w:hAnsi="Arial" w:cs="Arial"/>
                <w:b/>
                <w:noProof/>
                <w:lang w:val="hr-HR"/>
              </w:rPr>
              <w:t>UVODNE NAPOMENE</w:t>
            </w:r>
            <w:r w:rsidR="00FD0B8D">
              <w:rPr>
                <w:noProof/>
                <w:webHidden/>
              </w:rPr>
              <w:tab/>
            </w:r>
            <w:r w:rsidR="00FD0B8D">
              <w:rPr>
                <w:noProof/>
                <w:webHidden/>
              </w:rPr>
              <w:fldChar w:fldCharType="begin"/>
            </w:r>
            <w:r w:rsidR="00FD0B8D">
              <w:rPr>
                <w:noProof/>
                <w:webHidden/>
              </w:rPr>
              <w:instrText xml:space="preserve"> PAGEREF _Toc524064677 \h </w:instrText>
            </w:r>
            <w:r w:rsidR="00FD0B8D">
              <w:rPr>
                <w:noProof/>
                <w:webHidden/>
              </w:rPr>
            </w:r>
            <w:r w:rsidR="00FD0B8D">
              <w:rPr>
                <w:noProof/>
                <w:webHidden/>
              </w:rPr>
              <w:fldChar w:fldCharType="separate"/>
            </w:r>
            <w:r w:rsidR="008C4813">
              <w:rPr>
                <w:noProof/>
                <w:webHidden/>
              </w:rPr>
              <w:t>3</w:t>
            </w:r>
            <w:r w:rsidR="00FD0B8D">
              <w:rPr>
                <w:noProof/>
                <w:webHidden/>
              </w:rPr>
              <w:fldChar w:fldCharType="end"/>
            </w:r>
          </w:hyperlink>
        </w:p>
        <w:p w14:paraId="479074E8" w14:textId="7E0ADDFE" w:rsidR="00FD0B8D" w:rsidRDefault="000326F3">
          <w:pPr>
            <w:pStyle w:val="TOC1"/>
            <w:tabs>
              <w:tab w:val="left" w:pos="480"/>
              <w:tab w:val="right" w:leader="dot" w:pos="9062"/>
            </w:tabs>
            <w:rPr>
              <w:noProof/>
            </w:rPr>
          </w:pPr>
          <w:hyperlink w:anchor="_Toc524064678" w:history="1">
            <w:r w:rsidR="00FD0B8D" w:rsidRPr="00807791">
              <w:rPr>
                <w:rStyle w:val="Hyperlink"/>
                <w:rFonts w:ascii="Arial" w:hAnsi="Arial" w:cs="Arial"/>
                <w:b/>
                <w:noProof/>
                <w:lang w:val="hr-HR"/>
              </w:rPr>
              <w:t>2.</w:t>
            </w:r>
            <w:r w:rsidR="00FD0B8D">
              <w:rPr>
                <w:noProof/>
              </w:rPr>
              <w:tab/>
            </w:r>
            <w:r w:rsidR="00FD0B8D" w:rsidRPr="00807791">
              <w:rPr>
                <w:rStyle w:val="Hyperlink"/>
                <w:rFonts w:ascii="Arial" w:hAnsi="Arial" w:cs="Arial"/>
                <w:b/>
                <w:noProof/>
                <w:lang w:val="hr-HR"/>
              </w:rPr>
              <w:t>METODOLOGIJA ZA IZRADU PRORAČUNA ZA RAZDOBLJE 2019-2021.</w:t>
            </w:r>
            <w:r w:rsidR="00FD0B8D">
              <w:rPr>
                <w:noProof/>
                <w:webHidden/>
              </w:rPr>
              <w:tab/>
            </w:r>
            <w:r w:rsidR="00FD0B8D">
              <w:rPr>
                <w:noProof/>
                <w:webHidden/>
              </w:rPr>
              <w:fldChar w:fldCharType="begin"/>
            </w:r>
            <w:r w:rsidR="00FD0B8D">
              <w:rPr>
                <w:noProof/>
                <w:webHidden/>
              </w:rPr>
              <w:instrText xml:space="preserve"> PAGEREF _Toc524064678 \h </w:instrText>
            </w:r>
            <w:r w:rsidR="00FD0B8D">
              <w:rPr>
                <w:noProof/>
                <w:webHidden/>
              </w:rPr>
            </w:r>
            <w:r w:rsidR="00FD0B8D">
              <w:rPr>
                <w:noProof/>
                <w:webHidden/>
              </w:rPr>
              <w:fldChar w:fldCharType="separate"/>
            </w:r>
            <w:r w:rsidR="008C4813">
              <w:rPr>
                <w:noProof/>
                <w:webHidden/>
              </w:rPr>
              <w:t>3</w:t>
            </w:r>
            <w:r w:rsidR="00FD0B8D">
              <w:rPr>
                <w:noProof/>
                <w:webHidden/>
              </w:rPr>
              <w:fldChar w:fldCharType="end"/>
            </w:r>
          </w:hyperlink>
        </w:p>
        <w:p w14:paraId="0BE1BB1E" w14:textId="10784799" w:rsidR="00FD0B8D" w:rsidRDefault="000326F3">
          <w:pPr>
            <w:pStyle w:val="TOC1"/>
            <w:tabs>
              <w:tab w:val="left" w:pos="480"/>
              <w:tab w:val="right" w:leader="dot" w:pos="9062"/>
            </w:tabs>
            <w:rPr>
              <w:noProof/>
            </w:rPr>
          </w:pPr>
          <w:hyperlink w:anchor="_Toc524064679" w:history="1">
            <w:r w:rsidR="00FD0B8D" w:rsidRPr="00807791">
              <w:rPr>
                <w:rStyle w:val="Hyperlink"/>
                <w:rFonts w:ascii="Arial" w:hAnsi="Arial" w:cs="Arial"/>
                <w:b/>
                <w:noProof/>
                <w:lang w:val="hr-HR"/>
              </w:rPr>
              <w:t>3.</w:t>
            </w:r>
            <w:r w:rsidR="00FD0B8D">
              <w:rPr>
                <w:noProof/>
              </w:rPr>
              <w:tab/>
            </w:r>
            <w:r w:rsidR="00FD0B8D" w:rsidRPr="00807791">
              <w:rPr>
                <w:rStyle w:val="Hyperlink"/>
                <w:rFonts w:ascii="Arial" w:hAnsi="Arial" w:cs="Arial"/>
                <w:b/>
                <w:noProof/>
                <w:lang w:val="hr-HR"/>
              </w:rPr>
              <w:t>METODOLOGIJA ZA IZRADU PRIJEDLOGA FINANCIJSKOG PLANA PRORAČUNSKOG KORISNIKA ZA RAZDOBLJE  2019-2021. GODINE</w:t>
            </w:r>
            <w:r w:rsidR="00FD0B8D">
              <w:rPr>
                <w:noProof/>
                <w:webHidden/>
              </w:rPr>
              <w:tab/>
            </w:r>
            <w:r w:rsidR="00FD0B8D">
              <w:rPr>
                <w:noProof/>
                <w:webHidden/>
              </w:rPr>
              <w:fldChar w:fldCharType="begin"/>
            </w:r>
            <w:r w:rsidR="00FD0B8D">
              <w:rPr>
                <w:noProof/>
                <w:webHidden/>
              </w:rPr>
              <w:instrText xml:space="preserve"> PAGEREF _Toc524064679 \h </w:instrText>
            </w:r>
            <w:r w:rsidR="00FD0B8D">
              <w:rPr>
                <w:noProof/>
                <w:webHidden/>
              </w:rPr>
            </w:r>
            <w:r w:rsidR="00FD0B8D">
              <w:rPr>
                <w:noProof/>
                <w:webHidden/>
              </w:rPr>
              <w:fldChar w:fldCharType="separate"/>
            </w:r>
            <w:r w:rsidR="008C4813">
              <w:rPr>
                <w:noProof/>
                <w:webHidden/>
              </w:rPr>
              <w:t>3</w:t>
            </w:r>
            <w:r w:rsidR="00FD0B8D">
              <w:rPr>
                <w:noProof/>
                <w:webHidden/>
              </w:rPr>
              <w:fldChar w:fldCharType="end"/>
            </w:r>
          </w:hyperlink>
        </w:p>
        <w:p w14:paraId="6DD42CFC" w14:textId="6C8A17F6" w:rsidR="00FD0B8D" w:rsidRDefault="000326F3">
          <w:pPr>
            <w:pStyle w:val="TOC2"/>
            <w:tabs>
              <w:tab w:val="right" w:leader="dot" w:pos="9062"/>
            </w:tabs>
            <w:rPr>
              <w:noProof/>
            </w:rPr>
          </w:pPr>
          <w:hyperlink w:anchor="_Toc524064680" w:history="1">
            <w:r w:rsidR="00FD0B8D" w:rsidRPr="00807791">
              <w:rPr>
                <w:rStyle w:val="Hyperlink"/>
                <w:rFonts w:ascii="Arial" w:hAnsi="Arial" w:cs="Arial"/>
                <w:noProof/>
              </w:rPr>
              <w:t>3.1. Procjena prihoda i primitaka</w:t>
            </w:r>
            <w:r w:rsidR="00FD0B8D">
              <w:rPr>
                <w:noProof/>
                <w:webHidden/>
              </w:rPr>
              <w:tab/>
            </w:r>
            <w:r w:rsidR="00FD0B8D">
              <w:rPr>
                <w:noProof/>
                <w:webHidden/>
              </w:rPr>
              <w:fldChar w:fldCharType="begin"/>
            </w:r>
            <w:r w:rsidR="00FD0B8D">
              <w:rPr>
                <w:noProof/>
                <w:webHidden/>
              </w:rPr>
              <w:instrText xml:space="preserve"> PAGEREF _Toc524064680 \h </w:instrText>
            </w:r>
            <w:r w:rsidR="00FD0B8D">
              <w:rPr>
                <w:noProof/>
                <w:webHidden/>
              </w:rPr>
            </w:r>
            <w:r w:rsidR="00FD0B8D">
              <w:rPr>
                <w:noProof/>
                <w:webHidden/>
              </w:rPr>
              <w:fldChar w:fldCharType="separate"/>
            </w:r>
            <w:r w:rsidR="008C4813">
              <w:rPr>
                <w:noProof/>
                <w:webHidden/>
              </w:rPr>
              <w:t>4</w:t>
            </w:r>
            <w:r w:rsidR="00FD0B8D">
              <w:rPr>
                <w:noProof/>
                <w:webHidden/>
              </w:rPr>
              <w:fldChar w:fldCharType="end"/>
            </w:r>
          </w:hyperlink>
        </w:p>
        <w:p w14:paraId="7FCEBD7F" w14:textId="66CDAB83" w:rsidR="00FD0B8D" w:rsidRDefault="000326F3">
          <w:pPr>
            <w:pStyle w:val="TOC3"/>
            <w:tabs>
              <w:tab w:val="right" w:leader="dot" w:pos="9062"/>
            </w:tabs>
            <w:rPr>
              <w:noProof/>
            </w:rPr>
          </w:pPr>
          <w:hyperlink w:anchor="_Toc524064681" w:history="1">
            <w:r w:rsidR="00FD0B8D" w:rsidRPr="00807791">
              <w:rPr>
                <w:rStyle w:val="Hyperlink"/>
                <w:rFonts w:ascii="Arial" w:hAnsi="Arial" w:cs="Arial"/>
                <w:noProof/>
              </w:rPr>
              <w:t>3.1.1. Primici od zajmova</w:t>
            </w:r>
            <w:r w:rsidR="00FD0B8D">
              <w:rPr>
                <w:noProof/>
                <w:webHidden/>
              </w:rPr>
              <w:tab/>
            </w:r>
            <w:r w:rsidR="00FD0B8D">
              <w:rPr>
                <w:noProof/>
                <w:webHidden/>
              </w:rPr>
              <w:fldChar w:fldCharType="begin"/>
            </w:r>
            <w:r w:rsidR="00FD0B8D">
              <w:rPr>
                <w:noProof/>
                <w:webHidden/>
              </w:rPr>
              <w:instrText xml:space="preserve"> PAGEREF _Toc524064681 \h </w:instrText>
            </w:r>
            <w:r w:rsidR="00FD0B8D">
              <w:rPr>
                <w:noProof/>
                <w:webHidden/>
              </w:rPr>
            </w:r>
            <w:r w:rsidR="00FD0B8D">
              <w:rPr>
                <w:noProof/>
                <w:webHidden/>
              </w:rPr>
              <w:fldChar w:fldCharType="separate"/>
            </w:r>
            <w:r w:rsidR="008C4813">
              <w:rPr>
                <w:noProof/>
                <w:webHidden/>
              </w:rPr>
              <w:t>4</w:t>
            </w:r>
            <w:r w:rsidR="00FD0B8D">
              <w:rPr>
                <w:noProof/>
                <w:webHidden/>
              </w:rPr>
              <w:fldChar w:fldCharType="end"/>
            </w:r>
          </w:hyperlink>
        </w:p>
        <w:p w14:paraId="3948BE61" w14:textId="2DF45D78" w:rsidR="00FD0B8D" w:rsidRDefault="000326F3">
          <w:pPr>
            <w:pStyle w:val="TOC2"/>
            <w:tabs>
              <w:tab w:val="right" w:leader="dot" w:pos="9062"/>
            </w:tabs>
            <w:rPr>
              <w:noProof/>
            </w:rPr>
          </w:pPr>
          <w:hyperlink w:anchor="_Toc524064682" w:history="1">
            <w:r w:rsidR="00FD0B8D" w:rsidRPr="00807791">
              <w:rPr>
                <w:rStyle w:val="Hyperlink"/>
                <w:noProof/>
              </w:rPr>
              <w:t xml:space="preserve">3.2. </w:t>
            </w:r>
            <w:r w:rsidR="00FD0B8D" w:rsidRPr="00807791">
              <w:rPr>
                <w:rStyle w:val="Hyperlink"/>
                <w:rFonts w:ascii="Arial" w:hAnsi="Arial" w:cs="Arial"/>
                <w:noProof/>
              </w:rPr>
              <w:t>Plan rashoda i izdataka</w:t>
            </w:r>
            <w:r w:rsidR="00FD0B8D">
              <w:rPr>
                <w:noProof/>
                <w:webHidden/>
              </w:rPr>
              <w:tab/>
            </w:r>
            <w:r w:rsidR="00FD0B8D">
              <w:rPr>
                <w:noProof/>
                <w:webHidden/>
              </w:rPr>
              <w:fldChar w:fldCharType="begin"/>
            </w:r>
            <w:r w:rsidR="00FD0B8D">
              <w:rPr>
                <w:noProof/>
                <w:webHidden/>
              </w:rPr>
              <w:instrText xml:space="preserve"> PAGEREF _Toc524064682 \h </w:instrText>
            </w:r>
            <w:r w:rsidR="00FD0B8D">
              <w:rPr>
                <w:noProof/>
                <w:webHidden/>
              </w:rPr>
            </w:r>
            <w:r w:rsidR="00FD0B8D">
              <w:rPr>
                <w:noProof/>
                <w:webHidden/>
              </w:rPr>
              <w:fldChar w:fldCharType="separate"/>
            </w:r>
            <w:r w:rsidR="008C4813">
              <w:rPr>
                <w:noProof/>
                <w:webHidden/>
              </w:rPr>
              <w:t>4</w:t>
            </w:r>
            <w:r w:rsidR="00FD0B8D">
              <w:rPr>
                <w:noProof/>
                <w:webHidden/>
              </w:rPr>
              <w:fldChar w:fldCharType="end"/>
            </w:r>
          </w:hyperlink>
        </w:p>
        <w:p w14:paraId="36BC51DA" w14:textId="64BDD6AC" w:rsidR="00FD0B8D" w:rsidRDefault="000326F3">
          <w:pPr>
            <w:pStyle w:val="TOC3"/>
            <w:tabs>
              <w:tab w:val="left" w:pos="1320"/>
              <w:tab w:val="right" w:leader="dot" w:pos="9062"/>
            </w:tabs>
            <w:rPr>
              <w:noProof/>
            </w:rPr>
          </w:pPr>
          <w:hyperlink w:anchor="_Toc524064683" w:history="1">
            <w:r w:rsidR="00FD0B8D" w:rsidRPr="00807791">
              <w:rPr>
                <w:rStyle w:val="Hyperlink"/>
                <w:rFonts w:ascii="Arial" w:hAnsi="Arial" w:cs="Arial"/>
                <w:noProof/>
              </w:rPr>
              <w:t>3.2.1.</w:t>
            </w:r>
            <w:r w:rsidR="00FD0B8D">
              <w:rPr>
                <w:noProof/>
              </w:rPr>
              <w:tab/>
            </w:r>
            <w:r w:rsidR="00FD0B8D" w:rsidRPr="00807791">
              <w:rPr>
                <w:rStyle w:val="Hyperlink"/>
                <w:rFonts w:ascii="Arial" w:hAnsi="Arial" w:cs="Arial"/>
                <w:noProof/>
              </w:rPr>
              <w:t xml:space="preserve">Planiranje rashoda proračunskih korisnika u </w:t>
            </w:r>
            <w:r w:rsidR="00FD0B8D" w:rsidRPr="00807791">
              <w:rPr>
                <w:rStyle w:val="Hyperlink"/>
                <w:rFonts w:ascii="Arial" w:hAnsi="Arial" w:cs="Arial"/>
                <w:i/>
                <w:noProof/>
              </w:rPr>
              <w:t>sklopu</w:t>
            </w:r>
            <w:r w:rsidR="00FD0B8D" w:rsidRPr="00807791">
              <w:rPr>
                <w:rStyle w:val="Hyperlink"/>
                <w:rFonts w:ascii="Arial" w:hAnsi="Arial" w:cs="Arial"/>
                <w:noProof/>
              </w:rPr>
              <w:t xml:space="preserve"> decentraliziranih</w:t>
            </w:r>
            <w:r w:rsidR="00FD0B8D">
              <w:rPr>
                <w:noProof/>
                <w:webHidden/>
              </w:rPr>
              <w:tab/>
            </w:r>
            <w:r w:rsidR="00FD0B8D">
              <w:rPr>
                <w:noProof/>
                <w:webHidden/>
              </w:rPr>
              <w:fldChar w:fldCharType="begin"/>
            </w:r>
            <w:r w:rsidR="00FD0B8D">
              <w:rPr>
                <w:noProof/>
                <w:webHidden/>
              </w:rPr>
              <w:instrText xml:space="preserve"> PAGEREF _Toc524064683 \h </w:instrText>
            </w:r>
            <w:r w:rsidR="00FD0B8D">
              <w:rPr>
                <w:noProof/>
                <w:webHidden/>
              </w:rPr>
            </w:r>
            <w:r w:rsidR="00FD0B8D">
              <w:rPr>
                <w:noProof/>
                <w:webHidden/>
              </w:rPr>
              <w:fldChar w:fldCharType="separate"/>
            </w:r>
            <w:r w:rsidR="008C4813">
              <w:rPr>
                <w:noProof/>
                <w:webHidden/>
              </w:rPr>
              <w:t>5</w:t>
            </w:r>
            <w:r w:rsidR="00FD0B8D">
              <w:rPr>
                <w:noProof/>
                <w:webHidden/>
              </w:rPr>
              <w:fldChar w:fldCharType="end"/>
            </w:r>
          </w:hyperlink>
        </w:p>
        <w:p w14:paraId="719CDE07" w14:textId="75175040" w:rsidR="00FD0B8D" w:rsidRDefault="000326F3">
          <w:pPr>
            <w:pStyle w:val="TOC3"/>
            <w:tabs>
              <w:tab w:val="right" w:leader="dot" w:pos="9062"/>
            </w:tabs>
            <w:rPr>
              <w:noProof/>
            </w:rPr>
          </w:pPr>
          <w:hyperlink w:anchor="_Toc524064684" w:history="1">
            <w:r w:rsidR="00FD0B8D" w:rsidRPr="00807791">
              <w:rPr>
                <w:rStyle w:val="Hyperlink"/>
                <w:rFonts w:ascii="Arial" w:hAnsi="Arial" w:cs="Arial"/>
                <w:noProof/>
              </w:rPr>
              <w:t>funkcija</w:t>
            </w:r>
            <w:r w:rsidR="00FD0B8D">
              <w:rPr>
                <w:noProof/>
                <w:webHidden/>
              </w:rPr>
              <w:tab/>
            </w:r>
            <w:r w:rsidR="00FD0B8D">
              <w:rPr>
                <w:noProof/>
                <w:webHidden/>
              </w:rPr>
              <w:fldChar w:fldCharType="begin"/>
            </w:r>
            <w:r w:rsidR="00FD0B8D">
              <w:rPr>
                <w:noProof/>
                <w:webHidden/>
              </w:rPr>
              <w:instrText xml:space="preserve"> PAGEREF _Toc524064684 \h </w:instrText>
            </w:r>
            <w:r w:rsidR="00FD0B8D">
              <w:rPr>
                <w:noProof/>
                <w:webHidden/>
              </w:rPr>
            </w:r>
            <w:r w:rsidR="00FD0B8D">
              <w:rPr>
                <w:noProof/>
                <w:webHidden/>
              </w:rPr>
              <w:fldChar w:fldCharType="separate"/>
            </w:r>
            <w:r w:rsidR="008C4813">
              <w:rPr>
                <w:noProof/>
                <w:webHidden/>
              </w:rPr>
              <w:t>5</w:t>
            </w:r>
            <w:r w:rsidR="00FD0B8D">
              <w:rPr>
                <w:noProof/>
                <w:webHidden/>
              </w:rPr>
              <w:fldChar w:fldCharType="end"/>
            </w:r>
          </w:hyperlink>
        </w:p>
        <w:p w14:paraId="29FE9779" w14:textId="29907586" w:rsidR="00FD0B8D" w:rsidRDefault="000326F3">
          <w:pPr>
            <w:pStyle w:val="TOC2"/>
            <w:tabs>
              <w:tab w:val="left" w:pos="880"/>
              <w:tab w:val="right" w:leader="dot" w:pos="9062"/>
            </w:tabs>
            <w:rPr>
              <w:noProof/>
            </w:rPr>
          </w:pPr>
          <w:hyperlink w:anchor="_Toc524064685" w:history="1">
            <w:r w:rsidR="00FD0B8D" w:rsidRPr="00807791">
              <w:rPr>
                <w:rStyle w:val="Hyperlink"/>
                <w:rFonts w:ascii="Arial" w:hAnsi="Arial" w:cs="Arial"/>
                <w:noProof/>
              </w:rPr>
              <w:t>3.3.</w:t>
            </w:r>
            <w:r w:rsidR="00FD0B8D">
              <w:rPr>
                <w:noProof/>
              </w:rPr>
              <w:tab/>
            </w:r>
            <w:r w:rsidR="00FD0B8D" w:rsidRPr="00807791">
              <w:rPr>
                <w:rStyle w:val="Hyperlink"/>
                <w:rFonts w:ascii="Arial" w:hAnsi="Arial" w:cs="Arial"/>
                <w:noProof/>
              </w:rPr>
              <w:t>Okvirni prijedlog opsega financijskog plana</w:t>
            </w:r>
            <w:r w:rsidR="00FD0B8D">
              <w:rPr>
                <w:noProof/>
                <w:webHidden/>
              </w:rPr>
              <w:tab/>
            </w:r>
            <w:r w:rsidR="00FD0B8D">
              <w:rPr>
                <w:noProof/>
                <w:webHidden/>
              </w:rPr>
              <w:fldChar w:fldCharType="begin"/>
            </w:r>
            <w:r w:rsidR="00FD0B8D">
              <w:rPr>
                <w:noProof/>
                <w:webHidden/>
              </w:rPr>
              <w:instrText xml:space="preserve"> PAGEREF _Toc524064685 \h </w:instrText>
            </w:r>
            <w:r w:rsidR="00FD0B8D">
              <w:rPr>
                <w:noProof/>
                <w:webHidden/>
              </w:rPr>
            </w:r>
            <w:r w:rsidR="00FD0B8D">
              <w:rPr>
                <w:noProof/>
                <w:webHidden/>
              </w:rPr>
              <w:fldChar w:fldCharType="separate"/>
            </w:r>
            <w:r w:rsidR="008C4813">
              <w:rPr>
                <w:noProof/>
                <w:webHidden/>
              </w:rPr>
              <w:t>5</w:t>
            </w:r>
            <w:r w:rsidR="00FD0B8D">
              <w:rPr>
                <w:noProof/>
                <w:webHidden/>
              </w:rPr>
              <w:fldChar w:fldCharType="end"/>
            </w:r>
          </w:hyperlink>
        </w:p>
        <w:p w14:paraId="2705CA36" w14:textId="704B5DEA" w:rsidR="00FD0B8D" w:rsidRDefault="000326F3">
          <w:pPr>
            <w:pStyle w:val="TOC2"/>
            <w:tabs>
              <w:tab w:val="right" w:leader="dot" w:pos="9062"/>
            </w:tabs>
            <w:rPr>
              <w:noProof/>
            </w:rPr>
          </w:pPr>
          <w:hyperlink w:anchor="_Toc524064686" w:history="1">
            <w:r w:rsidR="00FD0B8D" w:rsidRPr="00807791">
              <w:rPr>
                <w:rStyle w:val="Hyperlink"/>
                <w:noProof/>
              </w:rPr>
              <w:t>3.4</w:t>
            </w:r>
            <w:r w:rsidR="00FD0B8D" w:rsidRPr="00807791">
              <w:rPr>
                <w:rStyle w:val="Hyperlink"/>
                <w:rFonts w:ascii="Arial" w:hAnsi="Arial" w:cs="Arial"/>
                <w:noProof/>
              </w:rPr>
              <w:t>. Obrazloženje prijedloga Financijskog plana</w:t>
            </w:r>
            <w:r w:rsidR="00FD0B8D">
              <w:rPr>
                <w:noProof/>
                <w:webHidden/>
              </w:rPr>
              <w:tab/>
            </w:r>
            <w:r w:rsidR="00FD0B8D">
              <w:rPr>
                <w:noProof/>
                <w:webHidden/>
              </w:rPr>
              <w:fldChar w:fldCharType="begin"/>
            </w:r>
            <w:r w:rsidR="00FD0B8D">
              <w:rPr>
                <w:noProof/>
                <w:webHidden/>
              </w:rPr>
              <w:instrText xml:space="preserve"> PAGEREF _Toc524064686 \h </w:instrText>
            </w:r>
            <w:r w:rsidR="00FD0B8D">
              <w:rPr>
                <w:noProof/>
                <w:webHidden/>
              </w:rPr>
            </w:r>
            <w:r w:rsidR="00FD0B8D">
              <w:rPr>
                <w:noProof/>
                <w:webHidden/>
              </w:rPr>
              <w:fldChar w:fldCharType="separate"/>
            </w:r>
            <w:r w:rsidR="008C4813">
              <w:rPr>
                <w:noProof/>
                <w:webHidden/>
              </w:rPr>
              <w:t>7</w:t>
            </w:r>
            <w:r w:rsidR="00FD0B8D">
              <w:rPr>
                <w:noProof/>
                <w:webHidden/>
              </w:rPr>
              <w:fldChar w:fldCharType="end"/>
            </w:r>
          </w:hyperlink>
        </w:p>
        <w:p w14:paraId="242B3783" w14:textId="078807C8" w:rsidR="00FD0B8D" w:rsidRDefault="000326F3">
          <w:pPr>
            <w:pStyle w:val="TOC2"/>
            <w:tabs>
              <w:tab w:val="right" w:leader="dot" w:pos="9062"/>
            </w:tabs>
            <w:rPr>
              <w:noProof/>
            </w:rPr>
          </w:pPr>
          <w:hyperlink w:anchor="_Toc524064687" w:history="1">
            <w:r w:rsidR="00FD0B8D" w:rsidRPr="00807791">
              <w:rPr>
                <w:rStyle w:val="Hyperlink"/>
                <w:rFonts w:ascii="Arial" w:hAnsi="Arial" w:cs="Arial"/>
                <w:noProof/>
              </w:rPr>
              <w:t>3.5. Plan razvojnih programa</w:t>
            </w:r>
            <w:r w:rsidR="00FD0B8D">
              <w:rPr>
                <w:noProof/>
                <w:webHidden/>
              </w:rPr>
              <w:tab/>
            </w:r>
            <w:r w:rsidR="00FD0B8D">
              <w:rPr>
                <w:noProof/>
                <w:webHidden/>
              </w:rPr>
              <w:fldChar w:fldCharType="begin"/>
            </w:r>
            <w:r w:rsidR="00FD0B8D">
              <w:rPr>
                <w:noProof/>
                <w:webHidden/>
              </w:rPr>
              <w:instrText xml:space="preserve"> PAGEREF _Toc524064687 \h </w:instrText>
            </w:r>
            <w:r w:rsidR="00FD0B8D">
              <w:rPr>
                <w:noProof/>
                <w:webHidden/>
              </w:rPr>
            </w:r>
            <w:r w:rsidR="00FD0B8D">
              <w:rPr>
                <w:noProof/>
                <w:webHidden/>
              </w:rPr>
              <w:fldChar w:fldCharType="separate"/>
            </w:r>
            <w:r w:rsidR="008C4813">
              <w:rPr>
                <w:noProof/>
                <w:webHidden/>
              </w:rPr>
              <w:t>8</w:t>
            </w:r>
            <w:r w:rsidR="00FD0B8D">
              <w:rPr>
                <w:noProof/>
                <w:webHidden/>
              </w:rPr>
              <w:fldChar w:fldCharType="end"/>
            </w:r>
          </w:hyperlink>
        </w:p>
        <w:p w14:paraId="28FD516B" w14:textId="626E3C08" w:rsidR="00FD0B8D" w:rsidRDefault="000326F3">
          <w:pPr>
            <w:pStyle w:val="TOC1"/>
            <w:tabs>
              <w:tab w:val="left" w:pos="480"/>
              <w:tab w:val="right" w:leader="dot" w:pos="9062"/>
            </w:tabs>
            <w:rPr>
              <w:noProof/>
            </w:rPr>
          </w:pPr>
          <w:hyperlink w:anchor="_Toc524064688" w:history="1">
            <w:r w:rsidR="00FD0B8D" w:rsidRPr="00807791">
              <w:rPr>
                <w:rStyle w:val="Hyperlink"/>
                <w:rFonts w:ascii="Arial" w:hAnsi="Arial" w:cs="Arial"/>
                <w:b/>
                <w:noProof/>
                <w:lang w:val="hr-HR"/>
              </w:rPr>
              <w:t>4.</w:t>
            </w:r>
            <w:r w:rsidR="00FD0B8D">
              <w:rPr>
                <w:noProof/>
              </w:rPr>
              <w:tab/>
            </w:r>
            <w:r w:rsidR="00FD0B8D" w:rsidRPr="00807791">
              <w:rPr>
                <w:rStyle w:val="Hyperlink"/>
                <w:rFonts w:ascii="Arial" w:hAnsi="Arial" w:cs="Arial"/>
                <w:b/>
                <w:noProof/>
                <w:lang w:val="hr-HR"/>
              </w:rPr>
              <w:t>UPUTA O NAČINU PRAĆENJA OSTVARIVANJA I TROŠENJA VLASTITIH I NAMJENSKIH PRIHODA I PRIMITAKA PRORAČUNSKIH KORISNIKA GRADA MALOG LOŠINJ</w:t>
            </w:r>
            <w:r w:rsidR="00FD0B8D">
              <w:rPr>
                <w:noProof/>
                <w:webHidden/>
              </w:rPr>
              <w:tab/>
            </w:r>
            <w:r w:rsidR="00FD0B8D">
              <w:rPr>
                <w:noProof/>
                <w:webHidden/>
              </w:rPr>
              <w:fldChar w:fldCharType="begin"/>
            </w:r>
            <w:r w:rsidR="00FD0B8D">
              <w:rPr>
                <w:noProof/>
                <w:webHidden/>
              </w:rPr>
              <w:instrText xml:space="preserve"> PAGEREF _Toc524064688 \h </w:instrText>
            </w:r>
            <w:r w:rsidR="00FD0B8D">
              <w:rPr>
                <w:noProof/>
                <w:webHidden/>
              </w:rPr>
            </w:r>
            <w:r w:rsidR="00FD0B8D">
              <w:rPr>
                <w:noProof/>
                <w:webHidden/>
              </w:rPr>
              <w:fldChar w:fldCharType="separate"/>
            </w:r>
            <w:r w:rsidR="008C4813">
              <w:rPr>
                <w:noProof/>
                <w:webHidden/>
              </w:rPr>
              <w:t>9</w:t>
            </w:r>
            <w:r w:rsidR="00FD0B8D">
              <w:rPr>
                <w:noProof/>
                <w:webHidden/>
              </w:rPr>
              <w:fldChar w:fldCharType="end"/>
            </w:r>
          </w:hyperlink>
        </w:p>
        <w:p w14:paraId="19292B86" w14:textId="4421C2A3" w:rsidR="00FD0B8D" w:rsidRDefault="000326F3">
          <w:pPr>
            <w:pStyle w:val="TOC1"/>
            <w:tabs>
              <w:tab w:val="left" w:pos="480"/>
              <w:tab w:val="right" w:leader="dot" w:pos="9062"/>
            </w:tabs>
            <w:rPr>
              <w:noProof/>
            </w:rPr>
          </w:pPr>
          <w:hyperlink w:anchor="_Toc524064689" w:history="1">
            <w:r w:rsidR="00FD0B8D" w:rsidRPr="00807791">
              <w:rPr>
                <w:rStyle w:val="Hyperlink"/>
                <w:rFonts w:ascii="Arial" w:hAnsi="Arial" w:cs="Arial"/>
                <w:b/>
                <w:noProof/>
                <w:lang w:val="hr-HR"/>
              </w:rPr>
              <w:t>5.</w:t>
            </w:r>
            <w:r w:rsidR="00FD0B8D">
              <w:rPr>
                <w:noProof/>
              </w:rPr>
              <w:tab/>
            </w:r>
            <w:r w:rsidR="00FD0B8D" w:rsidRPr="00807791">
              <w:rPr>
                <w:rStyle w:val="Hyperlink"/>
                <w:rFonts w:ascii="Arial" w:hAnsi="Arial" w:cs="Arial"/>
                <w:b/>
                <w:noProof/>
                <w:lang w:val="hr-HR"/>
              </w:rPr>
              <w:t>OBVEZE SUDIONIKA I TERMINSKI PLAN ZA IZRADU PRIJEDLOGA FINANCIJSKIH PLANOVA PRORAČUNSKIH KORISNIKA</w:t>
            </w:r>
            <w:r w:rsidR="00FD0B8D">
              <w:rPr>
                <w:noProof/>
                <w:webHidden/>
              </w:rPr>
              <w:tab/>
            </w:r>
            <w:r w:rsidR="00FD0B8D">
              <w:rPr>
                <w:noProof/>
                <w:webHidden/>
              </w:rPr>
              <w:fldChar w:fldCharType="begin"/>
            </w:r>
            <w:r w:rsidR="00FD0B8D">
              <w:rPr>
                <w:noProof/>
                <w:webHidden/>
              </w:rPr>
              <w:instrText xml:space="preserve"> PAGEREF _Toc524064689 \h </w:instrText>
            </w:r>
            <w:r w:rsidR="00FD0B8D">
              <w:rPr>
                <w:noProof/>
                <w:webHidden/>
              </w:rPr>
            </w:r>
            <w:r w:rsidR="00FD0B8D">
              <w:rPr>
                <w:noProof/>
                <w:webHidden/>
              </w:rPr>
              <w:fldChar w:fldCharType="separate"/>
            </w:r>
            <w:r w:rsidR="008C4813">
              <w:rPr>
                <w:noProof/>
                <w:webHidden/>
              </w:rPr>
              <w:t>9</w:t>
            </w:r>
            <w:r w:rsidR="00FD0B8D">
              <w:rPr>
                <w:noProof/>
                <w:webHidden/>
              </w:rPr>
              <w:fldChar w:fldCharType="end"/>
            </w:r>
          </w:hyperlink>
        </w:p>
        <w:p w14:paraId="5B776941" w14:textId="6D9AD6E7" w:rsidR="00FD0B8D" w:rsidRDefault="000326F3">
          <w:pPr>
            <w:pStyle w:val="TOC1"/>
            <w:tabs>
              <w:tab w:val="left" w:pos="480"/>
              <w:tab w:val="right" w:leader="dot" w:pos="9062"/>
            </w:tabs>
            <w:rPr>
              <w:noProof/>
            </w:rPr>
          </w:pPr>
          <w:hyperlink w:anchor="_Toc524064690" w:history="1">
            <w:r w:rsidR="00FD0B8D" w:rsidRPr="00807791">
              <w:rPr>
                <w:rStyle w:val="Hyperlink"/>
                <w:rFonts w:ascii="Arial" w:eastAsia="Times New Roman" w:hAnsi="Arial" w:cs="Arial"/>
                <w:b/>
                <w:noProof/>
                <w:lang w:val="hr-HR" w:eastAsia="hr-HR"/>
              </w:rPr>
              <w:t>6.</w:t>
            </w:r>
            <w:r w:rsidR="00FD0B8D">
              <w:rPr>
                <w:noProof/>
              </w:rPr>
              <w:tab/>
            </w:r>
            <w:r w:rsidR="00FD0B8D" w:rsidRPr="00807791">
              <w:rPr>
                <w:rStyle w:val="Hyperlink"/>
                <w:rFonts w:ascii="Arial" w:eastAsia="Times New Roman" w:hAnsi="Arial" w:cs="Arial"/>
                <w:b/>
                <w:noProof/>
                <w:lang w:val="hr-HR" w:eastAsia="hr-HR"/>
              </w:rPr>
              <w:t>OBRASCI</w:t>
            </w:r>
            <w:r w:rsidR="00FD0B8D">
              <w:rPr>
                <w:noProof/>
                <w:webHidden/>
              </w:rPr>
              <w:tab/>
            </w:r>
            <w:r w:rsidR="00FD0B8D">
              <w:rPr>
                <w:noProof/>
                <w:webHidden/>
              </w:rPr>
              <w:fldChar w:fldCharType="begin"/>
            </w:r>
            <w:r w:rsidR="00FD0B8D">
              <w:rPr>
                <w:noProof/>
                <w:webHidden/>
              </w:rPr>
              <w:instrText xml:space="preserve"> PAGEREF _Toc524064690 \h </w:instrText>
            </w:r>
            <w:r w:rsidR="00FD0B8D">
              <w:rPr>
                <w:noProof/>
                <w:webHidden/>
              </w:rPr>
            </w:r>
            <w:r w:rsidR="00FD0B8D">
              <w:rPr>
                <w:noProof/>
                <w:webHidden/>
              </w:rPr>
              <w:fldChar w:fldCharType="separate"/>
            </w:r>
            <w:r w:rsidR="008C4813">
              <w:rPr>
                <w:noProof/>
                <w:webHidden/>
              </w:rPr>
              <w:t>10</w:t>
            </w:r>
            <w:r w:rsidR="00FD0B8D">
              <w:rPr>
                <w:noProof/>
                <w:webHidden/>
              </w:rPr>
              <w:fldChar w:fldCharType="end"/>
            </w:r>
          </w:hyperlink>
        </w:p>
        <w:p w14:paraId="11F53C54" w14:textId="68334DCF" w:rsidR="00FD0B8D" w:rsidRDefault="00FD0B8D">
          <w:r>
            <w:rPr>
              <w:b/>
              <w:bCs/>
              <w:noProof/>
            </w:rPr>
            <w:fldChar w:fldCharType="end"/>
          </w:r>
        </w:p>
      </w:sdtContent>
    </w:sdt>
    <w:p w14:paraId="2AD1D921" w14:textId="4F8382A1" w:rsidR="00C91F2F" w:rsidRPr="00C91F2F" w:rsidRDefault="00C91F2F" w:rsidP="00C91F2F">
      <w:pPr>
        <w:rPr>
          <w:rFonts w:ascii="Arial" w:hAnsi="Arial" w:cs="Arial"/>
          <w:sz w:val="28"/>
          <w:szCs w:val="28"/>
          <w:lang w:val="hr-HR"/>
        </w:rPr>
      </w:pPr>
    </w:p>
    <w:p w14:paraId="03374ACF" w14:textId="77777777" w:rsidR="00C91F2F" w:rsidRPr="00C91F2F" w:rsidRDefault="00C91F2F" w:rsidP="00C91F2F">
      <w:pPr>
        <w:rPr>
          <w:rFonts w:ascii="Arial" w:hAnsi="Arial" w:cs="Arial"/>
          <w:sz w:val="28"/>
          <w:szCs w:val="28"/>
          <w:lang w:val="hr-HR"/>
        </w:rPr>
      </w:pPr>
    </w:p>
    <w:p w14:paraId="0C44F053" w14:textId="77777777" w:rsidR="00BC0B7F" w:rsidRPr="00C91F2F" w:rsidRDefault="00BC0B7F" w:rsidP="00BC0B7F">
      <w:pPr>
        <w:ind w:left="360"/>
        <w:jc w:val="center"/>
        <w:rPr>
          <w:rFonts w:ascii="Arial" w:hAnsi="Arial" w:cs="Arial"/>
          <w:sz w:val="28"/>
          <w:szCs w:val="28"/>
          <w:lang w:val="hr-HR"/>
        </w:rPr>
      </w:pPr>
    </w:p>
    <w:p w14:paraId="4BC45700" w14:textId="77777777" w:rsidR="00BC0B7F" w:rsidRPr="00C91F2F" w:rsidRDefault="00BC0B7F" w:rsidP="00BC0B7F">
      <w:pPr>
        <w:ind w:left="360"/>
        <w:jc w:val="center"/>
        <w:rPr>
          <w:rFonts w:ascii="Arial" w:hAnsi="Arial" w:cs="Arial"/>
          <w:sz w:val="28"/>
          <w:szCs w:val="28"/>
          <w:lang w:val="hr-HR"/>
        </w:rPr>
      </w:pPr>
    </w:p>
    <w:p w14:paraId="464A7357" w14:textId="77777777" w:rsidR="00BC0B7F" w:rsidRPr="00C91F2F" w:rsidRDefault="00BC0B7F" w:rsidP="00BC0B7F">
      <w:pPr>
        <w:ind w:left="360"/>
        <w:jc w:val="center"/>
        <w:rPr>
          <w:rFonts w:ascii="Arial" w:hAnsi="Arial" w:cs="Arial"/>
          <w:sz w:val="28"/>
          <w:szCs w:val="28"/>
          <w:lang w:val="hr-HR"/>
        </w:rPr>
      </w:pPr>
    </w:p>
    <w:p w14:paraId="3137B05D" w14:textId="77777777" w:rsidR="00BC0B7F" w:rsidRPr="00C91F2F" w:rsidRDefault="00BC0B7F" w:rsidP="00BC0B7F">
      <w:pPr>
        <w:ind w:left="360"/>
        <w:jc w:val="center"/>
        <w:rPr>
          <w:rFonts w:ascii="Arial" w:hAnsi="Arial" w:cs="Arial"/>
          <w:sz w:val="28"/>
          <w:szCs w:val="28"/>
          <w:lang w:val="hr-HR"/>
        </w:rPr>
      </w:pPr>
    </w:p>
    <w:p w14:paraId="4075BEDF" w14:textId="77777777" w:rsidR="00BC0B7F" w:rsidRPr="00C91F2F" w:rsidRDefault="00BC0B7F" w:rsidP="00BC0B7F">
      <w:pPr>
        <w:ind w:left="360"/>
        <w:jc w:val="center"/>
        <w:rPr>
          <w:rFonts w:ascii="Arial" w:hAnsi="Arial" w:cs="Arial"/>
          <w:sz w:val="28"/>
          <w:szCs w:val="28"/>
          <w:lang w:val="hr-HR"/>
        </w:rPr>
      </w:pPr>
    </w:p>
    <w:p w14:paraId="002837C0" w14:textId="77777777" w:rsidR="00BC0B7F" w:rsidRPr="00C91F2F" w:rsidRDefault="00BC0B7F" w:rsidP="00BC0B7F">
      <w:pPr>
        <w:ind w:left="360"/>
        <w:jc w:val="center"/>
        <w:rPr>
          <w:rFonts w:ascii="Arial" w:hAnsi="Arial" w:cs="Arial"/>
          <w:sz w:val="28"/>
          <w:szCs w:val="28"/>
          <w:lang w:val="hr-HR"/>
        </w:rPr>
      </w:pPr>
    </w:p>
    <w:p w14:paraId="21EF5FD9" w14:textId="77777777" w:rsidR="00BC0B7F" w:rsidRPr="00C91F2F" w:rsidRDefault="00BC0B7F" w:rsidP="00BC0B7F">
      <w:pPr>
        <w:ind w:left="360"/>
        <w:jc w:val="center"/>
        <w:rPr>
          <w:rFonts w:ascii="Arial" w:hAnsi="Arial" w:cs="Arial"/>
          <w:sz w:val="28"/>
          <w:szCs w:val="28"/>
          <w:lang w:val="hr-HR"/>
        </w:rPr>
      </w:pPr>
    </w:p>
    <w:p w14:paraId="225887A1" w14:textId="77777777" w:rsidR="00BC0B7F" w:rsidRPr="00C91F2F" w:rsidRDefault="00BC0B7F" w:rsidP="00BC0B7F">
      <w:pPr>
        <w:pStyle w:val="ListParagraph"/>
        <w:rPr>
          <w:rFonts w:ascii="Arial" w:hAnsi="Arial" w:cs="Arial"/>
          <w:color w:val="000000" w:themeColor="text1"/>
          <w:lang w:val="hr-HR"/>
        </w:rPr>
      </w:pPr>
    </w:p>
    <w:p w14:paraId="3957F09C" w14:textId="77777777" w:rsidR="00BC0B7F" w:rsidRPr="00C91F2F" w:rsidRDefault="00BC0B7F" w:rsidP="00BC0B7F">
      <w:pPr>
        <w:ind w:left="360"/>
        <w:jc w:val="center"/>
        <w:rPr>
          <w:rFonts w:ascii="Arial" w:hAnsi="Arial" w:cs="Arial"/>
          <w:sz w:val="28"/>
          <w:szCs w:val="28"/>
          <w:lang w:val="hr-HR"/>
        </w:rPr>
      </w:pPr>
    </w:p>
    <w:p w14:paraId="7DB66CF1" w14:textId="77777777" w:rsidR="00BC0B7F" w:rsidRPr="00C91F2F" w:rsidRDefault="00BC0B7F" w:rsidP="00BC0B7F">
      <w:pPr>
        <w:ind w:left="360"/>
        <w:jc w:val="center"/>
        <w:rPr>
          <w:rFonts w:ascii="Arial" w:hAnsi="Arial" w:cs="Arial"/>
          <w:sz w:val="28"/>
          <w:szCs w:val="28"/>
          <w:lang w:val="hr-HR"/>
        </w:rPr>
      </w:pPr>
    </w:p>
    <w:p w14:paraId="5A7E6105" w14:textId="77777777" w:rsidR="00BC0B7F" w:rsidRPr="00C91F2F" w:rsidRDefault="00BC0B7F" w:rsidP="00BC0B7F">
      <w:pPr>
        <w:ind w:left="360"/>
        <w:jc w:val="center"/>
        <w:rPr>
          <w:rFonts w:ascii="Arial" w:hAnsi="Arial" w:cs="Arial"/>
          <w:sz w:val="28"/>
          <w:szCs w:val="28"/>
          <w:lang w:val="hr-HR"/>
        </w:rPr>
      </w:pPr>
    </w:p>
    <w:p w14:paraId="3D5CE63E" w14:textId="77777777" w:rsidR="00BC0B7F" w:rsidRPr="00C91F2F" w:rsidRDefault="00BC0B7F" w:rsidP="00BC0B7F">
      <w:pPr>
        <w:ind w:left="360"/>
        <w:jc w:val="center"/>
        <w:rPr>
          <w:rFonts w:ascii="Arial" w:hAnsi="Arial" w:cs="Arial"/>
          <w:sz w:val="28"/>
          <w:szCs w:val="28"/>
          <w:lang w:val="hr-HR"/>
        </w:rPr>
      </w:pPr>
    </w:p>
    <w:p w14:paraId="2FF9A1CE" w14:textId="77777777" w:rsidR="00BC0B7F" w:rsidRPr="00C91F2F" w:rsidRDefault="00BC0B7F" w:rsidP="00BC0B7F">
      <w:pPr>
        <w:ind w:left="360"/>
        <w:jc w:val="center"/>
        <w:rPr>
          <w:rFonts w:ascii="Arial" w:hAnsi="Arial" w:cs="Arial"/>
          <w:sz w:val="28"/>
          <w:szCs w:val="28"/>
          <w:lang w:val="hr-HR"/>
        </w:rPr>
      </w:pPr>
    </w:p>
    <w:p w14:paraId="16C1280A" w14:textId="77777777" w:rsidR="00BC0B7F" w:rsidRPr="00C91F2F" w:rsidRDefault="00BC0B7F" w:rsidP="00BC0B7F">
      <w:pPr>
        <w:ind w:left="360"/>
        <w:jc w:val="center"/>
        <w:rPr>
          <w:rFonts w:ascii="Arial" w:hAnsi="Arial" w:cs="Arial"/>
          <w:sz w:val="28"/>
          <w:szCs w:val="28"/>
          <w:lang w:val="hr-HR"/>
        </w:rPr>
      </w:pPr>
    </w:p>
    <w:p w14:paraId="0B29D70F" w14:textId="77777777" w:rsidR="00BC0B7F" w:rsidRPr="00C91F2F" w:rsidRDefault="00BC0B7F" w:rsidP="00BC0B7F">
      <w:pPr>
        <w:ind w:left="360"/>
        <w:jc w:val="center"/>
        <w:rPr>
          <w:rFonts w:ascii="Arial" w:hAnsi="Arial" w:cs="Arial"/>
          <w:sz w:val="28"/>
          <w:szCs w:val="28"/>
          <w:lang w:val="hr-HR"/>
        </w:rPr>
      </w:pPr>
    </w:p>
    <w:p w14:paraId="5F2C229B" w14:textId="77777777" w:rsidR="00BC0B7F" w:rsidRPr="00C91F2F" w:rsidRDefault="00BC0B7F" w:rsidP="00BC0B7F">
      <w:pPr>
        <w:ind w:left="360"/>
        <w:jc w:val="center"/>
        <w:rPr>
          <w:rFonts w:ascii="Arial" w:hAnsi="Arial" w:cs="Arial"/>
          <w:sz w:val="28"/>
          <w:szCs w:val="28"/>
          <w:lang w:val="hr-HR"/>
        </w:rPr>
      </w:pPr>
    </w:p>
    <w:p w14:paraId="3B386B14" w14:textId="77777777" w:rsidR="00BC0B7F" w:rsidRPr="00C91F2F" w:rsidRDefault="00BC0B7F" w:rsidP="00BC0B7F">
      <w:pPr>
        <w:ind w:left="360"/>
        <w:jc w:val="center"/>
        <w:rPr>
          <w:rFonts w:ascii="Arial" w:hAnsi="Arial" w:cs="Arial"/>
          <w:sz w:val="28"/>
          <w:szCs w:val="28"/>
          <w:lang w:val="hr-HR"/>
        </w:rPr>
      </w:pPr>
    </w:p>
    <w:p w14:paraId="7B0728F6" w14:textId="77777777" w:rsidR="00C91F2F" w:rsidRPr="00C91F2F" w:rsidRDefault="00C91F2F">
      <w:pPr>
        <w:suppressAutoHyphens w:val="0"/>
        <w:spacing w:after="160" w:line="259" w:lineRule="auto"/>
        <w:rPr>
          <w:rFonts w:ascii="Arial" w:hAnsi="Arial" w:cs="Arial"/>
          <w:b/>
          <w:sz w:val="22"/>
          <w:szCs w:val="22"/>
          <w:lang w:val="hr-HR"/>
        </w:rPr>
      </w:pPr>
      <w:r w:rsidRPr="00C91F2F">
        <w:rPr>
          <w:rFonts w:ascii="Arial" w:hAnsi="Arial" w:cs="Arial"/>
          <w:b/>
          <w:sz w:val="22"/>
          <w:szCs w:val="22"/>
          <w:lang w:val="hr-HR"/>
        </w:rPr>
        <w:br w:type="page"/>
      </w:r>
    </w:p>
    <w:p w14:paraId="41882131" w14:textId="58AC8A7D" w:rsidR="00BC0B7F" w:rsidRPr="00126235" w:rsidRDefault="00BC0B7F" w:rsidP="00126235">
      <w:pPr>
        <w:pStyle w:val="Heading1"/>
        <w:numPr>
          <w:ilvl w:val="0"/>
          <w:numId w:val="7"/>
        </w:numPr>
        <w:rPr>
          <w:rFonts w:ascii="Arial" w:hAnsi="Arial" w:cs="Arial"/>
          <w:b/>
          <w:color w:val="auto"/>
          <w:sz w:val="24"/>
          <w:szCs w:val="24"/>
          <w:lang w:val="hr-HR"/>
        </w:rPr>
      </w:pPr>
      <w:bookmarkStart w:id="3" w:name="_Toc524064677"/>
      <w:r w:rsidRPr="00126235">
        <w:rPr>
          <w:rFonts w:ascii="Arial" w:hAnsi="Arial" w:cs="Arial"/>
          <w:b/>
          <w:color w:val="auto"/>
          <w:sz w:val="24"/>
          <w:szCs w:val="24"/>
          <w:lang w:val="hr-HR"/>
        </w:rPr>
        <w:lastRenderedPageBreak/>
        <w:t>UVODNE NAPOMENE</w:t>
      </w:r>
      <w:bookmarkEnd w:id="3"/>
    </w:p>
    <w:p w14:paraId="1E6E3A08" w14:textId="77777777" w:rsidR="00BC0B7F" w:rsidRPr="00C91F2F" w:rsidRDefault="00BC0B7F" w:rsidP="00126235">
      <w:pPr>
        <w:ind w:left="360"/>
        <w:jc w:val="both"/>
        <w:rPr>
          <w:rFonts w:ascii="Arial" w:hAnsi="Arial" w:cs="Arial"/>
          <w:sz w:val="22"/>
          <w:szCs w:val="22"/>
          <w:lang w:val="hr-HR"/>
        </w:rPr>
      </w:pPr>
    </w:p>
    <w:p w14:paraId="05B50799" w14:textId="77777777" w:rsidR="00BC0B7F" w:rsidRPr="00C91F2F" w:rsidRDefault="00BC0B7F" w:rsidP="00126235">
      <w:pPr>
        <w:ind w:left="720"/>
        <w:jc w:val="both"/>
        <w:rPr>
          <w:rFonts w:ascii="Arial" w:hAnsi="Arial" w:cs="Arial"/>
          <w:sz w:val="22"/>
          <w:szCs w:val="22"/>
          <w:lang w:val="hr-HR"/>
        </w:rPr>
      </w:pPr>
    </w:p>
    <w:p w14:paraId="47CD4C9D" w14:textId="17AB0062" w:rsidR="00BC0B7F" w:rsidRDefault="00BC0B7F" w:rsidP="00126235">
      <w:pPr>
        <w:ind w:firstLine="360"/>
        <w:jc w:val="both"/>
        <w:rPr>
          <w:rFonts w:ascii="Arial" w:hAnsi="Arial" w:cs="Arial"/>
          <w:sz w:val="22"/>
          <w:szCs w:val="22"/>
          <w:lang w:val="hr-HR"/>
        </w:rPr>
      </w:pPr>
      <w:r w:rsidRPr="00C91F2F">
        <w:rPr>
          <w:rFonts w:ascii="Arial" w:hAnsi="Arial" w:cs="Arial"/>
          <w:sz w:val="22"/>
          <w:szCs w:val="22"/>
          <w:lang w:val="hr-HR"/>
        </w:rPr>
        <w:t>Planiranje i izrada Proračuna Grada Malog Lošinja za razdoblje 201</w:t>
      </w:r>
      <w:r w:rsidR="00126235">
        <w:rPr>
          <w:rFonts w:ascii="Arial" w:hAnsi="Arial" w:cs="Arial"/>
          <w:sz w:val="22"/>
          <w:szCs w:val="22"/>
          <w:lang w:val="hr-HR"/>
        </w:rPr>
        <w:t>9</w:t>
      </w:r>
      <w:r w:rsidRPr="00C91F2F">
        <w:rPr>
          <w:rFonts w:ascii="Arial" w:hAnsi="Arial" w:cs="Arial"/>
          <w:sz w:val="22"/>
          <w:szCs w:val="22"/>
          <w:lang w:val="hr-HR"/>
        </w:rPr>
        <w:t>-20</w:t>
      </w:r>
      <w:r w:rsidR="00126235">
        <w:rPr>
          <w:rFonts w:ascii="Arial" w:hAnsi="Arial" w:cs="Arial"/>
          <w:sz w:val="22"/>
          <w:szCs w:val="22"/>
          <w:lang w:val="hr-HR"/>
        </w:rPr>
        <w:t>21</w:t>
      </w:r>
      <w:r w:rsidRPr="00C91F2F">
        <w:rPr>
          <w:rFonts w:ascii="Arial" w:hAnsi="Arial" w:cs="Arial"/>
          <w:sz w:val="22"/>
          <w:szCs w:val="22"/>
          <w:lang w:val="hr-HR"/>
        </w:rPr>
        <w:t>. godine (u daljnjem tekstu: Proračun) temelji se na odredbama Zakona o proračunu («Narodne novine» br. 87/08, 136/12, 15/15) i  na vlastitim procjenama prihoda i rashoda.</w:t>
      </w:r>
    </w:p>
    <w:p w14:paraId="163A7E94" w14:textId="77777777" w:rsidR="009F7E98" w:rsidRDefault="009F7E98" w:rsidP="00126235">
      <w:pPr>
        <w:ind w:firstLine="360"/>
        <w:jc w:val="both"/>
        <w:rPr>
          <w:rFonts w:ascii="Arial" w:hAnsi="Arial" w:cs="Arial"/>
          <w:sz w:val="22"/>
          <w:szCs w:val="22"/>
          <w:lang w:val="hr-HR"/>
        </w:rPr>
      </w:pPr>
    </w:p>
    <w:p w14:paraId="2A00EDBE" w14:textId="77777777" w:rsidR="00BC0B7F" w:rsidRPr="00C91F2F" w:rsidRDefault="00BC0B7F" w:rsidP="00126235">
      <w:pPr>
        <w:jc w:val="both"/>
        <w:rPr>
          <w:rFonts w:ascii="Arial" w:hAnsi="Arial" w:cs="Arial"/>
          <w:sz w:val="22"/>
          <w:szCs w:val="22"/>
          <w:lang w:val="hr-HR"/>
        </w:rPr>
      </w:pPr>
    </w:p>
    <w:p w14:paraId="00AD492D" w14:textId="6AC60621" w:rsidR="00BC0B7F" w:rsidRDefault="00BC0B7F" w:rsidP="00126235">
      <w:pPr>
        <w:pStyle w:val="Heading1"/>
        <w:numPr>
          <w:ilvl w:val="0"/>
          <w:numId w:val="7"/>
        </w:numPr>
        <w:rPr>
          <w:rFonts w:ascii="Arial" w:hAnsi="Arial" w:cs="Arial"/>
          <w:b/>
          <w:color w:val="auto"/>
          <w:sz w:val="24"/>
          <w:szCs w:val="24"/>
          <w:lang w:val="hr-HR"/>
        </w:rPr>
      </w:pPr>
      <w:bookmarkStart w:id="4" w:name="_Toc524064678"/>
      <w:r w:rsidRPr="00126235">
        <w:rPr>
          <w:rFonts w:ascii="Arial" w:hAnsi="Arial" w:cs="Arial"/>
          <w:b/>
          <w:color w:val="auto"/>
          <w:sz w:val="24"/>
          <w:szCs w:val="24"/>
          <w:lang w:val="hr-HR"/>
        </w:rPr>
        <w:t>METODOLOGIJA ZA IZRADU PRORAČUNA ZA RAZDOBLJE 201</w:t>
      </w:r>
      <w:r w:rsidR="00126235">
        <w:rPr>
          <w:rFonts w:ascii="Arial" w:hAnsi="Arial" w:cs="Arial"/>
          <w:b/>
          <w:color w:val="auto"/>
          <w:sz w:val="24"/>
          <w:szCs w:val="24"/>
          <w:lang w:val="hr-HR"/>
        </w:rPr>
        <w:t>9</w:t>
      </w:r>
      <w:r w:rsidRPr="00126235">
        <w:rPr>
          <w:rFonts w:ascii="Arial" w:hAnsi="Arial" w:cs="Arial"/>
          <w:b/>
          <w:color w:val="auto"/>
          <w:sz w:val="24"/>
          <w:szCs w:val="24"/>
          <w:lang w:val="hr-HR"/>
        </w:rPr>
        <w:t>-20</w:t>
      </w:r>
      <w:r w:rsidR="00126235">
        <w:rPr>
          <w:rFonts w:ascii="Arial" w:hAnsi="Arial" w:cs="Arial"/>
          <w:b/>
          <w:color w:val="auto"/>
          <w:sz w:val="24"/>
          <w:szCs w:val="24"/>
          <w:lang w:val="hr-HR"/>
        </w:rPr>
        <w:t>21</w:t>
      </w:r>
      <w:r w:rsidRPr="00126235">
        <w:rPr>
          <w:rFonts w:ascii="Arial" w:hAnsi="Arial" w:cs="Arial"/>
          <w:b/>
          <w:color w:val="auto"/>
          <w:sz w:val="24"/>
          <w:szCs w:val="24"/>
          <w:lang w:val="hr-HR"/>
        </w:rPr>
        <w:t>.</w:t>
      </w:r>
      <w:bookmarkEnd w:id="4"/>
    </w:p>
    <w:p w14:paraId="49E6006C" w14:textId="77777777" w:rsidR="009F7E98" w:rsidRPr="009F7E98" w:rsidRDefault="009F7E98" w:rsidP="009F7E98">
      <w:pPr>
        <w:rPr>
          <w:lang w:val="hr-HR"/>
        </w:rPr>
      </w:pPr>
    </w:p>
    <w:p w14:paraId="12DCEAD7" w14:textId="77777777" w:rsidR="00BC0B7F" w:rsidRPr="00C91F2F" w:rsidRDefault="00BC0B7F" w:rsidP="00126235">
      <w:pPr>
        <w:ind w:left="360"/>
        <w:jc w:val="both"/>
        <w:rPr>
          <w:rFonts w:ascii="Arial" w:hAnsi="Arial" w:cs="Arial"/>
          <w:sz w:val="22"/>
          <w:szCs w:val="22"/>
          <w:lang w:val="hr-HR"/>
        </w:rPr>
      </w:pPr>
    </w:p>
    <w:p w14:paraId="4029E305" w14:textId="5A38E842" w:rsidR="00BC0B7F" w:rsidRPr="00126235" w:rsidRDefault="00BC0B7F" w:rsidP="009F7E98">
      <w:pPr>
        <w:ind w:firstLine="360"/>
        <w:jc w:val="both"/>
        <w:rPr>
          <w:rFonts w:ascii="Arial" w:hAnsi="Arial" w:cs="Arial"/>
          <w:sz w:val="22"/>
          <w:szCs w:val="22"/>
          <w:lang w:val="hr-HR"/>
        </w:rPr>
      </w:pPr>
      <w:r w:rsidRPr="00C91F2F">
        <w:rPr>
          <w:rFonts w:ascii="Arial" w:hAnsi="Arial" w:cs="Arial"/>
          <w:sz w:val="22"/>
          <w:szCs w:val="22"/>
          <w:lang w:val="hr-HR"/>
        </w:rPr>
        <w:t xml:space="preserve">Metodologija za izradu prijedloga proračuna i financijskog plana propisan je Zakonom o proračunu i podzakonskim aktima: pravilnikom o proračunskim klasifikacijama i pravilnikom o </w:t>
      </w:r>
      <w:r w:rsidRPr="00126235">
        <w:rPr>
          <w:rFonts w:ascii="Arial" w:hAnsi="Arial" w:cs="Arial"/>
          <w:sz w:val="22"/>
          <w:szCs w:val="22"/>
          <w:lang w:val="hr-HR"/>
        </w:rPr>
        <w:t>proračunskom računovodstvu i računskom planu.</w:t>
      </w:r>
    </w:p>
    <w:p w14:paraId="0FA1E2B9" w14:textId="77777777" w:rsidR="00126235" w:rsidRDefault="00126235" w:rsidP="00126235">
      <w:pPr>
        <w:ind w:left="360"/>
        <w:jc w:val="both"/>
        <w:rPr>
          <w:rFonts w:ascii="Arial" w:hAnsi="Arial" w:cs="Arial"/>
          <w:sz w:val="22"/>
          <w:szCs w:val="22"/>
          <w:lang w:val="hr-HR"/>
        </w:rPr>
      </w:pPr>
    </w:p>
    <w:p w14:paraId="21F6FC8A" w14:textId="526C7D2D" w:rsidR="00BC0B7F" w:rsidRPr="00C91F2F" w:rsidRDefault="00BC0B7F" w:rsidP="009F7E98">
      <w:pPr>
        <w:jc w:val="both"/>
        <w:rPr>
          <w:rFonts w:ascii="Arial" w:hAnsi="Arial" w:cs="Arial"/>
          <w:sz w:val="22"/>
          <w:szCs w:val="22"/>
          <w:lang w:val="hr-HR"/>
        </w:rPr>
      </w:pPr>
      <w:r w:rsidRPr="00C91F2F">
        <w:rPr>
          <w:rFonts w:ascii="Arial" w:hAnsi="Arial" w:cs="Arial"/>
          <w:color w:val="000000" w:themeColor="text1"/>
          <w:sz w:val="22"/>
          <w:szCs w:val="22"/>
          <w:lang w:val="hr-HR"/>
        </w:rPr>
        <w:t>Metodologija sadrži obvezne upute izrađene na temelju zakona  i podzakonskih akata.</w:t>
      </w:r>
      <w:r w:rsidR="00126235">
        <w:rPr>
          <w:rFonts w:ascii="Arial" w:hAnsi="Arial" w:cs="Arial"/>
          <w:color w:val="000000" w:themeColor="text1"/>
          <w:sz w:val="22"/>
          <w:szCs w:val="22"/>
          <w:lang w:val="hr-HR"/>
        </w:rPr>
        <w:t xml:space="preserve"> </w:t>
      </w:r>
      <w:r w:rsidRPr="00C91F2F">
        <w:rPr>
          <w:rFonts w:ascii="Arial" w:hAnsi="Arial" w:cs="Arial"/>
          <w:color w:val="000000" w:themeColor="text1"/>
          <w:sz w:val="22"/>
          <w:szCs w:val="22"/>
          <w:lang w:val="hr-HR"/>
        </w:rPr>
        <w:t xml:space="preserve">Proračun se sastoji od općeg i posebnog dijela </w:t>
      </w:r>
      <w:r w:rsidRPr="00C91F2F">
        <w:rPr>
          <w:rFonts w:ascii="Arial" w:hAnsi="Arial" w:cs="Arial"/>
          <w:sz w:val="22"/>
          <w:szCs w:val="22"/>
          <w:lang w:val="hr-HR"/>
        </w:rPr>
        <w:t>koji se odnosi na 201</w:t>
      </w:r>
      <w:r w:rsidR="00126235">
        <w:rPr>
          <w:rFonts w:ascii="Arial" w:hAnsi="Arial" w:cs="Arial"/>
          <w:sz w:val="22"/>
          <w:szCs w:val="22"/>
          <w:lang w:val="hr-HR"/>
        </w:rPr>
        <w:t>9</w:t>
      </w:r>
      <w:r w:rsidRPr="00C91F2F">
        <w:rPr>
          <w:rFonts w:ascii="Arial" w:hAnsi="Arial" w:cs="Arial"/>
          <w:sz w:val="22"/>
          <w:szCs w:val="22"/>
          <w:lang w:val="hr-HR"/>
        </w:rPr>
        <w:t xml:space="preserve">. godinu, te    plana razvojnih programa koji se utvrđuju za razdoblje </w:t>
      </w:r>
      <w:r w:rsidR="00126235">
        <w:rPr>
          <w:rFonts w:ascii="Arial" w:hAnsi="Arial" w:cs="Arial"/>
          <w:sz w:val="22"/>
          <w:szCs w:val="22"/>
          <w:lang w:val="hr-HR"/>
        </w:rPr>
        <w:t>2020-</w:t>
      </w:r>
      <w:r w:rsidRPr="00C91F2F">
        <w:rPr>
          <w:rFonts w:ascii="Arial" w:hAnsi="Arial" w:cs="Arial"/>
          <w:sz w:val="22"/>
          <w:szCs w:val="22"/>
          <w:lang w:val="hr-HR"/>
        </w:rPr>
        <w:t>20</w:t>
      </w:r>
      <w:r w:rsidR="00126235">
        <w:rPr>
          <w:rFonts w:ascii="Arial" w:hAnsi="Arial" w:cs="Arial"/>
          <w:sz w:val="22"/>
          <w:szCs w:val="22"/>
          <w:lang w:val="hr-HR"/>
        </w:rPr>
        <w:t>2</w:t>
      </w:r>
      <w:r w:rsidRPr="00C91F2F">
        <w:rPr>
          <w:rFonts w:ascii="Arial" w:hAnsi="Arial" w:cs="Arial"/>
          <w:sz w:val="22"/>
          <w:szCs w:val="22"/>
          <w:lang w:val="hr-HR"/>
        </w:rPr>
        <w:t>1. godine.</w:t>
      </w:r>
    </w:p>
    <w:p w14:paraId="3AFC293C" w14:textId="77777777" w:rsidR="00126235" w:rsidRDefault="00126235" w:rsidP="00126235">
      <w:pPr>
        <w:ind w:left="360"/>
        <w:jc w:val="both"/>
        <w:rPr>
          <w:rFonts w:ascii="Arial" w:hAnsi="Arial" w:cs="Arial"/>
          <w:sz w:val="22"/>
          <w:szCs w:val="22"/>
          <w:lang w:val="hr-HR"/>
        </w:rPr>
      </w:pPr>
    </w:p>
    <w:p w14:paraId="1B430178" w14:textId="6C41FFB8" w:rsidR="00BC0B7F" w:rsidRPr="00C91F2F" w:rsidRDefault="00BC0B7F" w:rsidP="009F7E98">
      <w:pPr>
        <w:jc w:val="both"/>
        <w:rPr>
          <w:rFonts w:ascii="Arial" w:hAnsi="Arial" w:cs="Arial"/>
          <w:sz w:val="22"/>
          <w:szCs w:val="22"/>
          <w:lang w:val="hr-HR"/>
        </w:rPr>
      </w:pPr>
      <w:r w:rsidRPr="00C91F2F">
        <w:rPr>
          <w:rFonts w:ascii="Arial" w:hAnsi="Arial" w:cs="Arial"/>
          <w:sz w:val="22"/>
          <w:szCs w:val="22"/>
          <w:lang w:val="hr-HR"/>
        </w:rPr>
        <w:t>Strukturu općeg dijela proračuna čine prihodi i primici, te rashodi i izdaci po ekonomskoj klasifikaciji (po vrstama) utvrđeni u Računu prihoda i rashoda i Računu financiranja.</w:t>
      </w:r>
    </w:p>
    <w:p w14:paraId="6F3E174F" w14:textId="77777777" w:rsidR="00126235" w:rsidRPr="00126235" w:rsidRDefault="00126235" w:rsidP="00126235">
      <w:pPr>
        <w:ind w:left="360"/>
        <w:jc w:val="both"/>
        <w:rPr>
          <w:rFonts w:ascii="Arial" w:hAnsi="Arial" w:cs="Arial"/>
          <w:sz w:val="22"/>
          <w:szCs w:val="22"/>
          <w:lang w:val="hr-HR"/>
        </w:rPr>
      </w:pPr>
    </w:p>
    <w:p w14:paraId="749C0912" w14:textId="3FAD1CFE" w:rsidR="00BC0B7F" w:rsidRPr="00C91F2F" w:rsidRDefault="00BC0B7F" w:rsidP="009F7E98">
      <w:pPr>
        <w:jc w:val="both"/>
        <w:rPr>
          <w:rFonts w:ascii="Arial" w:hAnsi="Arial" w:cs="Arial"/>
          <w:sz w:val="22"/>
          <w:szCs w:val="22"/>
          <w:lang w:val="hr-HR"/>
        </w:rPr>
      </w:pPr>
      <w:r w:rsidRPr="00C91F2F">
        <w:rPr>
          <w:rFonts w:ascii="Arial" w:hAnsi="Arial" w:cs="Arial"/>
          <w:sz w:val="22"/>
          <w:szCs w:val="22"/>
          <w:lang w:val="hr-HR"/>
        </w:rPr>
        <w:t>Posebni dio proračuna čine rashodi i izdaci raspoređeni po stavkama primjenom organizacijske, programske i ekonomske (obvezatne proračunske klasifikacije).</w:t>
      </w:r>
    </w:p>
    <w:p w14:paraId="4E5C1527" w14:textId="77777777" w:rsidR="00126235" w:rsidRDefault="00126235" w:rsidP="00126235">
      <w:pPr>
        <w:ind w:left="360"/>
        <w:jc w:val="both"/>
        <w:rPr>
          <w:rFonts w:ascii="Arial" w:hAnsi="Arial" w:cs="Arial"/>
          <w:sz w:val="22"/>
          <w:szCs w:val="22"/>
          <w:lang w:val="hr-HR"/>
        </w:rPr>
      </w:pPr>
    </w:p>
    <w:p w14:paraId="2114E563" w14:textId="78F0F10A" w:rsidR="00BC0B7F" w:rsidRPr="00C91F2F" w:rsidRDefault="00BC0B7F" w:rsidP="009F7E98">
      <w:pPr>
        <w:jc w:val="both"/>
        <w:rPr>
          <w:rFonts w:ascii="Arial" w:hAnsi="Arial" w:cs="Arial"/>
          <w:sz w:val="22"/>
          <w:szCs w:val="22"/>
          <w:lang w:val="hr-HR"/>
        </w:rPr>
      </w:pPr>
      <w:r w:rsidRPr="00C91F2F">
        <w:rPr>
          <w:rFonts w:ascii="Arial" w:hAnsi="Arial" w:cs="Arial"/>
          <w:sz w:val="22"/>
          <w:szCs w:val="22"/>
          <w:lang w:val="hr-HR"/>
        </w:rPr>
        <w:t>Sastavni dio proračuna je i njegovo obrazloženje u kojem se daje obrazloženje općeg i posebnog dijela proračuna i plana razvojnih programa.</w:t>
      </w:r>
    </w:p>
    <w:p w14:paraId="2F064612" w14:textId="77777777" w:rsidR="00126235" w:rsidRDefault="00126235" w:rsidP="00126235">
      <w:pPr>
        <w:ind w:left="360"/>
        <w:jc w:val="both"/>
        <w:rPr>
          <w:rFonts w:ascii="Arial" w:hAnsi="Arial" w:cs="Arial"/>
          <w:sz w:val="22"/>
          <w:szCs w:val="22"/>
          <w:lang w:val="hr-HR"/>
        </w:rPr>
      </w:pPr>
    </w:p>
    <w:p w14:paraId="39B0C588" w14:textId="2CDB95D5" w:rsidR="00BC0B7F" w:rsidRPr="00C91F2F" w:rsidRDefault="00BC0B7F" w:rsidP="009F7E98">
      <w:pPr>
        <w:jc w:val="both"/>
        <w:rPr>
          <w:rFonts w:ascii="Arial" w:hAnsi="Arial" w:cs="Arial"/>
          <w:sz w:val="22"/>
          <w:szCs w:val="22"/>
          <w:lang w:val="hr-HR"/>
        </w:rPr>
      </w:pPr>
      <w:r w:rsidRPr="00C91F2F">
        <w:rPr>
          <w:rFonts w:ascii="Arial" w:hAnsi="Arial" w:cs="Arial"/>
          <w:sz w:val="22"/>
          <w:szCs w:val="22"/>
          <w:lang w:val="hr-HR"/>
        </w:rPr>
        <w:t>Uz proračun, kao samostalni dokument, donosi se projekcija proračuna za razdoblje 20</w:t>
      </w:r>
      <w:r w:rsidR="00126235">
        <w:rPr>
          <w:rFonts w:ascii="Arial" w:hAnsi="Arial" w:cs="Arial"/>
          <w:sz w:val="22"/>
          <w:szCs w:val="22"/>
          <w:lang w:val="hr-HR"/>
        </w:rPr>
        <w:t>20</w:t>
      </w:r>
      <w:r w:rsidRPr="00C91F2F">
        <w:rPr>
          <w:rFonts w:ascii="Arial" w:hAnsi="Arial" w:cs="Arial"/>
          <w:sz w:val="22"/>
          <w:szCs w:val="22"/>
          <w:lang w:val="hr-HR"/>
        </w:rPr>
        <w:t>-20</w:t>
      </w:r>
      <w:r w:rsidR="00126235">
        <w:rPr>
          <w:rFonts w:ascii="Arial" w:hAnsi="Arial" w:cs="Arial"/>
          <w:sz w:val="22"/>
          <w:szCs w:val="22"/>
          <w:lang w:val="hr-HR"/>
        </w:rPr>
        <w:t>2</w:t>
      </w:r>
      <w:r w:rsidRPr="00C91F2F">
        <w:rPr>
          <w:rFonts w:ascii="Arial" w:hAnsi="Arial" w:cs="Arial"/>
          <w:sz w:val="22"/>
          <w:szCs w:val="22"/>
          <w:lang w:val="hr-HR"/>
        </w:rPr>
        <w:t xml:space="preserve">1. godine. </w:t>
      </w:r>
    </w:p>
    <w:p w14:paraId="1EB812C3" w14:textId="77777777" w:rsidR="00126235" w:rsidRDefault="00BC0B7F" w:rsidP="00126235">
      <w:pPr>
        <w:ind w:left="360"/>
        <w:jc w:val="both"/>
        <w:rPr>
          <w:rFonts w:ascii="Arial" w:hAnsi="Arial" w:cs="Arial"/>
          <w:i/>
          <w:color w:val="FF0000"/>
          <w:sz w:val="22"/>
          <w:szCs w:val="22"/>
          <w:lang w:val="hr-HR"/>
        </w:rPr>
      </w:pPr>
      <w:r w:rsidRPr="00C91F2F">
        <w:rPr>
          <w:rFonts w:ascii="Arial" w:hAnsi="Arial" w:cs="Arial"/>
          <w:i/>
          <w:color w:val="FF0000"/>
          <w:sz w:val="22"/>
          <w:szCs w:val="22"/>
          <w:lang w:val="hr-HR"/>
        </w:rPr>
        <w:t xml:space="preserve">      </w:t>
      </w:r>
    </w:p>
    <w:p w14:paraId="4D96BF95" w14:textId="5D16B879" w:rsidR="00BC0B7F" w:rsidRDefault="00BC0B7F" w:rsidP="009F7E98">
      <w:pPr>
        <w:jc w:val="both"/>
        <w:rPr>
          <w:rFonts w:ascii="Arial" w:hAnsi="Arial" w:cs="Arial"/>
          <w:sz w:val="22"/>
          <w:szCs w:val="22"/>
          <w:lang w:val="hr-HR"/>
        </w:rPr>
      </w:pPr>
      <w:r w:rsidRPr="00C91F2F">
        <w:rPr>
          <w:rFonts w:ascii="Arial" w:hAnsi="Arial" w:cs="Arial"/>
          <w:sz w:val="22"/>
          <w:szCs w:val="22"/>
          <w:lang w:val="hr-HR"/>
        </w:rPr>
        <w:t>Sukladno Zakonu o proračunu, proračun se usvaja na razini podskupine (treća razina računskog plana), a projekcije za 20</w:t>
      </w:r>
      <w:r w:rsidR="00126235">
        <w:rPr>
          <w:rFonts w:ascii="Arial" w:hAnsi="Arial" w:cs="Arial"/>
          <w:sz w:val="22"/>
          <w:szCs w:val="22"/>
          <w:lang w:val="hr-HR"/>
        </w:rPr>
        <w:t>20</w:t>
      </w:r>
      <w:r w:rsidRPr="00C91F2F">
        <w:rPr>
          <w:rFonts w:ascii="Arial" w:hAnsi="Arial" w:cs="Arial"/>
          <w:sz w:val="22"/>
          <w:szCs w:val="22"/>
          <w:lang w:val="hr-HR"/>
        </w:rPr>
        <w:t>. i 20</w:t>
      </w:r>
      <w:r w:rsidR="00126235">
        <w:rPr>
          <w:rFonts w:ascii="Arial" w:hAnsi="Arial" w:cs="Arial"/>
          <w:sz w:val="22"/>
          <w:szCs w:val="22"/>
          <w:lang w:val="hr-HR"/>
        </w:rPr>
        <w:t>2</w:t>
      </w:r>
      <w:r w:rsidRPr="00C91F2F">
        <w:rPr>
          <w:rFonts w:ascii="Arial" w:hAnsi="Arial" w:cs="Arial"/>
          <w:sz w:val="22"/>
          <w:szCs w:val="22"/>
          <w:lang w:val="hr-HR"/>
        </w:rPr>
        <w:t>1. godinu na razini skupine (druga razina računskog plana).</w:t>
      </w:r>
    </w:p>
    <w:p w14:paraId="4BAFE973" w14:textId="77777777" w:rsidR="009F7E98" w:rsidRPr="00C91F2F" w:rsidRDefault="009F7E98" w:rsidP="009F7E98">
      <w:pPr>
        <w:jc w:val="both"/>
        <w:rPr>
          <w:rFonts w:ascii="Arial" w:hAnsi="Arial" w:cs="Arial"/>
          <w:sz w:val="22"/>
          <w:szCs w:val="22"/>
          <w:lang w:val="hr-HR"/>
        </w:rPr>
      </w:pPr>
    </w:p>
    <w:p w14:paraId="53D039C5" w14:textId="77777777" w:rsidR="00BC0B7F" w:rsidRPr="00C91F2F" w:rsidRDefault="00BC0B7F" w:rsidP="00126235">
      <w:pPr>
        <w:jc w:val="both"/>
        <w:rPr>
          <w:rFonts w:ascii="Arial" w:hAnsi="Arial" w:cs="Arial"/>
          <w:sz w:val="22"/>
          <w:szCs w:val="22"/>
          <w:lang w:val="hr-HR"/>
        </w:rPr>
      </w:pPr>
    </w:p>
    <w:p w14:paraId="76452423" w14:textId="369BC568" w:rsidR="00BC0B7F" w:rsidRDefault="00BC0B7F" w:rsidP="00126235">
      <w:pPr>
        <w:pStyle w:val="Heading1"/>
        <w:numPr>
          <w:ilvl w:val="0"/>
          <w:numId w:val="7"/>
        </w:numPr>
        <w:rPr>
          <w:rFonts w:ascii="Arial" w:hAnsi="Arial" w:cs="Arial"/>
          <w:b/>
          <w:color w:val="auto"/>
          <w:sz w:val="24"/>
          <w:szCs w:val="24"/>
          <w:lang w:val="hr-HR"/>
        </w:rPr>
      </w:pPr>
      <w:bookmarkStart w:id="5" w:name="_Toc524064679"/>
      <w:r w:rsidRPr="00126235">
        <w:rPr>
          <w:rFonts w:ascii="Arial" w:hAnsi="Arial" w:cs="Arial"/>
          <w:b/>
          <w:color w:val="auto"/>
          <w:sz w:val="24"/>
          <w:szCs w:val="24"/>
          <w:lang w:val="hr-HR"/>
        </w:rPr>
        <w:t>METODOLOGIJA ZA IZRADU PRIJEDLOGA FINANCIJSKOG PLANA PRORAČUNSKOG KORISNIKA ZA RAZDOBLJE  201</w:t>
      </w:r>
      <w:r w:rsidR="00126235">
        <w:rPr>
          <w:rFonts w:ascii="Arial" w:hAnsi="Arial" w:cs="Arial"/>
          <w:b/>
          <w:color w:val="auto"/>
          <w:sz w:val="24"/>
          <w:szCs w:val="24"/>
          <w:lang w:val="hr-HR"/>
        </w:rPr>
        <w:t>9</w:t>
      </w:r>
      <w:r w:rsidRPr="00126235">
        <w:rPr>
          <w:rFonts w:ascii="Arial" w:hAnsi="Arial" w:cs="Arial"/>
          <w:b/>
          <w:color w:val="auto"/>
          <w:sz w:val="24"/>
          <w:szCs w:val="24"/>
          <w:lang w:val="hr-HR"/>
        </w:rPr>
        <w:t>-20</w:t>
      </w:r>
      <w:r w:rsidR="00126235">
        <w:rPr>
          <w:rFonts w:ascii="Arial" w:hAnsi="Arial" w:cs="Arial"/>
          <w:b/>
          <w:color w:val="auto"/>
          <w:sz w:val="24"/>
          <w:szCs w:val="24"/>
          <w:lang w:val="hr-HR"/>
        </w:rPr>
        <w:t>2</w:t>
      </w:r>
      <w:r w:rsidRPr="00126235">
        <w:rPr>
          <w:rFonts w:ascii="Arial" w:hAnsi="Arial" w:cs="Arial"/>
          <w:b/>
          <w:color w:val="auto"/>
          <w:sz w:val="24"/>
          <w:szCs w:val="24"/>
          <w:lang w:val="hr-HR"/>
        </w:rPr>
        <w:t>1. GODINE</w:t>
      </w:r>
      <w:bookmarkEnd w:id="5"/>
    </w:p>
    <w:p w14:paraId="242A6DE3" w14:textId="77777777" w:rsidR="009F7E98" w:rsidRDefault="009F7E98" w:rsidP="009F7E98">
      <w:pPr>
        <w:jc w:val="both"/>
        <w:rPr>
          <w:lang w:val="hr-HR"/>
        </w:rPr>
      </w:pPr>
    </w:p>
    <w:p w14:paraId="777D63CD" w14:textId="77777777" w:rsidR="009F7E98" w:rsidRDefault="009F7E98" w:rsidP="009F7E98">
      <w:pPr>
        <w:jc w:val="both"/>
        <w:rPr>
          <w:rFonts w:ascii="Arial" w:hAnsi="Arial" w:cs="Arial"/>
          <w:sz w:val="22"/>
          <w:szCs w:val="22"/>
          <w:lang w:val="hr-HR"/>
        </w:rPr>
      </w:pPr>
    </w:p>
    <w:p w14:paraId="697D3791" w14:textId="7102FE17" w:rsidR="00BC0B7F" w:rsidRDefault="00BC0B7F" w:rsidP="009F7E98">
      <w:pPr>
        <w:ind w:firstLine="360"/>
        <w:jc w:val="both"/>
        <w:rPr>
          <w:rFonts w:ascii="Arial" w:hAnsi="Arial" w:cs="Arial"/>
          <w:sz w:val="22"/>
          <w:szCs w:val="22"/>
          <w:lang w:val="hr-HR"/>
        </w:rPr>
      </w:pPr>
      <w:r w:rsidRPr="00C91F2F">
        <w:rPr>
          <w:rFonts w:ascii="Arial" w:hAnsi="Arial" w:cs="Arial"/>
          <w:sz w:val="22"/>
          <w:szCs w:val="22"/>
          <w:lang w:val="hr-HR"/>
        </w:rPr>
        <w:t xml:space="preserve">Svi proračunski korisnici Grada Malog Lošinja dužni su izraditi </w:t>
      </w:r>
      <w:r w:rsidR="009F7E98">
        <w:rPr>
          <w:rFonts w:ascii="Arial" w:hAnsi="Arial" w:cs="Arial"/>
          <w:sz w:val="22"/>
          <w:szCs w:val="22"/>
          <w:lang w:val="hr-HR"/>
        </w:rPr>
        <w:t>F</w:t>
      </w:r>
      <w:r w:rsidRPr="00C91F2F">
        <w:rPr>
          <w:rFonts w:ascii="Arial" w:hAnsi="Arial" w:cs="Arial"/>
          <w:sz w:val="22"/>
          <w:szCs w:val="22"/>
          <w:lang w:val="hr-HR"/>
        </w:rPr>
        <w:t>inancijsk</w:t>
      </w:r>
      <w:r w:rsidR="009F7E98">
        <w:rPr>
          <w:rFonts w:ascii="Arial" w:hAnsi="Arial" w:cs="Arial"/>
          <w:sz w:val="22"/>
          <w:szCs w:val="22"/>
          <w:lang w:val="hr-HR"/>
        </w:rPr>
        <w:t>i</w:t>
      </w:r>
      <w:r w:rsidRPr="00C91F2F">
        <w:rPr>
          <w:rFonts w:ascii="Arial" w:hAnsi="Arial" w:cs="Arial"/>
          <w:sz w:val="22"/>
          <w:szCs w:val="22"/>
          <w:lang w:val="hr-HR"/>
        </w:rPr>
        <w:t xml:space="preserve"> plan za 201</w:t>
      </w:r>
      <w:r w:rsidR="009F7E98">
        <w:rPr>
          <w:rFonts w:ascii="Arial" w:hAnsi="Arial" w:cs="Arial"/>
          <w:sz w:val="22"/>
          <w:szCs w:val="22"/>
          <w:lang w:val="hr-HR"/>
        </w:rPr>
        <w:t>9</w:t>
      </w:r>
      <w:r w:rsidRPr="00C91F2F">
        <w:rPr>
          <w:rFonts w:ascii="Arial" w:hAnsi="Arial" w:cs="Arial"/>
          <w:sz w:val="22"/>
          <w:szCs w:val="22"/>
          <w:lang w:val="hr-HR"/>
        </w:rPr>
        <w:t>. godinu i procjenu financijskog plana za razdoblje 20</w:t>
      </w:r>
      <w:r w:rsidR="009F7E98">
        <w:rPr>
          <w:rFonts w:ascii="Arial" w:hAnsi="Arial" w:cs="Arial"/>
          <w:sz w:val="22"/>
          <w:szCs w:val="22"/>
          <w:lang w:val="hr-HR"/>
        </w:rPr>
        <w:t>20</w:t>
      </w:r>
      <w:r w:rsidRPr="00C91F2F">
        <w:rPr>
          <w:rFonts w:ascii="Arial" w:hAnsi="Arial" w:cs="Arial"/>
          <w:sz w:val="22"/>
          <w:szCs w:val="22"/>
          <w:lang w:val="hr-HR"/>
        </w:rPr>
        <w:t>-20</w:t>
      </w:r>
      <w:r w:rsidR="009F7E98">
        <w:rPr>
          <w:rFonts w:ascii="Arial" w:hAnsi="Arial" w:cs="Arial"/>
          <w:sz w:val="22"/>
          <w:szCs w:val="22"/>
          <w:lang w:val="hr-HR"/>
        </w:rPr>
        <w:t>2</w:t>
      </w:r>
      <w:r w:rsidRPr="00C91F2F">
        <w:rPr>
          <w:rFonts w:ascii="Arial" w:hAnsi="Arial" w:cs="Arial"/>
          <w:sz w:val="22"/>
          <w:szCs w:val="22"/>
          <w:lang w:val="hr-HR"/>
        </w:rPr>
        <w:t>1. godine.</w:t>
      </w:r>
    </w:p>
    <w:p w14:paraId="1ADAB15E" w14:textId="77777777" w:rsidR="009F7E98" w:rsidRPr="00C91F2F" w:rsidRDefault="009F7E98" w:rsidP="009F7E98">
      <w:pPr>
        <w:ind w:firstLine="360"/>
        <w:jc w:val="both"/>
        <w:rPr>
          <w:rFonts w:ascii="Arial" w:hAnsi="Arial" w:cs="Arial"/>
          <w:sz w:val="22"/>
          <w:szCs w:val="22"/>
          <w:lang w:val="hr-HR"/>
        </w:rPr>
      </w:pPr>
    </w:p>
    <w:p w14:paraId="03C9AC37" w14:textId="091D3286" w:rsidR="00BC0B7F" w:rsidRDefault="00BC0B7F" w:rsidP="00126235">
      <w:pPr>
        <w:jc w:val="both"/>
        <w:rPr>
          <w:rFonts w:ascii="Arial" w:hAnsi="Arial" w:cs="Arial"/>
          <w:color w:val="000000" w:themeColor="text1"/>
          <w:sz w:val="22"/>
          <w:szCs w:val="22"/>
          <w:lang w:val="hr-HR"/>
        </w:rPr>
      </w:pPr>
      <w:r w:rsidRPr="00C91F2F">
        <w:rPr>
          <w:rFonts w:ascii="Arial" w:hAnsi="Arial" w:cs="Arial"/>
          <w:sz w:val="22"/>
          <w:szCs w:val="22"/>
          <w:lang w:val="hr-HR"/>
        </w:rPr>
        <w:t>P</w:t>
      </w:r>
      <w:r w:rsidRPr="00C91F2F">
        <w:rPr>
          <w:rFonts w:ascii="Arial" w:hAnsi="Arial" w:cs="Arial"/>
          <w:color w:val="000000" w:themeColor="text1"/>
          <w:sz w:val="22"/>
          <w:szCs w:val="22"/>
          <w:lang w:val="hr-HR"/>
        </w:rPr>
        <w:t xml:space="preserve">roračunski korisnik u financijskom planu treba </w:t>
      </w:r>
      <w:r w:rsidRPr="00C91F2F">
        <w:rPr>
          <w:rFonts w:ascii="Arial" w:hAnsi="Arial" w:cs="Arial"/>
          <w:color w:val="000000" w:themeColor="text1"/>
          <w:sz w:val="22"/>
          <w:szCs w:val="22"/>
          <w:u w:val="single"/>
          <w:lang w:val="hr-HR"/>
        </w:rPr>
        <w:t>iskazati sve svoje prihode i rashode</w:t>
      </w:r>
      <w:r w:rsidRPr="00C91F2F">
        <w:rPr>
          <w:rFonts w:ascii="Arial" w:hAnsi="Arial" w:cs="Arial"/>
          <w:color w:val="000000" w:themeColor="text1"/>
          <w:sz w:val="22"/>
          <w:szCs w:val="22"/>
          <w:lang w:val="hr-HR"/>
        </w:rPr>
        <w:t xml:space="preserve"> bez obzira na moguće uplate dijela prihoda korisnika u Proračun Grada ili podmirivanje dijela rashoda korisnika direktno s računa proračuna.</w:t>
      </w:r>
    </w:p>
    <w:p w14:paraId="4027E4D2" w14:textId="77777777" w:rsidR="009F7E98" w:rsidRPr="00C91F2F" w:rsidRDefault="009F7E98" w:rsidP="00126235">
      <w:pPr>
        <w:jc w:val="both"/>
        <w:rPr>
          <w:rFonts w:ascii="Arial" w:hAnsi="Arial" w:cs="Arial"/>
          <w:color w:val="000000" w:themeColor="text1"/>
          <w:sz w:val="22"/>
          <w:szCs w:val="22"/>
          <w:lang w:val="hr-HR"/>
        </w:rPr>
      </w:pPr>
    </w:p>
    <w:p w14:paraId="47FD997F" w14:textId="77777777" w:rsidR="00D25C84" w:rsidRDefault="00D25C84" w:rsidP="00126235">
      <w:pPr>
        <w:jc w:val="both"/>
        <w:rPr>
          <w:rFonts w:ascii="Arial" w:hAnsi="Arial" w:cs="Arial"/>
          <w:sz w:val="22"/>
          <w:szCs w:val="22"/>
          <w:lang w:val="hr-HR"/>
        </w:rPr>
      </w:pPr>
    </w:p>
    <w:p w14:paraId="6AE07B17" w14:textId="16E455AE"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Prijedlog financijskog plana proračunskog korisnika jedinice lokalne i područne (regionalne) samouprave za razdoblje 201</w:t>
      </w:r>
      <w:r w:rsidR="00D25C84">
        <w:rPr>
          <w:rFonts w:ascii="Arial" w:hAnsi="Arial" w:cs="Arial"/>
          <w:sz w:val="22"/>
          <w:szCs w:val="22"/>
          <w:lang w:val="hr-HR"/>
        </w:rPr>
        <w:t>9</w:t>
      </w:r>
      <w:r w:rsidRPr="00C91F2F">
        <w:rPr>
          <w:rFonts w:ascii="Arial" w:hAnsi="Arial" w:cs="Arial"/>
          <w:sz w:val="22"/>
          <w:szCs w:val="22"/>
          <w:lang w:val="hr-HR"/>
        </w:rPr>
        <w:t>-20</w:t>
      </w:r>
      <w:r w:rsidR="00D25C84">
        <w:rPr>
          <w:rFonts w:ascii="Arial" w:hAnsi="Arial" w:cs="Arial"/>
          <w:sz w:val="22"/>
          <w:szCs w:val="22"/>
          <w:lang w:val="hr-HR"/>
        </w:rPr>
        <w:t>2</w:t>
      </w:r>
      <w:r w:rsidRPr="00C91F2F">
        <w:rPr>
          <w:rFonts w:ascii="Arial" w:hAnsi="Arial" w:cs="Arial"/>
          <w:sz w:val="22"/>
          <w:szCs w:val="22"/>
          <w:lang w:val="hr-HR"/>
        </w:rPr>
        <w:t>1. u skladu s člankom 29. Zakona o proračunu sadrži:</w:t>
      </w:r>
    </w:p>
    <w:p w14:paraId="40DF1BA4" w14:textId="77777777" w:rsidR="00BC0B7F" w:rsidRPr="00C91F2F" w:rsidRDefault="00BC0B7F" w:rsidP="00126235">
      <w:pPr>
        <w:jc w:val="both"/>
        <w:rPr>
          <w:rFonts w:ascii="Arial" w:hAnsi="Arial" w:cs="Arial"/>
          <w:sz w:val="22"/>
          <w:szCs w:val="22"/>
        </w:rPr>
      </w:pPr>
    </w:p>
    <w:p w14:paraId="4A3426D6" w14:textId="77777777" w:rsidR="00BC0B7F" w:rsidRPr="00C91F2F" w:rsidRDefault="00BC0B7F" w:rsidP="00CD6548">
      <w:pPr>
        <w:jc w:val="both"/>
        <w:rPr>
          <w:rFonts w:ascii="Arial" w:hAnsi="Arial" w:cs="Arial"/>
          <w:sz w:val="22"/>
          <w:szCs w:val="22"/>
          <w:lang w:val="hr-HR"/>
        </w:rPr>
      </w:pPr>
      <w:r w:rsidRPr="00C91F2F">
        <w:rPr>
          <w:rFonts w:ascii="Arial" w:hAnsi="Arial" w:cs="Arial"/>
          <w:sz w:val="22"/>
          <w:szCs w:val="22"/>
          <w:lang w:val="hr-HR"/>
        </w:rPr>
        <w:t xml:space="preserve">1. procjene prihoda i primitaka iskazane po </w:t>
      </w:r>
      <w:r w:rsidRPr="00EF4466">
        <w:rPr>
          <w:rFonts w:ascii="Arial" w:hAnsi="Arial" w:cs="Arial"/>
          <w:i/>
          <w:sz w:val="22"/>
          <w:szCs w:val="22"/>
          <w:lang w:val="hr-HR"/>
        </w:rPr>
        <w:t>vrstama</w:t>
      </w:r>
      <w:r w:rsidRPr="00C91F2F">
        <w:rPr>
          <w:rFonts w:ascii="Arial" w:hAnsi="Arial" w:cs="Arial"/>
          <w:sz w:val="22"/>
          <w:szCs w:val="22"/>
          <w:lang w:val="hr-HR"/>
        </w:rPr>
        <w:t xml:space="preserve"> za 2017-2019. godinu,</w:t>
      </w:r>
    </w:p>
    <w:p w14:paraId="4DC2CBCA" w14:textId="77777777" w:rsidR="00BC0B7F" w:rsidRPr="00C91F2F" w:rsidRDefault="00BC0B7F" w:rsidP="00CD6548">
      <w:pPr>
        <w:jc w:val="both"/>
        <w:rPr>
          <w:rFonts w:ascii="Arial" w:hAnsi="Arial" w:cs="Arial"/>
          <w:sz w:val="22"/>
          <w:szCs w:val="22"/>
          <w:lang w:val="hr-HR"/>
        </w:rPr>
      </w:pPr>
      <w:r w:rsidRPr="00C91F2F">
        <w:rPr>
          <w:rFonts w:ascii="Arial" w:hAnsi="Arial" w:cs="Arial"/>
          <w:sz w:val="22"/>
          <w:szCs w:val="22"/>
          <w:lang w:val="hr-HR"/>
        </w:rPr>
        <w:lastRenderedPageBreak/>
        <w:t>2. plan rashoda i izdataka za 2017-2019. godinu, razvrstane prema proračunskim klasifikacijama,</w:t>
      </w:r>
    </w:p>
    <w:p w14:paraId="4510DB60" w14:textId="32860724" w:rsidR="00BC0B7F" w:rsidRPr="00C91F2F" w:rsidRDefault="00BC0B7F" w:rsidP="00CD6548">
      <w:pPr>
        <w:jc w:val="both"/>
        <w:rPr>
          <w:rFonts w:ascii="Arial" w:hAnsi="Arial" w:cs="Arial"/>
          <w:sz w:val="22"/>
          <w:szCs w:val="22"/>
          <w:lang w:val="hr-HR"/>
        </w:rPr>
      </w:pPr>
      <w:r w:rsidRPr="00C91F2F">
        <w:rPr>
          <w:rFonts w:ascii="Arial" w:hAnsi="Arial" w:cs="Arial"/>
          <w:sz w:val="22"/>
          <w:szCs w:val="22"/>
          <w:lang w:val="hr-HR"/>
        </w:rPr>
        <w:t xml:space="preserve">3. obrazloženje prijedloga financijskog plana </w:t>
      </w:r>
    </w:p>
    <w:p w14:paraId="32BCC74B" w14:textId="38821505" w:rsidR="00BC0B7F" w:rsidRPr="00C91F2F" w:rsidRDefault="00BC0B7F" w:rsidP="00126235">
      <w:pPr>
        <w:jc w:val="both"/>
        <w:rPr>
          <w:rFonts w:ascii="Arial" w:hAnsi="Arial" w:cs="Arial"/>
          <w:sz w:val="22"/>
          <w:szCs w:val="22"/>
          <w:lang w:val="hr-HR"/>
        </w:rPr>
      </w:pPr>
    </w:p>
    <w:p w14:paraId="0F3664C9" w14:textId="77777777" w:rsidR="00BC0B7F" w:rsidRPr="00C91F2F" w:rsidRDefault="00BC0B7F" w:rsidP="00126235">
      <w:pPr>
        <w:jc w:val="both"/>
        <w:rPr>
          <w:rFonts w:ascii="Arial" w:hAnsi="Arial" w:cs="Arial"/>
          <w:sz w:val="22"/>
          <w:szCs w:val="22"/>
          <w:lang w:val="hr-HR"/>
        </w:rPr>
      </w:pPr>
    </w:p>
    <w:p w14:paraId="34C53302" w14:textId="77777777" w:rsidR="00BC0B7F" w:rsidRPr="00CD6548" w:rsidRDefault="00BC0B7F" w:rsidP="00CD6548">
      <w:pPr>
        <w:pStyle w:val="Heading2"/>
        <w:ind w:left="708"/>
        <w:rPr>
          <w:rFonts w:ascii="Arial" w:hAnsi="Arial" w:cs="Arial"/>
          <w:sz w:val="24"/>
          <w:szCs w:val="24"/>
        </w:rPr>
      </w:pPr>
      <w:bookmarkStart w:id="6" w:name="_Toc524064680"/>
      <w:r w:rsidRPr="00CD6548">
        <w:rPr>
          <w:rFonts w:ascii="Arial" w:hAnsi="Arial" w:cs="Arial"/>
          <w:sz w:val="24"/>
          <w:szCs w:val="24"/>
        </w:rPr>
        <w:t>3.1. Procjena prihoda i primitaka</w:t>
      </w:r>
      <w:bookmarkEnd w:id="6"/>
    </w:p>
    <w:p w14:paraId="0C42B237" w14:textId="77777777" w:rsidR="00BC0B7F" w:rsidRPr="00C91F2F" w:rsidRDefault="00BC0B7F" w:rsidP="00126235">
      <w:pPr>
        <w:jc w:val="both"/>
        <w:rPr>
          <w:rFonts w:ascii="Arial" w:hAnsi="Arial" w:cs="Arial"/>
          <w:sz w:val="22"/>
          <w:szCs w:val="22"/>
          <w:lang w:val="hr-HR"/>
        </w:rPr>
      </w:pPr>
    </w:p>
    <w:p w14:paraId="75BB9D54" w14:textId="59894B36" w:rsidR="00BC0B7F" w:rsidRDefault="00BC0B7F" w:rsidP="00126235">
      <w:pPr>
        <w:jc w:val="both"/>
        <w:rPr>
          <w:rFonts w:ascii="Arial" w:hAnsi="Arial" w:cs="Arial"/>
          <w:color w:val="000000" w:themeColor="text1"/>
          <w:sz w:val="22"/>
          <w:szCs w:val="22"/>
          <w:lang w:val="hr-HR"/>
        </w:rPr>
      </w:pPr>
      <w:r w:rsidRPr="00C91F2F">
        <w:rPr>
          <w:rFonts w:ascii="Arial" w:hAnsi="Arial" w:cs="Arial"/>
          <w:sz w:val="22"/>
          <w:szCs w:val="22"/>
          <w:lang w:val="hr-HR"/>
        </w:rPr>
        <w:tab/>
        <w:t>Prijedlog financijskog plana treba sadržavati procjenu prihoda i primitaka za razdoblje 201</w:t>
      </w:r>
      <w:r w:rsidR="00D25C84">
        <w:rPr>
          <w:rFonts w:ascii="Arial" w:hAnsi="Arial" w:cs="Arial"/>
          <w:sz w:val="22"/>
          <w:szCs w:val="22"/>
          <w:lang w:val="hr-HR"/>
        </w:rPr>
        <w:t>9</w:t>
      </w:r>
      <w:r w:rsidRPr="00C91F2F">
        <w:rPr>
          <w:rFonts w:ascii="Arial" w:hAnsi="Arial" w:cs="Arial"/>
          <w:sz w:val="22"/>
          <w:szCs w:val="22"/>
          <w:lang w:val="hr-HR"/>
        </w:rPr>
        <w:t>.-20</w:t>
      </w:r>
      <w:r w:rsidR="00D25C84">
        <w:rPr>
          <w:rFonts w:ascii="Arial" w:hAnsi="Arial" w:cs="Arial"/>
          <w:sz w:val="22"/>
          <w:szCs w:val="22"/>
          <w:lang w:val="hr-HR"/>
        </w:rPr>
        <w:t>21</w:t>
      </w:r>
      <w:r w:rsidRPr="00C91F2F">
        <w:rPr>
          <w:rFonts w:ascii="Arial" w:hAnsi="Arial" w:cs="Arial"/>
          <w:sz w:val="22"/>
          <w:szCs w:val="22"/>
          <w:lang w:val="hr-HR"/>
        </w:rPr>
        <w:t xml:space="preserve">. godine po izvorima financiranja koji su definirani Pravilnikom o proračunskim klasifikacijama (opći prihodi i primici, vlastiti prihodi, </w:t>
      </w:r>
      <w:r w:rsidRPr="00C91F2F">
        <w:rPr>
          <w:rFonts w:ascii="Arial" w:hAnsi="Arial" w:cs="Arial"/>
          <w:color w:val="000000" w:themeColor="text1"/>
          <w:sz w:val="22"/>
          <w:szCs w:val="22"/>
          <w:lang w:val="hr-HR"/>
        </w:rPr>
        <w:t>prihodi posebne namjene, pomoći, donacije, prihodi od nefinancijske imovine i nadoknade štete s osnova osiguranja, namjenski primici).</w:t>
      </w:r>
    </w:p>
    <w:p w14:paraId="031746CA" w14:textId="77777777" w:rsidR="00D25C84" w:rsidRPr="00C91F2F" w:rsidRDefault="00D25C84" w:rsidP="00126235">
      <w:pPr>
        <w:jc w:val="both"/>
        <w:rPr>
          <w:rFonts w:ascii="Arial" w:hAnsi="Arial" w:cs="Arial"/>
          <w:color w:val="000000" w:themeColor="text1"/>
          <w:sz w:val="22"/>
          <w:szCs w:val="22"/>
          <w:lang w:val="hr-HR"/>
        </w:rPr>
      </w:pPr>
    </w:p>
    <w:p w14:paraId="398F85F1" w14:textId="742104DE" w:rsidR="00BC0B7F" w:rsidRPr="00C91F2F" w:rsidRDefault="00BC0B7F" w:rsidP="00126235">
      <w:pPr>
        <w:jc w:val="both"/>
        <w:rPr>
          <w:rFonts w:ascii="Arial" w:hAnsi="Arial" w:cs="Arial"/>
          <w:color w:val="000000" w:themeColor="text1"/>
          <w:sz w:val="22"/>
          <w:szCs w:val="22"/>
        </w:rPr>
      </w:pPr>
      <w:r w:rsidRPr="00C91F2F">
        <w:rPr>
          <w:rFonts w:ascii="Arial" w:hAnsi="Arial" w:cs="Arial"/>
          <w:b/>
          <w:color w:val="000000" w:themeColor="text1"/>
          <w:sz w:val="22"/>
          <w:szCs w:val="22"/>
          <w:lang w:val="hr-HR"/>
        </w:rPr>
        <w:t>Proračunski korisnici Grada Malog Lošinja prihode i primitke za 201</w:t>
      </w:r>
      <w:r w:rsidR="00D25C84">
        <w:rPr>
          <w:rFonts w:ascii="Arial" w:hAnsi="Arial" w:cs="Arial"/>
          <w:b/>
          <w:color w:val="000000" w:themeColor="text1"/>
          <w:sz w:val="22"/>
          <w:szCs w:val="22"/>
          <w:lang w:val="hr-HR"/>
        </w:rPr>
        <w:t>9</w:t>
      </w:r>
      <w:r w:rsidRPr="00C91F2F">
        <w:rPr>
          <w:rFonts w:ascii="Arial" w:hAnsi="Arial" w:cs="Arial"/>
          <w:b/>
          <w:color w:val="000000" w:themeColor="text1"/>
          <w:sz w:val="22"/>
          <w:szCs w:val="22"/>
          <w:lang w:val="hr-HR"/>
        </w:rPr>
        <w:t xml:space="preserve">. godinu trebaju </w:t>
      </w:r>
      <w:r w:rsidRPr="00C91F2F">
        <w:rPr>
          <w:rFonts w:ascii="Arial" w:hAnsi="Arial" w:cs="Arial"/>
          <w:b/>
          <w:color w:val="000000" w:themeColor="text1"/>
          <w:sz w:val="22"/>
          <w:szCs w:val="22"/>
          <w:u w:val="single"/>
          <w:lang w:val="hr-HR"/>
        </w:rPr>
        <w:t>PLANIRATI</w:t>
      </w:r>
      <w:r w:rsidRPr="00C91F2F">
        <w:rPr>
          <w:rFonts w:ascii="Arial" w:hAnsi="Arial" w:cs="Arial"/>
          <w:b/>
          <w:color w:val="000000" w:themeColor="text1"/>
          <w:sz w:val="22"/>
          <w:szCs w:val="22"/>
          <w:lang w:val="hr-HR"/>
        </w:rPr>
        <w:t xml:space="preserve"> na razini osnovnog računa (četvrta razina računskog plana), a za 20</w:t>
      </w:r>
      <w:r w:rsidR="00D25C84">
        <w:rPr>
          <w:rFonts w:ascii="Arial" w:hAnsi="Arial" w:cs="Arial"/>
          <w:b/>
          <w:color w:val="000000" w:themeColor="text1"/>
          <w:sz w:val="22"/>
          <w:szCs w:val="22"/>
          <w:lang w:val="hr-HR"/>
        </w:rPr>
        <w:t>20</w:t>
      </w:r>
      <w:r w:rsidRPr="00C91F2F">
        <w:rPr>
          <w:rFonts w:ascii="Arial" w:hAnsi="Arial" w:cs="Arial"/>
          <w:b/>
          <w:color w:val="000000" w:themeColor="text1"/>
          <w:sz w:val="22"/>
          <w:szCs w:val="22"/>
          <w:lang w:val="hr-HR"/>
        </w:rPr>
        <w:t>. i 20</w:t>
      </w:r>
      <w:r w:rsidR="00D25C84">
        <w:rPr>
          <w:rFonts w:ascii="Arial" w:hAnsi="Arial" w:cs="Arial"/>
          <w:b/>
          <w:color w:val="000000" w:themeColor="text1"/>
          <w:sz w:val="22"/>
          <w:szCs w:val="22"/>
          <w:lang w:val="hr-HR"/>
        </w:rPr>
        <w:t>21</w:t>
      </w:r>
      <w:r w:rsidRPr="00C91F2F">
        <w:rPr>
          <w:rFonts w:ascii="Arial" w:hAnsi="Arial" w:cs="Arial"/>
          <w:b/>
          <w:color w:val="000000" w:themeColor="text1"/>
          <w:sz w:val="22"/>
          <w:szCs w:val="22"/>
          <w:lang w:val="hr-HR"/>
        </w:rPr>
        <w:t xml:space="preserve">. godinu na razini skupine (druga razina računskog plana), te ih tako razrađene </w:t>
      </w:r>
      <w:r w:rsidRPr="00C91F2F">
        <w:rPr>
          <w:rFonts w:ascii="Arial" w:hAnsi="Arial" w:cs="Arial"/>
          <w:b/>
          <w:color w:val="000000" w:themeColor="text1"/>
          <w:sz w:val="22"/>
          <w:szCs w:val="22"/>
          <w:u w:val="single"/>
          <w:lang w:val="hr-HR"/>
        </w:rPr>
        <w:t>DOSTAVITI</w:t>
      </w:r>
      <w:r w:rsidRPr="00C91F2F">
        <w:rPr>
          <w:rFonts w:ascii="Arial" w:hAnsi="Arial" w:cs="Arial"/>
          <w:b/>
          <w:color w:val="000000" w:themeColor="text1"/>
          <w:sz w:val="22"/>
          <w:szCs w:val="22"/>
          <w:lang w:val="hr-HR"/>
        </w:rPr>
        <w:t xml:space="preserve"> </w:t>
      </w:r>
      <w:r w:rsidR="00D25C84">
        <w:rPr>
          <w:rFonts w:ascii="Arial" w:hAnsi="Arial" w:cs="Arial"/>
          <w:b/>
          <w:color w:val="000000" w:themeColor="text1"/>
          <w:sz w:val="22"/>
          <w:szCs w:val="22"/>
          <w:lang w:val="hr-HR"/>
        </w:rPr>
        <w:t xml:space="preserve">Jedinstvenom </w:t>
      </w:r>
      <w:r w:rsidRPr="00C91F2F">
        <w:rPr>
          <w:rFonts w:ascii="Arial" w:hAnsi="Arial" w:cs="Arial"/>
          <w:b/>
          <w:color w:val="000000" w:themeColor="text1"/>
          <w:sz w:val="22"/>
          <w:szCs w:val="22"/>
          <w:lang w:val="hr-HR"/>
        </w:rPr>
        <w:t xml:space="preserve">upravnom odjelu </w:t>
      </w:r>
      <w:r w:rsidR="00D25C84">
        <w:rPr>
          <w:rFonts w:ascii="Arial" w:hAnsi="Arial" w:cs="Arial"/>
          <w:b/>
          <w:color w:val="000000" w:themeColor="text1"/>
          <w:sz w:val="22"/>
          <w:szCs w:val="22"/>
          <w:lang w:val="hr-HR"/>
        </w:rPr>
        <w:t>Grada Malog Lošinja-</w:t>
      </w:r>
      <w:r w:rsidR="008050D7">
        <w:rPr>
          <w:rFonts w:ascii="Arial" w:hAnsi="Arial" w:cs="Arial"/>
          <w:b/>
          <w:color w:val="000000" w:themeColor="text1"/>
          <w:sz w:val="22"/>
          <w:szCs w:val="22"/>
          <w:lang w:val="hr-HR"/>
        </w:rPr>
        <w:t>Odsjeku za proračun, financije, javnu nabavu i EU projekte</w:t>
      </w:r>
      <w:r w:rsidRPr="00C91F2F">
        <w:rPr>
          <w:rFonts w:ascii="Arial" w:hAnsi="Arial" w:cs="Arial"/>
          <w:b/>
          <w:color w:val="000000" w:themeColor="text1"/>
          <w:sz w:val="22"/>
          <w:szCs w:val="22"/>
          <w:lang w:val="hr-HR"/>
        </w:rPr>
        <w:t>.</w:t>
      </w:r>
    </w:p>
    <w:p w14:paraId="52125414" w14:textId="77777777" w:rsidR="00BC0B7F" w:rsidRPr="00C91F2F" w:rsidRDefault="00BC0B7F" w:rsidP="00126235">
      <w:pPr>
        <w:jc w:val="both"/>
        <w:rPr>
          <w:rFonts w:ascii="Arial" w:hAnsi="Arial" w:cs="Arial"/>
          <w:color w:val="000000" w:themeColor="text1"/>
          <w:sz w:val="22"/>
          <w:szCs w:val="22"/>
          <w:lang w:val="hr-HR"/>
        </w:rPr>
      </w:pPr>
    </w:p>
    <w:p w14:paraId="243061D4" w14:textId="77777777" w:rsidR="00BC0B7F" w:rsidRPr="00CD6548" w:rsidRDefault="00BC0B7F" w:rsidP="00CD6548">
      <w:pPr>
        <w:pStyle w:val="Heading3"/>
        <w:ind w:left="708"/>
        <w:rPr>
          <w:rFonts w:ascii="Arial" w:hAnsi="Arial" w:cs="Arial"/>
          <w:sz w:val="24"/>
          <w:szCs w:val="24"/>
        </w:rPr>
      </w:pPr>
      <w:r w:rsidRPr="00C91F2F">
        <w:rPr>
          <w:color w:val="000000" w:themeColor="text1"/>
        </w:rPr>
        <w:br/>
      </w:r>
      <w:bookmarkStart w:id="7" w:name="_Toc524064681"/>
      <w:r w:rsidRPr="00CD6548">
        <w:rPr>
          <w:rFonts w:ascii="Arial" w:hAnsi="Arial" w:cs="Arial"/>
          <w:sz w:val="24"/>
          <w:szCs w:val="24"/>
        </w:rPr>
        <w:t>3.1.1. Primici od zajmova</w:t>
      </w:r>
      <w:bookmarkEnd w:id="7"/>
    </w:p>
    <w:p w14:paraId="6F25BE55" w14:textId="77777777" w:rsidR="00BC0B7F" w:rsidRPr="00C91F2F" w:rsidRDefault="00BC0B7F" w:rsidP="00126235">
      <w:pPr>
        <w:jc w:val="both"/>
        <w:rPr>
          <w:rFonts w:ascii="Arial" w:hAnsi="Arial" w:cs="Arial"/>
          <w:sz w:val="22"/>
          <w:szCs w:val="22"/>
        </w:rPr>
      </w:pPr>
    </w:p>
    <w:p w14:paraId="1603A530" w14:textId="6B8687AB" w:rsidR="00BC0B7F" w:rsidRPr="00C91F2F" w:rsidRDefault="00BC0B7F" w:rsidP="008050D7">
      <w:pPr>
        <w:ind w:firstLine="708"/>
        <w:jc w:val="both"/>
        <w:rPr>
          <w:rFonts w:ascii="Arial" w:hAnsi="Arial" w:cs="Arial"/>
          <w:sz w:val="22"/>
          <w:szCs w:val="22"/>
          <w:lang w:val="hr-HR"/>
        </w:rPr>
      </w:pPr>
      <w:r w:rsidRPr="00C91F2F">
        <w:rPr>
          <w:rFonts w:ascii="Arial" w:hAnsi="Arial" w:cs="Arial"/>
          <w:sz w:val="22"/>
          <w:szCs w:val="22"/>
          <w:lang w:val="hr-HR"/>
        </w:rPr>
        <w:t>Zaduživanje se može ostvariti uzimanjem kredita i izdavanjem vrijednosnih papira samo za investicije iz neposrednog djelokruga jedinica lokalne samouprave koje potvrdi Gradsko vijeće Grada Malog Lošinja.</w:t>
      </w:r>
    </w:p>
    <w:p w14:paraId="5CFEA9FF" w14:textId="77777777" w:rsidR="008050D7" w:rsidRDefault="008050D7" w:rsidP="00126235">
      <w:pPr>
        <w:jc w:val="both"/>
        <w:rPr>
          <w:rFonts w:ascii="Arial" w:hAnsi="Arial" w:cs="Arial"/>
          <w:sz w:val="22"/>
          <w:szCs w:val="22"/>
          <w:lang w:val="hr-HR"/>
        </w:rPr>
      </w:pPr>
    </w:p>
    <w:p w14:paraId="24E4E1E7" w14:textId="28E7BB06"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Pravne osobe i ustanove čiji je osnivač Grad Mali Lošinj mogu se zadužiti samo uz suglasnost osnivača. Grad Mali Lošinj ne može se zadužiti umjesto komunalnih društava uzimanjem kredita ili preuzimanjem otplate njihovih kredita, kroz iskazivanje na kapitalnim donacijama i subvencijama.</w:t>
      </w:r>
    </w:p>
    <w:p w14:paraId="4008911D" w14:textId="77777777" w:rsidR="008050D7" w:rsidRDefault="008050D7" w:rsidP="00126235">
      <w:pPr>
        <w:jc w:val="both"/>
        <w:rPr>
          <w:rFonts w:ascii="Arial" w:hAnsi="Arial" w:cs="Arial"/>
          <w:sz w:val="22"/>
          <w:szCs w:val="22"/>
          <w:lang w:val="hr-HR"/>
        </w:rPr>
      </w:pPr>
    </w:p>
    <w:p w14:paraId="7BBB2EFC" w14:textId="324FF220"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Odlukom o izvršavanju proračuna utvrđuje se ukupna visina mogućeg zaduživanja i davanja jamstava te uvjeti za zaduživanje i davanje jamstava.</w:t>
      </w:r>
    </w:p>
    <w:p w14:paraId="5706721B" w14:textId="77777777" w:rsidR="00BC0B7F" w:rsidRPr="00C91F2F" w:rsidRDefault="00BC0B7F" w:rsidP="00126235">
      <w:pPr>
        <w:jc w:val="both"/>
        <w:rPr>
          <w:rFonts w:ascii="Arial" w:hAnsi="Arial" w:cs="Arial"/>
          <w:sz w:val="22"/>
          <w:szCs w:val="22"/>
          <w:lang w:val="hr-HR"/>
        </w:rPr>
      </w:pPr>
    </w:p>
    <w:p w14:paraId="2D5459B1" w14:textId="77777777" w:rsidR="00BC0B7F" w:rsidRPr="00C91F2F" w:rsidRDefault="00BC0B7F" w:rsidP="00126235">
      <w:pPr>
        <w:jc w:val="both"/>
        <w:rPr>
          <w:rFonts w:ascii="Arial" w:hAnsi="Arial" w:cs="Arial"/>
          <w:sz w:val="22"/>
          <w:szCs w:val="22"/>
          <w:lang w:val="hr-HR"/>
        </w:rPr>
      </w:pPr>
    </w:p>
    <w:p w14:paraId="180193A6" w14:textId="492AF2FF" w:rsidR="00BC0B7F" w:rsidRPr="00C91F2F" w:rsidRDefault="00BC0B7F" w:rsidP="008050D7">
      <w:pPr>
        <w:pStyle w:val="Heading2"/>
        <w:ind w:left="708"/>
      </w:pPr>
      <w:bookmarkStart w:id="8" w:name="_Toc524064682"/>
      <w:r w:rsidRPr="00C91F2F">
        <w:t xml:space="preserve">3.2. </w:t>
      </w:r>
      <w:r w:rsidR="008050D7">
        <w:rPr>
          <w:rFonts w:ascii="Arial" w:hAnsi="Arial" w:cs="Arial"/>
          <w:sz w:val="24"/>
          <w:szCs w:val="24"/>
        </w:rPr>
        <w:t>P</w:t>
      </w:r>
      <w:r w:rsidRPr="008050D7">
        <w:rPr>
          <w:rFonts w:ascii="Arial" w:hAnsi="Arial" w:cs="Arial"/>
          <w:sz w:val="24"/>
          <w:szCs w:val="24"/>
        </w:rPr>
        <w:t>lan rashoda i izdataka</w:t>
      </w:r>
      <w:bookmarkEnd w:id="8"/>
    </w:p>
    <w:p w14:paraId="0F8A1190" w14:textId="77777777" w:rsidR="00BC0B7F" w:rsidRPr="00C91F2F" w:rsidRDefault="00BC0B7F" w:rsidP="00126235">
      <w:pPr>
        <w:jc w:val="both"/>
        <w:rPr>
          <w:rFonts w:ascii="Arial" w:hAnsi="Arial" w:cs="Arial"/>
          <w:sz w:val="22"/>
          <w:szCs w:val="22"/>
          <w:lang w:val="hr-HR"/>
        </w:rPr>
      </w:pPr>
    </w:p>
    <w:p w14:paraId="3589AD80" w14:textId="77777777" w:rsidR="008050D7" w:rsidRDefault="008050D7" w:rsidP="00126235">
      <w:pPr>
        <w:jc w:val="both"/>
        <w:rPr>
          <w:rFonts w:ascii="Arial" w:hAnsi="Arial" w:cs="Arial"/>
          <w:sz w:val="22"/>
          <w:szCs w:val="22"/>
          <w:lang w:val="hr-HR"/>
        </w:rPr>
      </w:pPr>
    </w:p>
    <w:p w14:paraId="3ED07503" w14:textId="654317E2" w:rsidR="00BC0B7F" w:rsidRPr="00C91F2F" w:rsidRDefault="00BC0B7F" w:rsidP="008050D7">
      <w:pPr>
        <w:ind w:firstLine="708"/>
        <w:jc w:val="both"/>
        <w:rPr>
          <w:rFonts w:ascii="Arial" w:hAnsi="Arial" w:cs="Arial"/>
          <w:sz w:val="22"/>
          <w:szCs w:val="22"/>
          <w:lang w:val="hr-HR"/>
        </w:rPr>
      </w:pPr>
      <w:r w:rsidRPr="00C91F2F">
        <w:rPr>
          <w:rFonts w:ascii="Arial" w:hAnsi="Arial" w:cs="Arial"/>
          <w:sz w:val="22"/>
          <w:szCs w:val="22"/>
          <w:lang w:val="hr-HR"/>
        </w:rPr>
        <w:t>Proračunski korisnici JLS obvezni su izraditi plan rashoda i izdataka za razdoblje 201</w:t>
      </w:r>
      <w:r w:rsidR="008050D7">
        <w:rPr>
          <w:rFonts w:ascii="Arial" w:hAnsi="Arial" w:cs="Arial"/>
          <w:sz w:val="22"/>
          <w:szCs w:val="22"/>
          <w:lang w:val="hr-HR"/>
        </w:rPr>
        <w:t>9</w:t>
      </w:r>
      <w:r w:rsidRPr="00C91F2F">
        <w:rPr>
          <w:rFonts w:ascii="Arial" w:hAnsi="Arial" w:cs="Arial"/>
          <w:sz w:val="22"/>
          <w:szCs w:val="22"/>
          <w:lang w:val="hr-HR"/>
        </w:rPr>
        <w:t>-20</w:t>
      </w:r>
      <w:r w:rsidR="008050D7">
        <w:rPr>
          <w:rFonts w:ascii="Arial" w:hAnsi="Arial" w:cs="Arial"/>
          <w:sz w:val="22"/>
          <w:szCs w:val="22"/>
          <w:lang w:val="hr-HR"/>
        </w:rPr>
        <w:t>21</w:t>
      </w:r>
      <w:r w:rsidRPr="00C91F2F">
        <w:rPr>
          <w:rFonts w:ascii="Arial" w:hAnsi="Arial" w:cs="Arial"/>
          <w:sz w:val="22"/>
          <w:szCs w:val="22"/>
          <w:lang w:val="hr-HR"/>
        </w:rPr>
        <w:t>. godine razvrstane  po proračunskim klasifikacijama u skladu s  Pravilnikom o proračunskim klasifikacijama i Pravilnikom o proračunskom računovodstvu i Računskom planu.</w:t>
      </w:r>
    </w:p>
    <w:p w14:paraId="5E25DAAA" w14:textId="77777777" w:rsidR="00BC0B7F" w:rsidRPr="00C91F2F" w:rsidRDefault="00BC0B7F" w:rsidP="00126235">
      <w:pPr>
        <w:jc w:val="both"/>
        <w:rPr>
          <w:rFonts w:ascii="Arial" w:hAnsi="Arial" w:cs="Arial"/>
          <w:sz w:val="22"/>
          <w:szCs w:val="22"/>
          <w:lang w:val="hr-HR"/>
        </w:rPr>
      </w:pPr>
    </w:p>
    <w:p w14:paraId="6D429F25" w14:textId="6945720B" w:rsidR="00BC0B7F" w:rsidRPr="00C91F2F" w:rsidRDefault="00BC0B7F" w:rsidP="00126235">
      <w:pPr>
        <w:jc w:val="both"/>
        <w:rPr>
          <w:rFonts w:ascii="Arial" w:hAnsi="Arial" w:cs="Arial"/>
          <w:b/>
          <w:color w:val="000000" w:themeColor="text1"/>
          <w:sz w:val="22"/>
          <w:szCs w:val="22"/>
          <w:lang w:val="hr-HR"/>
        </w:rPr>
      </w:pPr>
      <w:r w:rsidRPr="00C91F2F">
        <w:rPr>
          <w:rFonts w:ascii="Arial" w:hAnsi="Arial" w:cs="Arial"/>
          <w:b/>
          <w:color w:val="000000" w:themeColor="text1"/>
          <w:sz w:val="22"/>
          <w:szCs w:val="22"/>
          <w:lang w:val="hr-HR"/>
        </w:rPr>
        <w:t>Proračunski korisnici rashode i izdatke za 201</w:t>
      </w:r>
      <w:r w:rsidR="008050D7">
        <w:rPr>
          <w:rFonts w:ascii="Arial" w:hAnsi="Arial" w:cs="Arial"/>
          <w:b/>
          <w:color w:val="000000" w:themeColor="text1"/>
          <w:sz w:val="22"/>
          <w:szCs w:val="22"/>
          <w:lang w:val="hr-HR"/>
        </w:rPr>
        <w:t>9</w:t>
      </w:r>
      <w:r w:rsidRPr="00C91F2F">
        <w:rPr>
          <w:rFonts w:ascii="Arial" w:hAnsi="Arial" w:cs="Arial"/>
          <w:b/>
          <w:color w:val="000000" w:themeColor="text1"/>
          <w:sz w:val="22"/>
          <w:szCs w:val="22"/>
          <w:lang w:val="hr-HR"/>
        </w:rPr>
        <w:t xml:space="preserve">. godinu trebaju </w:t>
      </w:r>
      <w:r w:rsidRPr="00C91F2F">
        <w:rPr>
          <w:rFonts w:ascii="Arial" w:hAnsi="Arial" w:cs="Arial"/>
          <w:b/>
          <w:color w:val="000000" w:themeColor="text1"/>
          <w:sz w:val="22"/>
          <w:szCs w:val="22"/>
          <w:u w:val="single"/>
          <w:lang w:val="hr-HR"/>
        </w:rPr>
        <w:t>PLANIRATI</w:t>
      </w:r>
      <w:r w:rsidRPr="00C91F2F">
        <w:rPr>
          <w:rFonts w:ascii="Arial" w:hAnsi="Arial" w:cs="Arial"/>
          <w:b/>
          <w:color w:val="000000" w:themeColor="text1"/>
          <w:sz w:val="22"/>
          <w:szCs w:val="22"/>
          <w:lang w:val="hr-HR"/>
        </w:rPr>
        <w:t xml:space="preserve"> na razini osnovnog računa (četvrta razina računskog plana), a za 20</w:t>
      </w:r>
      <w:r w:rsidR="008050D7">
        <w:rPr>
          <w:rFonts w:ascii="Arial" w:hAnsi="Arial" w:cs="Arial"/>
          <w:b/>
          <w:color w:val="000000" w:themeColor="text1"/>
          <w:sz w:val="22"/>
          <w:szCs w:val="22"/>
          <w:lang w:val="hr-HR"/>
        </w:rPr>
        <w:t>20</w:t>
      </w:r>
      <w:r w:rsidRPr="00C91F2F">
        <w:rPr>
          <w:rFonts w:ascii="Arial" w:hAnsi="Arial" w:cs="Arial"/>
          <w:b/>
          <w:color w:val="000000" w:themeColor="text1"/>
          <w:sz w:val="22"/>
          <w:szCs w:val="22"/>
          <w:lang w:val="hr-HR"/>
        </w:rPr>
        <w:t>. i 20</w:t>
      </w:r>
      <w:r w:rsidR="008050D7">
        <w:rPr>
          <w:rFonts w:ascii="Arial" w:hAnsi="Arial" w:cs="Arial"/>
          <w:b/>
          <w:color w:val="000000" w:themeColor="text1"/>
          <w:sz w:val="22"/>
          <w:szCs w:val="22"/>
          <w:lang w:val="hr-HR"/>
        </w:rPr>
        <w:t>21</w:t>
      </w:r>
      <w:r w:rsidRPr="00C91F2F">
        <w:rPr>
          <w:rFonts w:ascii="Arial" w:hAnsi="Arial" w:cs="Arial"/>
          <w:b/>
          <w:color w:val="000000" w:themeColor="text1"/>
          <w:sz w:val="22"/>
          <w:szCs w:val="22"/>
          <w:lang w:val="hr-HR"/>
        </w:rPr>
        <w:t>. na razini skupine (druga razina računskog plana).</w:t>
      </w:r>
    </w:p>
    <w:p w14:paraId="2FE04428" w14:textId="77777777" w:rsidR="00BC0B7F" w:rsidRPr="00C91F2F" w:rsidRDefault="00BC0B7F" w:rsidP="00126235">
      <w:pPr>
        <w:jc w:val="both"/>
        <w:rPr>
          <w:rFonts w:ascii="Arial" w:hAnsi="Arial" w:cs="Arial"/>
          <w:color w:val="000000" w:themeColor="text1"/>
          <w:sz w:val="22"/>
          <w:szCs w:val="22"/>
        </w:rPr>
      </w:pPr>
    </w:p>
    <w:p w14:paraId="49A373CB" w14:textId="43CCF43B" w:rsidR="00BC0B7F" w:rsidRPr="00C91F2F" w:rsidRDefault="00BC0B7F" w:rsidP="00126235">
      <w:pPr>
        <w:jc w:val="both"/>
        <w:rPr>
          <w:rFonts w:ascii="Arial" w:hAnsi="Arial" w:cs="Arial"/>
          <w:b/>
          <w:bCs/>
          <w:iCs/>
          <w:color w:val="000000" w:themeColor="text1"/>
          <w:sz w:val="22"/>
          <w:szCs w:val="22"/>
          <w:u w:val="single"/>
          <w:lang w:val="hr-HR"/>
        </w:rPr>
      </w:pPr>
      <w:r w:rsidRPr="00C91F2F">
        <w:rPr>
          <w:rFonts w:ascii="Arial" w:hAnsi="Arial" w:cs="Arial"/>
          <w:b/>
          <w:bCs/>
          <w:iCs/>
          <w:color w:val="000000" w:themeColor="text1"/>
          <w:sz w:val="22"/>
          <w:szCs w:val="22"/>
          <w:lang w:val="hr-HR"/>
        </w:rPr>
        <w:t>Upravna vijeća proračunskih korisnika obvezna su usvojiti financijske planove najkasnije do 31. prosinca 20</w:t>
      </w:r>
      <w:r w:rsidR="00E0116E">
        <w:rPr>
          <w:rFonts w:ascii="Arial" w:hAnsi="Arial" w:cs="Arial"/>
          <w:b/>
          <w:bCs/>
          <w:iCs/>
          <w:color w:val="000000" w:themeColor="text1"/>
          <w:sz w:val="22"/>
          <w:szCs w:val="22"/>
          <w:lang w:val="hr-HR"/>
        </w:rPr>
        <w:t>18</w:t>
      </w:r>
      <w:r w:rsidRPr="00C91F2F">
        <w:rPr>
          <w:rFonts w:ascii="Arial" w:hAnsi="Arial" w:cs="Arial"/>
          <w:b/>
          <w:bCs/>
          <w:iCs/>
          <w:color w:val="000000" w:themeColor="text1"/>
          <w:sz w:val="22"/>
          <w:szCs w:val="22"/>
          <w:lang w:val="hr-HR"/>
        </w:rPr>
        <w:t>. godine, kako bi se od 01. siječnja 201</w:t>
      </w:r>
      <w:r w:rsidR="00E0116E">
        <w:rPr>
          <w:rFonts w:ascii="Arial" w:hAnsi="Arial" w:cs="Arial"/>
          <w:b/>
          <w:bCs/>
          <w:iCs/>
          <w:color w:val="000000" w:themeColor="text1"/>
          <w:sz w:val="22"/>
          <w:szCs w:val="22"/>
          <w:lang w:val="hr-HR"/>
        </w:rPr>
        <w:t>9</w:t>
      </w:r>
      <w:r w:rsidRPr="00C91F2F">
        <w:rPr>
          <w:rFonts w:ascii="Arial" w:hAnsi="Arial" w:cs="Arial"/>
          <w:b/>
          <w:bCs/>
          <w:iCs/>
          <w:color w:val="000000" w:themeColor="text1"/>
          <w:sz w:val="22"/>
          <w:szCs w:val="22"/>
          <w:lang w:val="hr-HR"/>
        </w:rPr>
        <w:t xml:space="preserve">. mogle preuzimati i izvršavati nove obveze. </w:t>
      </w:r>
      <w:r w:rsidRPr="00C91F2F">
        <w:rPr>
          <w:rFonts w:ascii="Arial" w:hAnsi="Arial" w:cs="Arial"/>
          <w:b/>
          <w:bCs/>
          <w:iCs/>
          <w:color w:val="000000" w:themeColor="text1"/>
          <w:sz w:val="22"/>
          <w:szCs w:val="22"/>
          <w:u w:val="single"/>
          <w:lang w:val="hr-HR"/>
        </w:rPr>
        <w:t>Financijske planove upravna vijeća USVAJAJU na razini podskupine (treća razina računskog plana), a projekcije za 20</w:t>
      </w:r>
      <w:r w:rsidR="00E0116E">
        <w:rPr>
          <w:rFonts w:ascii="Arial" w:hAnsi="Arial" w:cs="Arial"/>
          <w:b/>
          <w:bCs/>
          <w:iCs/>
          <w:color w:val="000000" w:themeColor="text1"/>
          <w:sz w:val="22"/>
          <w:szCs w:val="22"/>
          <w:u w:val="single"/>
          <w:lang w:val="hr-HR"/>
        </w:rPr>
        <w:t>20</w:t>
      </w:r>
      <w:r w:rsidRPr="00C91F2F">
        <w:rPr>
          <w:rFonts w:ascii="Arial" w:hAnsi="Arial" w:cs="Arial"/>
          <w:b/>
          <w:bCs/>
          <w:iCs/>
          <w:color w:val="000000" w:themeColor="text1"/>
          <w:sz w:val="22"/>
          <w:szCs w:val="22"/>
          <w:u w:val="single"/>
          <w:lang w:val="hr-HR"/>
        </w:rPr>
        <w:t>. i 20</w:t>
      </w:r>
      <w:r w:rsidR="00E0116E">
        <w:rPr>
          <w:rFonts w:ascii="Arial" w:hAnsi="Arial" w:cs="Arial"/>
          <w:b/>
          <w:bCs/>
          <w:iCs/>
          <w:color w:val="000000" w:themeColor="text1"/>
          <w:sz w:val="22"/>
          <w:szCs w:val="22"/>
          <w:u w:val="single"/>
          <w:lang w:val="hr-HR"/>
        </w:rPr>
        <w:t>21</w:t>
      </w:r>
      <w:r w:rsidRPr="00C91F2F">
        <w:rPr>
          <w:rFonts w:ascii="Arial" w:hAnsi="Arial" w:cs="Arial"/>
          <w:b/>
          <w:bCs/>
          <w:iCs/>
          <w:color w:val="000000" w:themeColor="text1"/>
          <w:sz w:val="22"/>
          <w:szCs w:val="22"/>
          <w:u w:val="single"/>
          <w:lang w:val="hr-HR"/>
        </w:rPr>
        <w:t>. godinu na razini skupine (druga razina računskog plana).</w:t>
      </w:r>
    </w:p>
    <w:p w14:paraId="1E9E149B" w14:textId="77777777" w:rsidR="00BC0B7F" w:rsidRPr="00C91F2F" w:rsidRDefault="00BC0B7F" w:rsidP="00126235">
      <w:pPr>
        <w:jc w:val="both"/>
        <w:rPr>
          <w:rFonts w:ascii="Arial" w:hAnsi="Arial" w:cs="Arial"/>
          <w:sz w:val="22"/>
          <w:szCs w:val="22"/>
          <w:lang w:val="hr-HR"/>
        </w:rPr>
      </w:pPr>
    </w:p>
    <w:p w14:paraId="788F6EF2" w14:textId="77777777" w:rsidR="00BC0B7F" w:rsidRPr="00C91F2F" w:rsidRDefault="00BC0B7F" w:rsidP="00126235">
      <w:pPr>
        <w:jc w:val="both"/>
        <w:rPr>
          <w:rFonts w:ascii="Arial" w:hAnsi="Arial" w:cs="Arial"/>
          <w:sz w:val="22"/>
          <w:szCs w:val="22"/>
          <w:lang w:val="hr-HR"/>
        </w:rPr>
      </w:pPr>
    </w:p>
    <w:p w14:paraId="74CCB1E3" w14:textId="6BD14D9E" w:rsidR="00E0116E" w:rsidRDefault="00BC0B7F" w:rsidP="00E0116E">
      <w:pPr>
        <w:pStyle w:val="Heading3"/>
        <w:numPr>
          <w:ilvl w:val="2"/>
          <w:numId w:val="7"/>
        </w:numPr>
        <w:rPr>
          <w:rFonts w:ascii="Arial" w:hAnsi="Arial" w:cs="Arial"/>
          <w:sz w:val="24"/>
          <w:szCs w:val="24"/>
        </w:rPr>
      </w:pPr>
      <w:bookmarkStart w:id="9" w:name="_Toc524064683"/>
      <w:r w:rsidRPr="00E0116E">
        <w:rPr>
          <w:rFonts w:ascii="Arial" w:hAnsi="Arial" w:cs="Arial"/>
          <w:sz w:val="24"/>
          <w:szCs w:val="24"/>
        </w:rPr>
        <w:lastRenderedPageBreak/>
        <w:t xml:space="preserve">Planiranje rashoda proračunskih korisnika u </w:t>
      </w:r>
      <w:r w:rsidRPr="00EF4466">
        <w:rPr>
          <w:rFonts w:ascii="Arial" w:hAnsi="Arial" w:cs="Arial"/>
          <w:b w:val="0"/>
          <w:i/>
          <w:sz w:val="24"/>
          <w:szCs w:val="24"/>
        </w:rPr>
        <w:t>sklopu</w:t>
      </w:r>
      <w:r w:rsidRPr="00E0116E">
        <w:rPr>
          <w:rFonts w:ascii="Arial" w:hAnsi="Arial" w:cs="Arial"/>
          <w:sz w:val="24"/>
          <w:szCs w:val="24"/>
        </w:rPr>
        <w:t xml:space="preserve"> decentraliziranih</w:t>
      </w:r>
      <w:bookmarkEnd w:id="9"/>
      <w:r w:rsidRPr="00E0116E">
        <w:rPr>
          <w:rFonts w:ascii="Arial" w:hAnsi="Arial" w:cs="Arial"/>
          <w:sz w:val="24"/>
          <w:szCs w:val="24"/>
        </w:rPr>
        <w:t xml:space="preserve"> </w:t>
      </w:r>
      <w:r w:rsidR="00E0116E">
        <w:rPr>
          <w:rFonts w:ascii="Arial" w:hAnsi="Arial" w:cs="Arial"/>
          <w:sz w:val="24"/>
          <w:szCs w:val="24"/>
        </w:rPr>
        <w:t xml:space="preserve">   </w:t>
      </w:r>
    </w:p>
    <w:p w14:paraId="31A0303A" w14:textId="7C991478" w:rsidR="00BC0B7F" w:rsidRPr="00E0116E" w:rsidRDefault="00BC0B7F" w:rsidP="00E0116E">
      <w:pPr>
        <w:pStyle w:val="Heading3"/>
        <w:tabs>
          <w:tab w:val="clear" w:pos="0"/>
        </w:tabs>
        <w:ind w:left="1428"/>
        <w:rPr>
          <w:rFonts w:ascii="Arial" w:hAnsi="Arial" w:cs="Arial"/>
          <w:sz w:val="24"/>
          <w:szCs w:val="24"/>
        </w:rPr>
      </w:pPr>
      <w:bookmarkStart w:id="10" w:name="_Toc524064684"/>
      <w:r w:rsidRPr="00E0116E">
        <w:rPr>
          <w:rFonts w:ascii="Arial" w:hAnsi="Arial" w:cs="Arial"/>
          <w:sz w:val="24"/>
          <w:szCs w:val="24"/>
        </w:rPr>
        <w:t>funkcij</w:t>
      </w:r>
      <w:r w:rsidR="00E0116E">
        <w:rPr>
          <w:rFonts w:ascii="Arial" w:hAnsi="Arial" w:cs="Arial"/>
          <w:sz w:val="24"/>
          <w:szCs w:val="24"/>
        </w:rPr>
        <w:t>a</w:t>
      </w:r>
      <w:bookmarkEnd w:id="10"/>
    </w:p>
    <w:p w14:paraId="6966F3B7" w14:textId="77777777" w:rsidR="00BC0B7F" w:rsidRPr="00C91F2F" w:rsidRDefault="00BC0B7F" w:rsidP="00126235">
      <w:pPr>
        <w:jc w:val="both"/>
        <w:rPr>
          <w:rFonts w:ascii="Arial" w:hAnsi="Arial" w:cs="Arial"/>
          <w:b/>
          <w:sz w:val="22"/>
          <w:szCs w:val="22"/>
          <w:u w:val="single"/>
          <w:lang w:val="hr-HR"/>
        </w:rPr>
      </w:pPr>
    </w:p>
    <w:p w14:paraId="2DA09ABC" w14:textId="77777777"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 xml:space="preserve">          Proračunski korisnici dužni su u svojim financijskim planovima, kod planiranja sredstava za osiguranje minimalnih financijskih standarda za decentralizirane funkcije primijeniti indekse, kako slijedi:</w:t>
      </w:r>
    </w:p>
    <w:p w14:paraId="055CDD51" w14:textId="20222342" w:rsidR="00BC0B7F" w:rsidRDefault="00BC0B7F" w:rsidP="00126235">
      <w:pPr>
        <w:jc w:val="both"/>
        <w:rPr>
          <w:rFonts w:ascii="Arial" w:hAnsi="Arial" w:cs="Arial"/>
          <w:sz w:val="22"/>
          <w:szCs w:val="22"/>
          <w:lang w:val="hr-HR"/>
        </w:rPr>
      </w:pPr>
    </w:p>
    <w:p w14:paraId="58AF696D" w14:textId="66B170D3" w:rsidR="00F562E3" w:rsidRPr="00C91F2F" w:rsidRDefault="00F562E3" w:rsidP="00126235">
      <w:pPr>
        <w:jc w:val="both"/>
        <w:rPr>
          <w:rFonts w:ascii="Arial" w:hAnsi="Arial" w:cs="Arial"/>
          <w:sz w:val="22"/>
          <w:szCs w:val="22"/>
          <w:lang w:val="hr-HR"/>
        </w:rPr>
      </w:pPr>
      <w:r>
        <w:rPr>
          <w:rFonts w:ascii="Arial" w:hAnsi="Arial" w:cs="Arial"/>
          <w:sz w:val="22"/>
          <w:szCs w:val="22"/>
          <w:lang w:val="hr-HR"/>
        </w:rPr>
        <w:tab/>
        <w:t xml:space="preserve">         </w:t>
      </w:r>
      <w:r w:rsidRPr="00F562E3">
        <w:rPr>
          <w:rFonts w:ascii="Arial" w:hAnsi="Arial" w:cs="Arial"/>
          <w:i/>
          <w:sz w:val="22"/>
          <w:szCs w:val="22"/>
          <w:lang w:val="hr-HR"/>
        </w:rPr>
        <w:t>Tablica 1.</w:t>
      </w:r>
      <w:r>
        <w:rPr>
          <w:rFonts w:ascii="Arial" w:hAnsi="Arial" w:cs="Arial"/>
          <w:sz w:val="22"/>
          <w:szCs w:val="22"/>
          <w:lang w:val="hr-HR"/>
        </w:rPr>
        <w:t xml:space="preserve"> </w:t>
      </w:r>
      <w:r w:rsidRPr="00F562E3">
        <w:rPr>
          <w:rFonts w:ascii="Arial" w:hAnsi="Arial" w:cs="Arial"/>
          <w:b/>
          <w:sz w:val="22"/>
          <w:szCs w:val="22"/>
          <w:lang w:val="hr-HR"/>
        </w:rPr>
        <w:t>Indeksi po vrstama rashoda za decentralizirane funkcije</w:t>
      </w:r>
    </w:p>
    <w:tbl>
      <w:tblPr>
        <w:tblW w:w="6946" w:type="dxa"/>
        <w:tblInd w:w="1224" w:type="dxa"/>
        <w:tblLook w:val="04A0" w:firstRow="1" w:lastRow="0" w:firstColumn="1" w:lastColumn="0" w:noHBand="0" w:noVBand="1"/>
      </w:tblPr>
      <w:tblGrid>
        <w:gridCol w:w="3140"/>
        <w:gridCol w:w="1400"/>
        <w:gridCol w:w="1203"/>
        <w:gridCol w:w="1203"/>
      </w:tblGrid>
      <w:tr w:rsidR="00D91ADD" w:rsidRPr="00D91ADD" w14:paraId="2D26D3FA" w14:textId="77777777" w:rsidTr="00D91ADD">
        <w:trPr>
          <w:trHeight w:val="288"/>
        </w:trPr>
        <w:tc>
          <w:tcPr>
            <w:tcW w:w="31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0A5B39" w14:textId="77777777" w:rsidR="00D91ADD" w:rsidRPr="00372B6D" w:rsidRDefault="00D91ADD" w:rsidP="00D91ADD">
            <w:pPr>
              <w:suppressAutoHyphens w:val="0"/>
              <w:jc w:val="center"/>
              <w:rPr>
                <w:rFonts w:eastAsia="Times New Roman" w:cs="Calibri"/>
                <w:b/>
                <w:bCs/>
                <w:color w:val="000000"/>
                <w:sz w:val="18"/>
                <w:szCs w:val="18"/>
                <w:lang w:val="hr-HR" w:eastAsia="hr-HR"/>
              </w:rPr>
            </w:pPr>
            <w:r w:rsidRPr="00372B6D">
              <w:rPr>
                <w:rFonts w:eastAsia="Times New Roman" w:cs="Calibri"/>
                <w:b/>
                <w:bCs/>
                <w:color w:val="000000"/>
                <w:sz w:val="18"/>
                <w:szCs w:val="18"/>
                <w:lang w:val="hr-HR" w:eastAsia="hr-HR"/>
              </w:rPr>
              <w:t>Vrsta rashoda</w:t>
            </w:r>
          </w:p>
        </w:tc>
        <w:tc>
          <w:tcPr>
            <w:tcW w:w="1400" w:type="dxa"/>
            <w:tcBorders>
              <w:top w:val="single" w:sz="4" w:space="0" w:color="auto"/>
              <w:left w:val="nil"/>
              <w:bottom w:val="single" w:sz="4" w:space="0" w:color="auto"/>
              <w:right w:val="single" w:sz="4" w:space="0" w:color="auto"/>
            </w:tcBorders>
            <w:shd w:val="clear" w:color="000000" w:fill="D9D9D9"/>
            <w:noWrap/>
            <w:vAlign w:val="bottom"/>
            <w:hideMark/>
          </w:tcPr>
          <w:p w14:paraId="1B5A4791" w14:textId="77777777" w:rsidR="00D91ADD" w:rsidRPr="00372B6D" w:rsidRDefault="00D91ADD" w:rsidP="00D91ADD">
            <w:pPr>
              <w:suppressAutoHyphens w:val="0"/>
              <w:rPr>
                <w:rFonts w:eastAsia="Times New Roman" w:cs="Calibri"/>
                <w:b/>
                <w:bCs/>
                <w:color w:val="000000"/>
                <w:sz w:val="18"/>
                <w:szCs w:val="18"/>
                <w:lang w:val="hr-HR" w:eastAsia="hr-HR"/>
              </w:rPr>
            </w:pPr>
            <w:r w:rsidRPr="00372B6D">
              <w:rPr>
                <w:rFonts w:eastAsia="Times New Roman" w:cs="Calibri"/>
                <w:b/>
                <w:bCs/>
                <w:color w:val="000000"/>
                <w:sz w:val="18"/>
                <w:szCs w:val="18"/>
                <w:lang w:val="hr-HR" w:eastAsia="hr-HR"/>
              </w:rPr>
              <w:t>Proračun 2019</w:t>
            </w:r>
          </w:p>
        </w:tc>
        <w:tc>
          <w:tcPr>
            <w:tcW w:w="2406"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1783F71" w14:textId="77777777" w:rsidR="00D91ADD" w:rsidRPr="00372B6D" w:rsidRDefault="00D91ADD" w:rsidP="00D91ADD">
            <w:pPr>
              <w:suppressAutoHyphens w:val="0"/>
              <w:jc w:val="center"/>
              <w:rPr>
                <w:rFonts w:eastAsia="Times New Roman" w:cs="Calibri"/>
                <w:b/>
                <w:bCs/>
                <w:color w:val="000000"/>
                <w:sz w:val="18"/>
                <w:szCs w:val="18"/>
                <w:lang w:val="hr-HR" w:eastAsia="hr-HR"/>
              </w:rPr>
            </w:pPr>
            <w:r w:rsidRPr="00372B6D">
              <w:rPr>
                <w:rFonts w:eastAsia="Times New Roman" w:cs="Calibri"/>
                <w:b/>
                <w:bCs/>
                <w:color w:val="000000"/>
                <w:sz w:val="18"/>
                <w:szCs w:val="18"/>
                <w:lang w:val="hr-HR" w:eastAsia="hr-HR"/>
              </w:rPr>
              <w:t>Projekcija 2020-2021</w:t>
            </w:r>
          </w:p>
        </w:tc>
      </w:tr>
      <w:tr w:rsidR="00D91ADD" w:rsidRPr="00D91ADD" w14:paraId="2456E8A4" w14:textId="77777777" w:rsidTr="00D91ADD">
        <w:trPr>
          <w:trHeight w:val="576"/>
        </w:trPr>
        <w:tc>
          <w:tcPr>
            <w:tcW w:w="3140" w:type="dxa"/>
            <w:vMerge/>
            <w:tcBorders>
              <w:top w:val="single" w:sz="4" w:space="0" w:color="auto"/>
              <w:left w:val="single" w:sz="4" w:space="0" w:color="auto"/>
              <w:bottom w:val="single" w:sz="4" w:space="0" w:color="auto"/>
              <w:right w:val="single" w:sz="4" w:space="0" w:color="auto"/>
            </w:tcBorders>
            <w:vAlign w:val="center"/>
            <w:hideMark/>
          </w:tcPr>
          <w:p w14:paraId="459EF676" w14:textId="77777777" w:rsidR="00D91ADD" w:rsidRPr="00372B6D" w:rsidRDefault="00D91ADD" w:rsidP="00D91ADD">
            <w:pPr>
              <w:suppressAutoHyphens w:val="0"/>
              <w:rPr>
                <w:rFonts w:eastAsia="Times New Roman" w:cs="Calibri"/>
                <w:b/>
                <w:bCs/>
                <w:color w:val="000000"/>
                <w:sz w:val="18"/>
                <w:szCs w:val="18"/>
                <w:lang w:val="hr-HR" w:eastAsia="hr-HR"/>
              </w:rPr>
            </w:pPr>
          </w:p>
        </w:tc>
        <w:tc>
          <w:tcPr>
            <w:tcW w:w="1400" w:type="dxa"/>
            <w:tcBorders>
              <w:top w:val="nil"/>
              <w:left w:val="nil"/>
              <w:bottom w:val="single" w:sz="4" w:space="0" w:color="auto"/>
              <w:right w:val="single" w:sz="4" w:space="0" w:color="auto"/>
            </w:tcBorders>
            <w:shd w:val="clear" w:color="000000" w:fill="D9D9D9"/>
            <w:vAlign w:val="bottom"/>
            <w:hideMark/>
          </w:tcPr>
          <w:p w14:paraId="7E61E222" w14:textId="77777777" w:rsidR="00D91ADD" w:rsidRPr="00372B6D" w:rsidRDefault="00D91ADD" w:rsidP="00D91ADD">
            <w:pPr>
              <w:suppressAutoHyphens w:val="0"/>
              <w:rPr>
                <w:rFonts w:eastAsia="Times New Roman" w:cs="Calibri"/>
                <w:b/>
                <w:bCs/>
                <w:color w:val="000000"/>
                <w:sz w:val="18"/>
                <w:szCs w:val="18"/>
                <w:lang w:val="hr-HR" w:eastAsia="hr-HR"/>
              </w:rPr>
            </w:pPr>
            <w:r w:rsidRPr="00372B6D">
              <w:rPr>
                <w:rFonts w:eastAsia="Times New Roman" w:cs="Calibri"/>
                <w:b/>
                <w:bCs/>
                <w:color w:val="000000"/>
                <w:sz w:val="18"/>
                <w:szCs w:val="18"/>
                <w:lang w:val="hr-HR" w:eastAsia="hr-HR"/>
              </w:rPr>
              <w:t>Indeks 2019/2018</w:t>
            </w:r>
          </w:p>
        </w:tc>
        <w:tc>
          <w:tcPr>
            <w:tcW w:w="1203" w:type="dxa"/>
            <w:tcBorders>
              <w:top w:val="nil"/>
              <w:left w:val="nil"/>
              <w:bottom w:val="single" w:sz="4" w:space="0" w:color="auto"/>
              <w:right w:val="single" w:sz="4" w:space="0" w:color="auto"/>
            </w:tcBorders>
            <w:shd w:val="clear" w:color="000000" w:fill="D9D9D9"/>
            <w:vAlign w:val="bottom"/>
            <w:hideMark/>
          </w:tcPr>
          <w:p w14:paraId="0C2D2751" w14:textId="77777777" w:rsidR="00D91ADD" w:rsidRPr="00372B6D" w:rsidRDefault="00D91ADD" w:rsidP="00D91ADD">
            <w:pPr>
              <w:suppressAutoHyphens w:val="0"/>
              <w:rPr>
                <w:rFonts w:eastAsia="Times New Roman" w:cs="Calibri"/>
                <w:b/>
                <w:bCs/>
                <w:color w:val="000000"/>
                <w:sz w:val="18"/>
                <w:szCs w:val="18"/>
                <w:lang w:val="hr-HR" w:eastAsia="hr-HR"/>
              </w:rPr>
            </w:pPr>
            <w:r w:rsidRPr="00372B6D">
              <w:rPr>
                <w:rFonts w:eastAsia="Times New Roman" w:cs="Calibri"/>
                <w:b/>
                <w:bCs/>
                <w:color w:val="000000"/>
                <w:sz w:val="18"/>
                <w:szCs w:val="18"/>
                <w:lang w:val="hr-HR" w:eastAsia="hr-HR"/>
              </w:rPr>
              <w:t>Indeks 2020/2019</w:t>
            </w:r>
          </w:p>
        </w:tc>
        <w:tc>
          <w:tcPr>
            <w:tcW w:w="1203" w:type="dxa"/>
            <w:tcBorders>
              <w:top w:val="nil"/>
              <w:left w:val="nil"/>
              <w:bottom w:val="single" w:sz="4" w:space="0" w:color="auto"/>
              <w:right w:val="single" w:sz="4" w:space="0" w:color="auto"/>
            </w:tcBorders>
            <w:shd w:val="clear" w:color="000000" w:fill="D9D9D9"/>
            <w:vAlign w:val="bottom"/>
            <w:hideMark/>
          </w:tcPr>
          <w:p w14:paraId="3B4A16BB" w14:textId="77777777" w:rsidR="00D91ADD" w:rsidRPr="00372B6D" w:rsidRDefault="00D91ADD" w:rsidP="00D91ADD">
            <w:pPr>
              <w:suppressAutoHyphens w:val="0"/>
              <w:rPr>
                <w:rFonts w:eastAsia="Times New Roman" w:cs="Calibri"/>
                <w:b/>
                <w:bCs/>
                <w:color w:val="000000"/>
                <w:sz w:val="18"/>
                <w:szCs w:val="18"/>
                <w:lang w:val="hr-HR" w:eastAsia="hr-HR"/>
              </w:rPr>
            </w:pPr>
            <w:r w:rsidRPr="00372B6D">
              <w:rPr>
                <w:rFonts w:eastAsia="Times New Roman" w:cs="Calibri"/>
                <w:b/>
                <w:bCs/>
                <w:color w:val="000000"/>
                <w:sz w:val="18"/>
                <w:szCs w:val="18"/>
                <w:lang w:val="hr-HR" w:eastAsia="hr-HR"/>
              </w:rPr>
              <w:t>Indeks 2021/2020</w:t>
            </w:r>
          </w:p>
        </w:tc>
      </w:tr>
      <w:tr w:rsidR="00D91ADD" w:rsidRPr="00D91ADD" w14:paraId="512492BE" w14:textId="77777777" w:rsidTr="00D91ADD">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52793DA" w14:textId="77777777" w:rsidR="00D91ADD" w:rsidRPr="00372B6D" w:rsidRDefault="00D91ADD" w:rsidP="00D91ADD">
            <w:pPr>
              <w:suppressAutoHyphens w:val="0"/>
              <w:rPr>
                <w:rFonts w:eastAsia="Times New Roman" w:cs="Calibri"/>
                <w:color w:val="000000"/>
                <w:sz w:val="18"/>
                <w:szCs w:val="18"/>
                <w:lang w:val="hr-HR" w:eastAsia="hr-HR"/>
              </w:rPr>
            </w:pPr>
            <w:r w:rsidRPr="00372B6D">
              <w:rPr>
                <w:rFonts w:eastAsia="Times New Roman" w:cs="Calibri"/>
                <w:color w:val="000000"/>
                <w:sz w:val="18"/>
                <w:szCs w:val="18"/>
                <w:lang w:val="hr-HR" w:eastAsia="hr-HR"/>
              </w:rPr>
              <w:t>Rashodi za zaposlene</w:t>
            </w:r>
          </w:p>
        </w:tc>
        <w:tc>
          <w:tcPr>
            <w:tcW w:w="1400" w:type="dxa"/>
            <w:tcBorders>
              <w:top w:val="nil"/>
              <w:left w:val="nil"/>
              <w:bottom w:val="single" w:sz="4" w:space="0" w:color="auto"/>
              <w:right w:val="single" w:sz="4" w:space="0" w:color="auto"/>
            </w:tcBorders>
            <w:shd w:val="clear" w:color="auto" w:fill="auto"/>
            <w:noWrap/>
            <w:vAlign w:val="bottom"/>
            <w:hideMark/>
          </w:tcPr>
          <w:p w14:paraId="4A5FD57B" w14:textId="17534A60"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w:t>
            </w:r>
            <w:r w:rsidR="00783836" w:rsidRPr="00372B6D">
              <w:rPr>
                <w:rFonts w:eastAsia="Times New Roman" w:cs="Calibri"/>
                <w:color w:val="000000"/>
                <w:sz w:val="18"/>
                <w:szCs w:val="18"/>
                <w:lang w:val="hr-HR" w:eastAsia="hr-HR"/>
              </w:rPr>
              <w:t>2</w:t>
            </w:r>
          </w:p>
        </w:tc>
        <w:tc>
          <w:tcPr>
            <w:tcW w:w="1203" w:type="dxa"/>
            <w:tcBorders>
              <w:top w:val="nil"/>
              <w:left w:val="nil"/>
              <w:bottom w:val="single" w:sz="4" w:space="0" w:color="auto"/>
              <w:right w:val="single" w:sz="4" w:space="0" w:color="auto"/>
            </w:tcBorders>
            <w:shd w:val="clear" w:color="auto" w:fill="auto"/>
            <w:noWrap/>
            <w:vAlign w:val="bottom"/>
            <w:hideMark/>
          </w:tcPr>
          <w:p w14:paraId="598DADDE" w14:textId="77777777"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100</w:t>
            </w:r>
          </w:p>
        </w:tc>
        <w:tc>
          <w:tcPr>
            <w:tcW w:w="1203" w:type="dxa"/>
            <w:tcBorders>
              <w:top w:val="nil"/>
              <w:left w:val="nil"/>
              <w:bottom w:val="single" w:sz="4" w:space="0" w:color="auto"/>
              <w:right w:val="single" w:sz="4" w:space="0" w:color="auto"/>
            </w:tcBorders>
            <w:shd w:val="clear" w:color="auto" w:fill="auto"/>
            <w:noWrap/>
            <w:vAlign w:val="bottom"/>
            <w:hideMark/>
          </w:tcPr>
          <w:p w14:paraId="2B5403DA" w14:textId="77777777"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100</w:t>
            </w:r>
          </w:p>
        </w:tc>
      </w:tr>
      <w:tr w:rsidR="00D91ADD" w:rsidRPr="00D91ADD" w14:paraId="27DF1563" w14:textId="77777777" w:rsidTr="00D91ADD">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31E66FB" w14:textId="77777777" w:rsidR="00D91ADD" w:rsidRPr="00372B6D" w:rsidRDefault="00D91ADD" w:rsidP="00D91ADD">
            <w:pPr>
              <w:suppressAutoHyphens w:val="0"/>
              <w:rPr>
                <w:rFonts w:eastAsia="Times New Roman" w:cs="Calibri"/>
                <w:color w:val="000000"/>
                <w:sz w:val="18"/>
                <w:szCs w:val="18"/>
                <w:lang w:val="hr-HR" w:eastAsia="hr-HR"/>
              </w:rPr>
            </w:pPr>
            <w:r w:rsidRPr="00372B6D">
              <w:rPr>
                <w:rFonts w:eastAsia="Times New Roman" w:cs="Calibri"/>
                <w:color w:val="000000"/>
                <w:sz w:val="18"/>
                <w:szCs w:val="18"/>
                <w:lang w:val="hr-HR" w:eastAsia="hr-HR"/>
              </w:rPr>
              <w:t>Materijalni rashodi</w:t>
            </w:r>
          </w:p>
        </w:tc>
        <w:tc>
          <w:tcPr>
            <w:tcW w:w="1400" w:type="dxa"/>
            <w:tcBorders>
              <w:top w:val="nil"/>
              <w:left w:val="nil"/>
              <w:bottom w:val="single" w:sz="4" w:space="0" w:color="auto"/>
              <w:right w:val="single" w:sz="4" w:space="0" w:color="auto"/>
            </w:tcBorders>
            <w:shd w:val="clear" w:color="auto" w:fill="auto"/>
            <w:noWrap/>
            <w:vAlign w:val="bottom"/>
            <w:hideMark/>
          </w:tcPr>
          <w:p w14:paraId="40616A80" w14:textId="5DD81A9A"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w:t>
            </w:r>
            <w:r w:rsidR="00166229" w:rsidRPr="00372B6D">
              <w:rPr>
                <w:rFonts w:eastAsia="Times New Roman" w:cs="Calibri"/>
                <w:color w:val="000000"/>
                <w:sz w:val="18"/>
                <w:szCs w:val="18"/>
                <w:lang w:val="hr-HR" w:eastAsia="hr-HR"/>
              </w:rPr>
              <w:t>2</w:t>
            </w:r>
          </w:p>
        </w:tc>
        <w:tc>
          <w:tcPr>
            <w:tcW w:w="1203" w:type="dxa"/>
            <w:tcBorders>
              <w:top w:val="nil"/>
              <w:left w:val="nil"/>
              <w:bottom w:val="single" w:sz="4" w:space="0" w:color="auto"/>
              <w:right w:val="single" w:sz="4" w:space="0" w:color="auto"/>
            </w:tcBorders>
            <w:shd w:val="clear" w:color="auto" w:fill="auto"/>
            <w:noWrap/>
            <w:vAlign w:val="bottom"/>
            <w:hideMark/>
          </w:tcPr>
          <w:p w14:paraId="743F76A2" w14:textId="77777777"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100</w:t>
            </w:r>
          </w:p>
        </w:tc>
        <w:tc>
          <w:tcPr>
            <w:tcW w:w="1203" w:type="dxa"/>
            <w:tcBorders>
              <w:top w:val="nil"/>
              <w:left w:val="nil"/>
              <w:bottom w:val="single" w:sz="4" w:space="0" w:color="auto"/>
              <w:right w:val="single" w:sz="4" w:space="0" w:color="auto"/>
            </w:tcBorders>
            <w:shd w:val="clear" w:color="auto" w:fill="auto"/>
            <w:noWrap/>
            <w:vAlign w:val="bottom"/>
            <w:hideMark/>
          </w:tcPr>
          <w:p w14:paraId="41B7164B" w14:textId="77777777"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100</w:t>
            </w:r>
          </w:p>
        </w:tc>
      </w:tr>
      <w:tr w:rsidR="00D91ADD" w:rsidRPr="00D91ADD" w14:paraId="26EBAE00" w14:textId="77777777" w:rsidTr="00D91ADD">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4443E26" w14:textId="77777777" w:rsidR="00D91ADD" w:rsidRPr="00372B6D" w:rsidRDefault="00D91ADD" w:rsidP="00D91ADD">
            <w:pPr>
              <w:suppressAutoHyphens w:val="0"/>
              <w:rPr>
                <w:rFonts w:eastAsia="Times New Roman" w:cs="Calibri"/>
                <w:color w:val="000000"/>
                <w:sz w:val="18"/>
                <w:szCs w:val="18"/>
                <w:lang w:val="hr-HR" w:eastAsia="hr-HR"/>
              </w:rPr>
            </w:pPr>
            <w:r w:rsidRPr="00372B6D">
              <w:rPr>
                <w:rFonts w:eastAsia="Times New Roman" w:cs="Calibri"/>
                <w:color w:val="000000"/>
                <w:sz w:val="18"/>
                <w:szCs w:val="18"/>
                <w:lang w:val="hr-HR" w:eastAsia="hr-HR"/>
              </w:rPr>
              <w:t>Rashodi za nabavu nefin. imovine</w:t>
            </w:r>
          </w:p>
        </w:tc>
        <w:tc>
          <w:tcPr>
            <w:tcW w:w="1400" w:type="dxa"/>
            <w:tcBorders>
              <w:top w:val="nil"/>
              <w:left w:val="nil"/>
              <w:bottom w:val="single" w:sz="4" w:space="0" w:color="auto"/>
              <w:right w:val="single" w:sz="4" w:space="0" w:color="auto"/>
            </w:tcBorders>
            <w:shd w:val="clear" w:color="auto" w:fill="auto"/>
            <w:noWrap/>
            <w:vAlign w:val="bottom"/>
            <w:hideMark/>
          </w:tcPr>
          <w:p w14:paraId="391100B6" w14:textId="050284FF"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w:t>
            </w:r>
            <w:r w:rsidR="00166229" w:rsidRPr="00372B6D">
              <w:rPr>
                <w:rFonts w:eastAsia="Times New Roman" w:cs="Calibri"/>
                <w:color w:val="000000"/>
                <w:sz w:val="18"/>
                <w:szCs w:val="18"/>
                <w:lang w:val="hr-HR" w:eastAsia="hr-HR"/>
              </w:rPr>
              <w:t>2</w:t>
            </w:r>
          </w:p>
        </w:tc>
        <w:tc>
          <w:tcPr>
            <w:tcW w:w="1203" w:type="dxa"/>
            <w:tcBorders>
              <w:top w:val="nil"/>
              <w:left w:val="nil"/>
              <w:bottom w:val="single" w:sz="4" w:space="0" w:color="auto"/>
              <w:right w:val="single" w:sz="4" w:space="0" w:color="auto"/>
            </w:tcBorders>
            <w:shd w:val="clear" w:color="auto" w:fill="auto"/>
            <w:noWrap/>
            <w:vAlign w:val="bottom"/>
            <w:hideMark/>
          </w:tcPr>
          <w:p w14:paraId="5C5515D7" w14:textId="77777777"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100</w:t>
            </w:r>
          </w:p>
        </w:tc>
        <w:tc>
          <w:tcPr>
            <w:tcW w:w="1203" w:type="dxa"/>
            <w:tcBorders>
              <w:top w:val="nil"/>
              <w:left w:val="nil"/>
              <w:bottom w:val="single" w:sz="4" w:space="0" w:color="auto"/>
              <w:right w:val="single" w:sz="4" w:space="0" w:color="auto"/>
            </w:tcBorders>
            <w:shd w:val="clear" w:color="auto" w:fill="auto"/>
            <w:noWrap/>
            <w:vAlign w:val="bottom"/>
            <w:hideMark/>
          </w:tcPr>
          <w:p w14:paraId="4733BD22" w14:textId="77777777" w:rsidR="00D91ADD" w:rsidRPr="00372B6D" w:rsidRDefault="00D91ADD" w:rsidP="001426E8">
            <w:pPr>
              <w:suppressAutoHyphens w:val="0"/>
              <w:jc w:val="center"/>
              <w:rPr>
                <w:rFonts w:eastAsia="Times New Roman" w:cs="Calibri"/>
                <w:color w:val="000000"/>
                <w:sz w:val="18"/>
                <w:szCs w:val="18"/>
                <w:lang w:val="hr-HR" w:eastAsia="hr-HR"/>
              </w:rPr>
            </w:pPr>
            <w:r w:rsidRPr="00372B6D">
              <w:rPr>
                <w:rFonts w:eastAsia="Times New Roman" w:cs="Calibri"/>
                <w:color w:val="000000"/>
                <w:sz w:val="18"/>
                <w:szCs w:val="18"/>
                <w:lang w:val="hr-HR" w:eastAsia="hr-HR"/>
              </w:rPr>
              <w:t>100</w:t>
            </w:r>
          </w:p>
        </w:tc>
      </w:tr>
    </w:tbl>
    <w:p w14:paraId="794A70DC" w14:textId="77777777" w:rsidR="00D91ADD" w:rsidRDefault="00D91ADD" w:rsidP="00126235">
      <w:pPr>
        <w:jc w:val="both"/>
        <w:rPr>
          <w:rFonts w:ascii="Arial" w:hAnsi="Arial" w:cs="Arial"/>
          <w:sz w:val="22"/>
          <w:szCs w:val="22"/>
          <w:lang w:val="hr-HR"/>
        </w:rPr>
      </w:pPr>
    </w:p>
    <w:p w14:paraId="4A2F716D" w14:textId="56DC40EB"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 xml:space="preserve">Prema posljednjim izmjenama Zakona o proračunu (NN RH, br. 15/15) utvrđuju se tzv. DVOJNI LIMITI - jedan se utvrđuje za provedbu postojećih programa odnosno aktivnosti, a drugi za provedbu novih i promjenu postojećih programa odnosno aktivnosti. Troškovi provođenja postojećih programa obuhvaćaju troškove održavanja postojeće razine usluga, a troškovi novih programa uključuju promjene razine i vrste usluga. </w:t>
      </w:r>
    </w:p>
    <w:p w14:paraId="191F438F" w14:textId="77777777" w:rsidR="00BC0B7F" w:rsidRPr="00C91F2F" w:rsidRDefault="00BC0B7F" w:rsidP="00126235">
      <w:pPr>
        <w:jc w:val="both"/>
        <w:rPr>
          <w:rFonts w:ascii="Arial" w:hAnsi="Arial" w:cs="Arial"/>
          <w:sz w:val="22"/>
          <w:szCs w:val="22"/>
          <w:lang w:val="hr-HR"/>
        </w:rPr>
      </w:pPr>
    </w:p>
    <w:p w14:paraId="5F6F7A12" w14:textId="77777777" w:rsidR="00BC0B7F" w:rsidRPr="00C91F2F" w:rsidRDefault="00BC0B7F" w:rsidP="00126235">
      <w:pPr>
        <w:jc w:val="both"/>
        <w:rPr>
          <w:rFonts w:ascii="Arial" w:hAnsi="Arial" w:cs="Arial"/>
          <w:sz w:val="22"/>
          <w:szCs w:val="22"/>
          <w:lang w:val="hr-HR"/>
        </w:rPr>
      </w:pPr>
    </w:p>
    <w:p w14:paraId="52AAFC6C" w14:textId="7BB62F46" w:rsidR="00BC0B7F" w:rsidRPr="005D6F5D" w:rsidRDefault="00BC0B7F" w:rsidP="005D6F5D">
      <w:pPr>
        <w:pStyle w:val="Heading2"/>
        <w:numPr>
          <w:ilvl w:val="1"/>
          <w:numId w:val="7"/>
        </w:numPr>
        <w:rPr>
          <w:rFonts w:ascii="Arial" w:hAnsi="Arial" w:cs="Arial"/>
          <w:sz w:val="24"/>
          <w:szCs w:val="24"/>
        </w:rPr>
      </w:pPr>
      <w:bookmarkStart w:id="11" w:name="_Toc524064685"/>
      <w:r w:rsidRPr="005D6F5D">
        <w:rPr>
          <w:rFonts w:ascii="Arial" w:hAnsi="Arial" w:cs="Arial"/>
          <w:sz w:val="24"/>
          <w:szCs w:val="24"/>
        </w:rPr>
        <w:t>Okvirni prijedlog opsega financijskog plana</w:t>
      </w:r>
      <w:bookmarkEnd w:id="11"/>
    </w:p>
    <w:p w14:paraId="77AB3DCB" w14:textId="77777777" w:rsidR="00372B6D" w:rsidRDefault="00372B6D" w:rsidP="00372B6D">
      <w:pPr>
        <w:pStyle w:val="Default"/>
        <w:jc w:val="both"/>
        <w:rPr>
          <w:rFonts w:ascii="Arial" w:hAnsi="Arial" w:cs="Arial"/>
          <w:sz w:val="22"/>
          <w:szCs w:val="22"/>
        </w:rPr>
      </w:pPr>
    </w:p>
    <w:p w14:paraId="25C3B4D2" w14:textId="77777777" w:rsidR="00372B6D" w:rsidRPr="00C91F2F" w:rsidRDefault="00372B6D" w:rsidP="00372B6D">
      <w:pPr>
        <w:pStyle w:val="Default"/>
        <w:jc w:val="both"/>
        <w:rPr>
          <w:rFonts w:ascii="Arial" w:hAnsi="Arial" w:cs="Arial"/>
          <w:sz w:val="22"/>
          <w:szCs w:val="22"/>
        </w:rPr>
      </w:pPr>
      <w:r w:rsidRPr="00C91F2F">
        <w:rPr>
          <w:rFonts w:ascii="Arial" w:hAnsi="Arial" w:cs="Arial"/>
          <w:sz w:val="22"/>
          <w:szCs w:val="22"/>
        </w:rPr>
        <w:t xml:space="preserve">U nastavku dajemo limite rashoda po </w:t>
      </w:r>
      <w:r>
        <w:rPr>
          <w:rFonts w:ascii="Arial" w:hAnsi="Arial" w:cs="Arial"/>
          <w:sz w:val="22"/>
          <w:szCs w:val="22"/>
        </w:rPr>
        <w:t>odsjecima unutar Jedinstvenog upravnog odjela</w:t>
      </w:r>
      <w:r w:rsidRPr="00C91F2F">
        <w:rPr>
          <w:rFonts w:ascii="Arial" w:hAnsi="Arial" w:cs="Arial"/>
          <w:sz w:val="22"/>
          <w:szCs w:val="22"/>
        </w:rPr>
        <w:t xml:space="preserve">, te po proračunskim korisnicima pojedinih </w:t>
      </w:r>
      <w:r>
        <w:rPr>
          <w:rFonts w:ascii="Arial" w:hAnsi="Arial" w:cs="Arial"/>
          <w:sz w:val="22"/>
          <w:szCs w:val="22"/>
        </w:rPr>
        <w:t>odsjeka</w:t>
      </w:r>
      <w:r w:rsidRPr="00C91F2F">
        <w:rPr>
          <w:rFonts w:ascii="Arial" w:hAnsi="Arial" w:cs="Arial"/>
          <w:sz w:val="22"/>
          <w:szCs w:val="22"/>
        </w:rPr>
        <w:t xml:space="preserve"> Grada Malog Lošinja koji predstavljaju okvir za izradu financijskih planova za 201</w:t>
      </w:r>
      <w:r>
        <w:rPr>
          <w:rFonts w:ascii="Arial" w:hAnsi="Arial" w:cs="Arial"/>
          <w:sz w:val="22"/>
          <w:szCs w:val="22"/>
        </w:rPr>
        <w:t>9</w:t>
      </w:r>
      <w:r w:rsidRPr="00C91F2F">
        <w:rPr>
          <w:rFonts w:ascii="Arial" w:hAnsi="Arial" w:cs="Arial"/>
          <w:sz w:val="22"/>
          <w:szCs w:val="22"/>
        </w:rPr>
        <w:t>. i projekciju proračuna za 20</w:t>
      </w:r>
      <w:r>
        <w:rPr>
          <w:rFonts w:ascii="Arial" w:hAnsi="Arial" w:cs="Arial"/>
          <w:sz w:val="22"/>
          <w:szCs w:val="22"/>
        </w:rPr>
        <w:t>20</w:t>
      </w:r>
      <w:r w:rsidRPr="00C91F2F">
        <w:rPr>
          <w:rFonts w:ascii="Arial" w:hAnsi="Arial" w:cs="Arial"/>
          <w:sz w:val="22"/>
          <w:szCs w:val="22"/>
        </w:rPr>
        <w:t>. i 20</w:t>
      </w:r>
      <w:r>
        <w:rPr>
          <w:rFonts w:ascii="Arial" w:hAnsi="Arial" w:cs="Arial"/>
          <w:sz w:val="22"/>
          <w:szCs w:val="22"/>
        </w:rPr>
        <w:t>21</w:t>
      </w:r>
      <w:r w:rsidRPr="00C91F2F">
        <w:rPr>
          <w:rFonts w:ascii="Arial" w:hAnsi="Arial" w:cs="Arial"/>
          <w:sz w:val="22"/>
          <w:szCs w:val="22"/>
        </w:rPr>
        <w:t xml:space="preserve">. godinu. </w:t>
      </w:r>
    </w:p>
    <w:p w14:paraId="5FFC9349" w14:textId="77777777" w:rsidR="00372B6D" w:rsidRPr="00C91F2F" w:rsidRDefault="00372B6D" w:rsidP="00372B6D">
      <w:pPr>
        <w:pStyle w:val="Default"/>
        <w:jc w:val="both"/>
        <w:rPr>
          <w:rFonts w:ascii="Arial" w:hAnsi="Arial" w:cs="Arial"/>
          <w:sz w:val="22"/>
          <w:szCs w:val="22"/>
        </w:rPr>
      </w:pPr>
      <w:r w:rsidRPr="00C91F2F">
        <w:rPr>
          <w:rFonts w:ascii="Arial" w:hAnsi="Arial" w:cs="Arial"/>
          <w:sz w:val="22"/>
          <w:szCs w:val="22"/>
        </w:rPr>
        <w:t xml:space="preserve">Limiti rashoda i vrste prihoda koji pripadaju pojedinom </w:t>
      </w:r>
      <w:r>
        <w:rPr>
          <w:rFonts w:ascii="Arial" w:hAnsi="Arial" w:cs="Arial"/>
          <w:sz w:val="22"/>
          <w:szCs w:val="22"/>
        </w:rPr>
        <w:t>odsjeku</w:t>
      </w:r>
      <w:r w:rsidRPr="00C91F2F">
        <w:rPr>
          <w:rFonts w:ascii="Arial" w:hAnsi="Arial" w:cs="Arial"/>
          <w:sz w:val="22"/>
          <w:szCs w:val="22"/>
        </w:rPr>
        <w:t xml:space="preserve"> dani su u Tablici </w:t>
      </w:r>
      <w:r>
        <w:rPr>
          <w:rFonts w:ascii="Arial" w:hAnsi="Arial" w:cs="Arial"/>
          <w:sz w:val="22"/>
          <w:szCs w:val="22"/>
        </w:rPr>
        <w:t>2.</w:t>
      </w:r>
      <w:r w:rsidRPr="00C91F2F">
        <w:rPr>
          <w:rFonts w:ascii="Arial" w:hAnsi="Arial" w:cs="Arial"/>
          <w:sz w:val="22"/>
          <w:szCs w:val="22"/>
        </w:rPr>
        <w:t xml:space="preserve"> ovih Uputa. </w:t>
      </w:r>
    </w:p>
    <w:p w14:paraId="09994165" w14:textId="77777777" w:rsidR="005D6F5D" w:rsidRDefault="005D6F5D" w:rsidP="005D6F5D">
      <w:pPr>
        <w:pStyle w:val="Default"/>
        <w:jc w:val="both"/>
        <w:rPr>
          <w:rFonts w:ascii="Arial" w:eastAsia="Calibri" w:hAnsi="Arial" w:cs="Arial"/>
          <w:color w:val="auto"/>
          <w:sz w:val="22"/>
          <w:szCs w:val="22"/>
          <w:lang w:eastAsia="ar-SA"/>
        </w:rPr>
      </w:pPr>
    </w:p>
    <w:p w14:paraId="45D18CF0" w14:textId="6DE1F696" w:rsidR="005D6F5D" w:rsidRDefault="005D6F5D" w:rsidP="005D6F5D">
      <w:pPr>
        <w:pStyle w:val="Default"/>
        <w:jc w:val="both"/>
        <w:rPr>
          <w:rFonts w:ascii="Arial" w:hAnsi="Arial" w:cs="Arial"/>
          <w:sz w:val="22"/>
          <w:szCs w:val="22"/>
        </w:rPr>
      </w:pPr>
    </w:p>
    <w:tbl>
      <w:tblPr>
        <w:tblpPr w:leftFromText="180" w:rightFromText="180" w:vertAnchor="text" w:horzAnchor="margin" w:tblpXSpec="center" w:tblpY="338"/>
        <w:tblW w:w="10547" w:type="dxa"/>
        <w:tblLook w:val="04A0" w:firstRow="1" w:lastRow="0" w:firstColumn="1" w:lastColumn="0" w:noHBand="0" w:noVBand="1"/>
      </w:tblPr>
      <w:tblGrid>
        <w:gridCol w:w="423"/>
        <w:gridCol w:w="1812"/>
        <w:gridCol w:w="1154"/>
        <w:gridCol w:w="1235"/>
        <w:gridCol w:w="1154"/>
        <w:gridCol w:w="1154"/>
        <w:gridCol w:w="1235"/>
        <w:gridCol w:w="1235"/>
        <w:gridCol w:w="1235"/>
      </w:tblGrid>
      <w:tr w:rsidR="003F1E09" w:rsidRPr="00387FEB" w14:paraId="21CFA8C6" w14:textId="77777777" w:rsidTr="00372B6D">
        <w:trPr>
          <w:trHeight w:val="272"/>
        </w:trPr>
        <w:tc>
          <w:tcPr>
            <w:tcW w:w="2235"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23822F"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NAZIV</w:t>
            </w:r>
          </w:p>
        </w:tc>
        <w:tc>
          <w:tcPr>
            <w:tcW w:w="106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3A460EE1"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IZVRŠENJE 2017*</w:t>
            </w:r>
          </w:p>
        </w:tc>
        <w:tc>
          <w:tcPr>
            <w:tcW w:w="1235"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2CB5A45B"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PLAN 2018*</w:t>
            </w:r>
          </w:p>
        </w:tc>
        <w:tc>
          <w:tcPr>
            <w:tcW w:w="354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F6F0FFF"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PLAN</w:t>
            </w:r>
          </w:p>
        </w:tc>
        <w:tc>
          <w:tcPr>
            <w:tcW w:w="247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2C59AC7"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PROJEKCIJA</w:t>
            </w:r>
          </w:p>
        </w:tc>
      </w:tr>
      <w:tr w:rsidR="003F1E09" w:rsidRPr="00387FEB" w14:paraId="55DD5F73" w14:textId="77777777" w:rsidTr="00372B6D">
        <w:trPr>
          <w:trHeight w:val="272"/>
        </w:trPr>
        <w:tc>
          <w:tcPr>
            <w:tcW w:w="2235" w:type="dxa"/>
            <w:gridSpan w:val="2"/>
            <w:vMerge/>
            <w:tcBorders>
              <w:top w:val="single" w:sz="4" w:space="0" w:color="auto"/>
              <w:left w:val="single" w:sz="4" w:space="0" w:color="auto"/>
              <w:bottom w:val="single" w:sz="4" w:space="0" w:color="auto"/>
              <w:right w:val="single" w:sz="4" w:space="0" w:color="auto"/>
            </w:tcBorders>
            <w:vAlign w:val="center"/>
            <w:hideMark/>
          </w:tcPr>
          <w:p w14:paraId="368A7DBC"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A066BE9"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6366C8F2"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354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7937DD21"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2019</w:t>
            </w:r>
          </w:p>
        </w:tc>
        <w:tc>
          <w:tcPr>
            <w:tcW w:w="1235" w:type="dxa"/>
            <w:tcBorders>
              <w:top w:val="nil"/>
              <w:left w:val="nil"/>
              <w:bottom w:val="single" w:sz="4" w:space="0" w:color="auto"/>
              <w:right w:val="single" w:sz="4" w:space="0" w:color="auto"/>
            </w:tcBorders>
            <w:shd w:val="clear" w:color="000000" w:fill="D9D9D9"/>
            <w:noWrap/>
            <w:vAlign w:val="bottom"/>
            <w:hideMark/>
          </w:tcPr>
          <w:p w14:paraId="6F2B266F"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2020</w:t>
            </w:r>
          </w:p>
        </w:tc>
        <w:tc>
          <w:tcPr>
            <w:tcW w:w="1235" w:type="dxa"/>
            <w:tcBorders>
              <w:top w:val="nil"/>
              <w:left w:val="nil"/>
              <w:bottom w:val="single" w:sz="4" w:space="0" w:color="auto"/>
              <w:right w:val="single" w:sz="4" w:space="0" w:color="auto"/>
            </w:tcBorders>
            <w:shd w:val="clear" w:color="000000" w:fill="D9D9D9"/>
            <w:noWrap/>
            <w:vAlign w:val="bottom"/>
            <w:hideMark/>
          </w:tcPr>
          <w:p w14:paraId="656E5C72"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2021</w:t>
            </w:r>
          </w:p>
        </w:tc>
      </w:tr>
      <w:tr w:rsidR="003F1E09" w:rsidRPr="00387FEB" w14:paraId="3DA30D68" w14:textId="77777777" w:rsidTr="00372B6D">
        <w:trPr>
          <w:trHeight w:val="272"/>
        </w:trPr>
        <w:tc>
          <w:tcPr>
            <w:tcW w:w="2235" w:type="dxa"/>
            <w:gridSpan w:val="2"/>
            <w:vMerge/>
            <w:tcBorders>
              <w:top w:val="single" w:sz="4" w:space="0" w:color="auto"/>
              <w:left w:val="single" w:sz="4" w:space="0" w:color="auto"/>
              <w:bottom w:val="single" w:sz="4" w:space="0" w:color="auto"/>
              <w:right w:val="single" w:sz="4" w:space="0" w:color="auto"/>
            </w:tcBorders>
            <w:vAlign w:val="center"/>
            <w:hideMark/>
          </w:tcPr>
          <w:p w14:paraId="28A3970B"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E659CA"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6E0F5739"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154" w:type="dxa"/>
            <w:tcBorders>
              <w:top w:val="nil"/>
              <w:left w:val="nil"/>
              <w:bottom w:val="nil"/>
              <w:right w:val="single" w:sz="4" w:space="0" w:color="auto"/>
            </w:tcBorders>
            <w:shd w:val="clear" w:color="000000" w:fill="D9D9D9"/>
            <w:noWrap/>
            <w:vAlign w:val="bottom"/>
            <w:hideMark/>
          </w:tcPr>
          <w:p w14:paraId="5D92126D" w14:textId="77777777" w:rsidR="003F1E09" w:rsidRPr="00387FEB" w:rsidRDefault="003F1E09" w:rsidP="003F1E09">
            <w:pPr>
              <w:suppressAutoHyphens w:val="0"/>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Limit 1</w:t>
            </w:r>
          </w:p>
        </w:tc>
        <w:tc>
          <w:tcPr>
            <w:tcW w:w="1154" w:type="dxa"/>
            <w:tcBorders>
              <w:top w:val="nil"/>
              <w:left w:val="nil"/>
              <w:bottom w:val="nil"/>
              <w:right w:val="single" w:sz="4" w:space="0" w:color="auto"/>
            </w:tcBorders>
            <w:shd w:val="clear" w:color="000000" w:fill="D9D9D9"/>
            <w:noWrap/>
            <w:vAlign w:val="bottom"/>
            <w:hideMark/>
          </w:tcPr>
          <w:p w14:paraId="47D9CF04" w14:textId="77777777" w:rsidR="003F1E09" w:rsidRPr="00387FEB" w:rsidRDefault="003F1E09" w:rsidP="003F1E09">
            <w:pPr>
              <w:suppressAutoHyphens w:val="0"/>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Limit 2</w:t>
            </w:r>
          </w:p>
        </w:tc>
        <w:tc>
          <w:tcPr>
            <w:tcW w:w="1235" w:type="dxa"/>
            <w:tcBorders>
              <w:top w:val="nil"/>
              <w:left w:val="nil"/>
              <w:bottom w:val="nil"/>
              <w:right w:val="single" w:sz="4" w:space="0" w:color="auto"/>
            </w:tcBorders>
            <w:shd w:val="clear" w:color="000000" w:fill="D9D9D9"/>
            <w:noWrap/>
            <w:vAlign w:val="bottom"/>
            <w:hideMark/>
          </w:tcPr>
          <w:p w14:paraId="09E7AA1E" w14:textId="77777777" w:rsidR="003F1E09" w:rsidRPr="00387FEB" w:rsidRDefault="003F1E09" w:rsidP="003F1E09">
            <w:pPr>
              <w:suppressAutoHyphens w:val="0"/>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UKUPNO</w:t>
            </w:r>
          </w:p>
        </w:tc>
        <w:tc>
          <w:tcPr>
            <w:tcW w:w="1235" w:type="dxa"/>
            <w:tcBorders>
              <w:top w:val="nil"/>
              <w:left w:val="nil"/>
              <w:bottom w:val="nil"/>
              <w:right w:val="single" w:sz="4" w:space="0" w:color="auto"/>
            </w:tcBorders>
            <w:shd w:val="clear" w:color="000000" w:fill="D9D9D9"/>
            <w:noWrap/>
            <w:vAlign w:val="bottom"/>
            <w:hideMark/>
          </w:tcPr>
          <w:p w14:paraId="1775F653" w14:textId="77777777" w:rsidR="003F1E09" w:rsidRPr="00387FEB" w:rsidRDefault="003F1E09" w:rsidP="003F1E09">
            <w:pPr>
              <w:suppressAutoHyphens w:val="0"/>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UKUPNO</w:t>
            </w:r>
          </w:p>
        </w:tc>
        <w:tc>
          <w:tcPr>
            <w:tcW w:w="1235" w:type="dxa"/>
            <w:tcBorders>
              <w:top w:val="nil"/>
              <w:left w:val="nil"/>
              <w:bottom w:val="nil"/>
              <w:right w:val="single" w:sz="4" w:space="0" w:color="auto"/>
            </w:tcBorders>
            <w:shd w:val="clear" w:color="000000" w:fill="D9D9D9"/>
            <w:noWrap/>
            <w:vAlign w:val="bottom"/>
            <w:hideMark/>
          </w:tcPr>
          <w:p w14:paraId="23779530" w14:textId="77777777" w:rsidR="003F1E09" w:rsidRPr="00387FEB" w:rsidRDefault="003F1E09" w:rsidP="003F1E09">
            <w:pPr>
              <w:suppressAutoHyphens w:val="0"/>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UKUPNO</w:t>
            </w:r>
          </w:p>
        </w:tc>
      </w:tr>
      <w:tr w:rsidR="003F1E09" w:rsidRPr="00387FEB" w14:paraId="7C1F7A4B" w14:textId="77777777" w:rsidTr="00372B6D">
        <w:trPr>
          <w:trHeight w:val="272"/>
        </w:trPr>
        <w:tc>
          <w:tcPr>
            <w:tcW w:w="42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34626C0" w14:textId="77777777" w:rsidR="003F1E09" w:rsidRPr="00387FEB" w:rsidRDefault="003F1E09" w:rsidP="003F1E09">
            <w:pPr>
              <w:suppressAutoHyphens w:val="0"/>
              <w:jc w:val="center"/>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JEDINSTVENI UPRAVNI ODJEL</w:t>
            </w:r>
          </w:p>
        </w:tc>
        <w:tc>
          <w:tcPr>
            <w:tcW w:w="1812" w:type="dxa"/>
            <w:tcBorders>
              <w:top w:val="nil"/>
              <w:left w:val="nil"/>
              <w:bottom w:val="single" w:sz="4" w:space="0" w:color="auto"/>
              <w:right w:val="single" w:sz="4" w:space="0" w:color="auto"/>
            </w:tcBorders>
            <w:shd w:val="clear" w:color="auto" w:fill="auto"/>
            <w:noWrap/>
            <w:vAlign w:val="bottom"/>
            <w:hideMark/>
          </w:tcPr>
          <w:p w14:paraId="254950AB" w14:textId="1DF28C76" w:rsidR="003F1E09" w:rsidRPr="00387FEB" w:rsidRDefault="00372B6D" w:rsidP="003F1E09">
            <w:pPr>
              <w:suppressAutoHyphens w:val="0"/>
              <w:rPr>
                <w:rFonts w:eastAsia="Times New Roman" w:cs="Calibri"/>
                <w:b/>
                <w:bCs/>
                <w:color w:val="000000"/>
                <w:sz w:val="16"/>
                <w:szCs w:val="16"/>
                <w:lang w:val="hr-HR" w:eastAsia="hr-HR"/>
              </w:rPr>
            </w:pPr>
            <w:r>
              <w:rPr>
                <w:rFonts w:eastAsia="Times New Roman" w:cs="Calibri"/>
                <w:b/>
                <w:bCs/>
                <w:color w:val="000000"/>
                <w:sz w:val="16"/>
                <w:szCs w:val="16"/>
                <w:lang w:val="hr-HR" w:eastAsia="hr-HR"/>
              </w:rPr>
              <w:t>Ured gradonačelnika</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08A87D73"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987.567,00</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42E169A3"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1.064.100,00</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5C9E6948"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990.000,00</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4439CB8B"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20.000,00</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78426BE9"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1.010.000,00</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2732B060"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1.000.000,00</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5EA5078C"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1.000.000,00</w:t>
            </w:r>
          </w:p>
        </w:tc>
      </w:tr>
      <w:tr w:rsidR="003F1E09" w:rsidRPr="00387FEB" w14:paraId="4931C73B" w14:textId="77777777" w:rsidTr="00372B6D">
        <w:trPr>
          <w:trHeight w:val="794"/>
        </w:trPr>
        <w:tc>
          <w:tcPr>
            <w:tcW w:w="423" w:type="dxa"/>
            <w:vMerge/>
            <w:tcBorders>
              <w:top w:val="nil"/>
              <w:left w:val="single" w:sz="4" w:space="0" w:color="auto"/>
              <w:bottom w:val="single" w:sz="4" w:space="0" w:color="auto"/>
              <w:right w:val="single" w:sz="4" w:space="0" w:color="auto"/>
            </w:tcBorders>
            <w:vAlign w:val="center"/>
            <w:hideMark/>
          </w:tcPr>
          <w:p w14:paraId="5EA399C9"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812" w:type="dxa"/>
            <w:tcBorders>
              <w:top w:val="nil"/>
              <w:left w:val="nil"/>
              <w:bottom w:val="single" w:sz="4" w:space="0" w:color="auto"/>
              <w:right w:val="single" w:sz="4" w:space="0" w:color="auto"/>
            </w:tcBorders>
            <w:shd w:val="clear" w:color="auto" w:fill="auto"/>
            <w:vAlign w:val="bottom"/>
            <w:hideMark/>
          </w:tcPr>
          <w:p w14:paraId="454FAEAD" w14:textId="009B2639" w:rsidR="003F1E09" w:rsidRPr="00387FEB" w:rsidRDefault="00372B6D" w:rsidP="003F1E09">
            <w:pPr>
              <w:suppressAutoHyphens w:val="0"/>
              <w:rPr>
                <w:rFonts w:eastAsia="Times New Roman" w:cs="Calibri"/>
                <w:b/>
                <w:bCs/>
                <w:color w:val="000000"/>
                <w:sz w:val="16"/>
                <w:szCs w:val="16"/>
                <w:lang w:val="hr-HR" w:eastAsia="hr-HR"/>
              </w:rPr>
            </w:pPr>
            <w:r>
              <w:rPr>
                <w:rFonts w:eastAsia="Times New Roman" w:cs="Calibri"/>
                <w:b/>
                <w:bCs/>
                <w:color w:val="000000"/>
                <w:sz w:val="16"/>
                <w:szCs w:val="16"/>
                <w:lang w:val="hr-HR" w:eastAsia="hr-HR"/>
              </w:rPr>
              <w:t>Odsjek za urbanizam, komunalno gospodarstvo i gospodarenje gradskom imovinom</w:t>
            </w:r>
          </w:p>
        </w:tc>
        <w:tc>
          <w:tcPr>
            <w:tcW w:w="1064" w:type="dxa"/>
            <w:tcBorders>
              <w:top w:val="nil"/>
              <w:left w:val="nil"/>
              <w:bottom w:val="single" w:sz="4" w:space="0" w:color="auto"/>
              <w:right w:val="single" w:sz="4" w:space="0" w:color="auto"/>
            </w:tcBorders>
            <w:shd w:val="clear" w:color="auto" w:fill="auto"/>
            <w:noWrap/>
            <w:vAlign w:val="bottom"/>
            <w:hideMark/>
          </w:tcPr>
          <w:p w14:paraId="1CED09F4"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29.509.099,00</w:t>
            </w:r>
          </w:p>
        </w:tc>
        <w:tc>
          <w:tcPr>
            <w:tcW w:w="1235" w:type="dxa"/>
            <w:tcBorders>
              <w:top w:val="nil"/>
              <w:left w:val="nil"/>
              <w:bottom w:val="single" w:sz="4" w:space="0" w:color="auto"/>
              <w:right w:val="single" w:sz="4" w:space="0" w:color="auto"/>
            </w:tcBorders>
            <w:shd w:val="clear" w:color="auto" w:fill="auto"/>
            <w:noWrap/>
            <w:vAlign w:val="bottom"/>
            <w:hideMark/>
          </w:tcPr>
          <w:p w14:paraId="4CA386B8"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64.178.825,00</w:t>
            </w:r>
          </w:p>
        </w:tc>
        <w:tc>
          <w:tcPr>
            <w:tcW w:w="1154" w:type="dxa"/>
            <w:tcBorders>
              <w:top w:val="nil"/>
              <w:left w:val="nil"/>
              <w:bottom w:val="single" w:sz="4" w:space="0" w:color="auto"/>
              <w:right w:val="single" w:sz="4" w:space="0" w:color="auto"/>
            </w:tcBorders>
            <w:shd w:val="clear" w:color="auto" w:fill="auto"/>
            <w:noWrap/>
            <w:vAlign w:val="bottom"/>
            <w:hideMark/>
          </w:tcPr>
          <w:p w14:paraId="387419B6"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37.000.000,00</w:t>
            </w:r>
          </w:p>
        </w:tc>
        <w:tc>
          <w:tcPr>
            <w:tcW w:w="1154" w:type="dxa"/>
            <w:tcBorders>
              <w:top w:val="nil"/>
              <w:left w:val="nil"/>
              <w:bottom w:val="single" w:sz="4" w:space="0" w:color="auto"/>
              <w:right w:val="single" w:sz="4" w:space="0" w:color="auto"/>
            </w:tcBorders>
            <w:shd w:val="clear" w:color="auto" w:fill="auto"/>
            <w:noWrap/>
            <w:vAlign w:val="bottom"/>
            <w:hideMark/>
          </w:tcPr>
          <w:p w14:paraId="590B1EED"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23.000.000,00</w:t>
            </w:r>
          </w:p>
        </w:tc>
        <w:tc>
          <w:tcPr>
            <w:tcW w:w="1235" w:type="dxa"/>
            <w:tcBorders>
              <w:top w:val="nil"/>
              <w:left w:val="nil"/>
              <w:bottom w:val="single" w:sz="4" w:space="0" w:color="auto"/>
              <w:right w:val="single" w:sz="4" w:space="0" w:color="auto"/>
            </w:tcBorders>
            <w:shd w:val="clear" w:color="auto" w:fill="auto"/>
            <w:noWrap/>
            <w:vAlign w:val="bottom"/>
            <w:hideMark/>
          </w:tcPr>
          <w:p w14:paraId="1AAE52B3"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60.000.000,00</w:t>
            </w:r>
          </w:p>
        </w:tc>
        <w:tc>
          <w:tcPr>
            <w:tcW w:w="1235" w:type="dxa"/>
            <w:tcBorders>
              <w:top w:val="nil"/>
              <w:left w:val="nil"/>
              <w:bottom w:val="single" w:sz="4" w:space="0" w:color="auto"/>
              <w:right w:val="single" w:sz="4" w:space="0" w:color="auto"/>
            </w:tcBorders>
            <w:shd w:val="clear" w:color="auto" w:fill="auto"/>
            <w:noWrap/>
            <w:vAlign w:val="bottom"/>
            <w:hideMark/>
          </w:tcPr>
          <w:p w14:paraId="2CA76662"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60.000.000,00</w:t>
            </w:r>
          </w:p>
        </w:tc>
        <w:tc>
          <w:tcPr>
            <w:tcW w:w="1235" w:type="dxa"/>
            <w:tcBorders>
              <w:top w:val="nil"/>
              <w:left w:val="nil"/>
              <w:bottom w:val="single" w:sz="4" w:space="0" w:color="auto"/>
              <w:right w:val="single" w:sz="4" w:space="0" w:color="auto"/>
            </w:tcBorders>
            <w:shd w:val="clear" w:color="auto" w:fill="auto"/>
            <w:noWrap/>
            <w:vAlign w:val="bottom"/>
            <w:hideMark/>
          </w:tcPr>
          <w:p w14:paraId="2D0F90C6"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60.000.000,00</w:t>
            </w:r>
          </w:p>
        </w:tc>
      </w:tr>
      <w:tr w:rsidR="003F1E09" w:rsidRPr="00387FEB" w14:paraId="3B0C8472" w14:textId="77777777" w:rsidTr="00372B6D">
        <w:trPr>
          <w:trHeight w:val="408"/>
        </w:trPr>
        <w:tc>
          <w:tcPr>
            <w:tcW w:w="423" w:type="dxa"/>
            <w:vMerge/>
            <w:tcBorders>
              <w:top w:val="nil"/>
              <w:left w:val="single" w:sz="4" w:space="0" w:color="auto"/>
              <w:bottom w:val="single" w:sz="4" w:space="0" w:color="auto"/>
              <w:right w:val="single" w:sz="4" w:space="0" w:color="auto"/>
            </w:tcBorders>
            <w:vAlign w:val="center"/>
            <w:hideMark/>
          </w:tcPr>
          <w:p w14:paraId="15B51155"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812" w:type="dxa"/>
            <w:tcBorders>
              <w:top w:val="nil"/>
              <w:left w:val="nil"/>
              <w:bottom w:val="single" w:sz="4" w:space="0" w:color="auto"/>
              <w:right w:val="single" w:sz="4" w:space="0" w:color="auto"/>
            </w:tcBorders>
            <w:shd w:val="clear" w:color="auto" w:fill="auto"/>
            <w:vAlign w:val="bottom"/>
            <w:hideMark/>
          </w:tcPr>
          <w:p w14:paraId="5E6696C2" w14:textId="76C4856B" w:rsidR="003F1E09" w:rsidRPr="00387FEB" w:rsidRDefault="00372B6D" w:rsidP="003F1E09">
            <w:pPr>
              <w:suppressAutoHyphens w:val="0"/>
              <w:rPr>
                <w:rFonts w:eastAsia="Times New Roman" w:cs="Calibri"/>
                <w:b/>
                <w:bCs/>
                <w:color w:val="000000"/>
                <w:sz w:val="16"/>
                <w:szCs w:val="16"/>
                <w:lang w:val="hr-HR" w:eastAsia="hr-HR"/>
              </w:rPr>
            </w:pPr>
            <w:r>
              <w:rPr>
                <w:rFonts w:eastAsia="Times New Roman" w:cs="Calibri"/>
                <w:b/>
                <w:bCs/>
                <w:color w:val="000000"/>
                <w:sz w:val="16"/>
                <w:szCs w:val="16"/>
                <w:lang w:val="hr-HR" w:eastAsia="hr-HR"/>
              </w:rPr>
              <w:t>Odsjek za pravne, kadrovske poslove i samoupravu</w:t>
            </w:r>
          </w:p>
        </w:tc>
        <w:tc>
          <w:tcPr>
            <w:tcW w:w="1064" w:type="dxa"/>
            <w:tcBorders>
              <w:top w:val="nil"/>
              <w:left w:val="nil"/>
              <w:bottom w:val="single" w:sz="4" w:space="0" w:color="auto"/>
              <w:right w:val="single" w:sz="4" w:space="0" w:color="auto"/>
            </w:tcBorders>
            <w:shd w:val="clear" w:color="auto" w:fill="auto"/>
            <w:noWrap/>
            <w:vAlign w:val="bottom"/>
            <w:hideMark/>
          </w:tcPr>
          <w:p w14:paraId="20B2891D"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30.949.632,19</w:t>
            </w:r>
          </w:p>
        </w:tc>
        <w:tc>
          <w:tcPr>
            <w:tcW w:w="1235" w:type="dxa"/>
            <w:tcBorders>
              <w:top w:val="nil"/>
              <w:left w:val="nil"/>
              <w:bottom w:val="single" w:sz="4" w:space="0" w:color="auto"/>
              <w:right w:val="single" w:sz="4" w:space="0" w:color="auto"/>
            </w:tcBorders>
            <w:shd w:val="clear" w:color="auto" w:fill="auto"/>
            <w:noWrap/>
            <w:vAlign w:val="bottom"/>
            <w:hideMark/>
          </w:tcPr>
          <w:p w14:paraId="7C42E1F1"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37.425.566,00</w:t>
            </w:r>
          </w:p>
        </w:tc>
        <w:tc>
          <w:tcPr>
            <w:tcW w:w="1154" w:type="dxa"/>
            <w:tcBorders>
              <w:top w:val="nil"/>
              <w:left w:val="nil"/>
              <w:bottom w:val="single" w:sz="4" w:space="0" w:color="auto"/>
              <w:right w:val="single" w:sz="4" w:space="0" w:color="auto"/>
            </w:tcBorders>
            <w:shd w:val="clear" w:color="auto" w:fill="auto"/>
            <w:noWrap/>
            <w:vAlign w:val="bottom"/>
            <w:hideMark/>
          </w:tcPr>
          <w:p w14:paraId="2CE2D489"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31.000.000,00</w:t>
            </w:r>
          </w:p>
        </w:tc>
        <w:tc>
          <w:tcPr>
            <w:tcW w:w="1154" w:type="dxa"/>
            <w:tcBorders>
              <w:top w:val="nil"/>
              <w:left w:val="nil"/>
              <w:bottom w:val="single" w:sz="4" w:space="0" w:color="auto"/>
              <w:right w:val="single" w:sz="4" w:space="0" w:color="auto"/>
            </w:tcBorders>
            <w:shd w:val="clear" w:color="auto" w:fill="auto"/>
            <w:noWrap/>
            <w:vAlign w:val="bottom"/>
            <w:hideMark/>
          </w:tcPr>
          <w:p w14:paraId="15005A86"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1.000.000,00</w:t>
            </w:r>
          </w:p>
        </w:tc>
        <w:tc>
          <w:tcPr>
            <w:tcW w:w="1235" w:type="dxa"/>
            <w:tcBorders>
              <w:top w:val="nil"/>
              <w:left w:val="nil"/>
              <w:bottom w:val="single" w:sz="4" w:space="0" w:color="auto"/>
              <w:right w:val="single" w:sz="4" w:space="0" w:color="auto"/>
            </w:tcBorders>
            <w:shd w:val="clear" w:color="auto" w:fill="auto"/>
            <w:noWrap/>
            <w:vAlign w:val="bottom"/>
            <w:hideMark/>
          </w:tcPr>
          <w:p w14:paraId="499D767C"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32.000.000,00</w:t>
            </w:r>
          </w:p>
        </w:tc>
        <w:tc>
          <w:tcPr>
            <w:tcW w:w="1235" w:type="dxa"/>
            <w:tcBorders>
              <w:top w:val="nil"/>
              <w:left w:val="nil"/>
              <w:bottom w:val="single" w:sz="4" w:space="0" w:color="auto"/>
              <w:right w:val="single" w:sz="4" w:space="0" w:color="auto"/>
            </w:tcBorders>
            <w:shd w:val="clear" w:color="auto" w:fill="auto"/>
            <w:noWrap/>
            <w:vAlign w:val="bottom"/>
            <w:hideMark/>
          </w:tcPr>
          <w:p w14:paraId="38D7488A"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32.000.000,00</w:t>
            </w:r>
          </w:p>
        </w:tc>
        <w:tc>
          <w:tcPr>
            <w:tcW w:w="1235" w:type="dxa"/>
            <w:tcBorders>
              <w:top w:val="nil"/>
              <w:left w:val="nil"/>
              <w:bottom w:val="single" w:sz="4" w:space="0" w:color="auto"/>
              <w:right w:val="single" w:sz="4" w:space="0" w:color="auto"/>
            </w:tcBorders>
            <w:shd w:val="clear" w:color="auto" w:fill="auto"/>
            <w:noWrap/>
            <w:vAlign w:val="bottom"/>
            <w:hideMark/>
          </w:tcPr>
          <w:p w14:paraId="3606B9A3"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32.000.000,00</w:t>
            </w:r>
          </w:p>
        </w:tc>
      </w:tr>
      <w:tr w:rsidR="003F1E09" w:rsidRPr="00387FEB" w14:paraId="3F4A6744" w14:textId="77777777" w:rsidTr="00372B6D">
        <w:trPr>
          <w:trHeight w:val="602"/>
        </w:trPr>
        <w:tc>
          <w:tcPr>
            <w:tcW w:w="423" w:type="dxa"/>
            <w:vMerge/>
            <w:tcBorders>
              <w:top w:val="nil"/>
              <w:left w:val="single" w:sz="4" w:space="0" w:color="auto"/>
              <w:bottom w:val="single" w:sz="4" w:space="0" w:color="auto"/>
              <w:right w:val="single" w:sz="4" w:space="0" w:color="auto"/>
            </w:tcBorders>
            <w:vAlign w:val="center"/>
            <w:hideMark/>
          </w:tcPr>
          <w:p w14:paraId="6A41E845"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812" w:type="dxa"/>
            <w:tcBorders>
              <w:top w:val="nil"/>
              <w:left w:val="nil"/>
              <w:bottom w:val="single" w:sz="4" w:space="0" w:color="auto"/>
              <w:right w:val="single" w:sz="4" w:space="0" w:color="auto"/>
            </w:tcBorders>
            <w:shd w:val="clear" w:color="auto" w:fill="auto"/>
            <w:vAlign w:val="bottom"/>
            <w:hideMark/>
          </w:tcPr>
          <w:p w14:paraId="7D789D9E" w14:textId="545E48DC" w:rsidR="003F1E09" w:rsidRPr="00387FEB" w:rsidRDefault="00372B6D" w:rsidP="003F1E09">
            <w:pPr>
              <w:suppressAutoHyphens w:val="0"/>
              <w:rPr>
                <w:rFonts w:eastAsia="Times New Roman" w:cs="Calibri"/>
                <w:b/>
                <w:bCs/>
                <w:color w:val="000000"/>
                <w:sz w:val="16"/>
                <w:szCs w:val="16"/>
                <w:lang w:val="hr-HR" w:eastAsia="hr-HR"/>
              </w:rPr>
            </w:pPr>
            <w:r>
              <w:rPr>
                <w:rFonts w:eastAsia="Times New Roman" w:cs="Calibri"/>
                <w:b/>
                <w:bCs/>
                <w:color w:val="000000"/>
                <w:sz w:val="16"/>
                <w:szCs w:val="16"/>
                <w:lang w:val="hr-HR" w:eastAsia="hr-HR"/>
              </w:rPr>
              <w:t>Odsjek za proračun, financije, javnu nabavu i EU projekte</w:t>
            </w:r>
          </w:p>
        </w:tc>
        <w:tc>
          <w:tcPr>
            <w:tcW w:w="1064" w:type="dxa"/>
            <w:tcBorders>
              <w:top w:val="nil"/>
              <w:left w:val="nil"/>
              <w:bottom w:val="single" w:sz="4" w:space="0" w:color="auto"/>
              <w:right w:val="single" w:sz="4" w:space="0" w:color="auto"/>
            </w:tcBorders>
            <w:shd w:val="clear" w:color="auto" w:fill="auto"/>
            <w:noWrap/>
            <w:vAlign w:val="bottom"/>
            <w:hideMark/>
          </w:tcPr>
          <w:p w14:paraId="1743AE96"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3.357.613,83</w:t>
            </w:r>
          </w:p>
        </w:tc>
        <w:tc>
          <w:tcPr>
            <w:tcW w:w="1235" w:type="dxa"/>
            <w:tcBorders>
              <w:top w:val="nil"/>
              <w:left w:val="nil"/>
              <w:bottom w:val="single" w:sz="4" w:space="0" w:color="auto"/>
              <w:right w:val="single" w:sz="4" w:space="0" w:color="auto"/>
            </w:tcBorders>
            <w:shd w:val="clear" w:color="auto" w:fill="auto"/>
            <w:noWrap/>
            <w:vAlign w:val="bottom"/>
            <w:hideMark/>
          </w:tcPr>
          <w:p w14:paraId="1A8D7175"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2.712.175,00</w:t>
            </w:r>
          </w:p>
        </w:tc>
        <w:tc>
          <w:tcPr>
            <w:tcW w:w="1154" w:type="dxa"/>
            <w:tcBorders>
              <w:top w:val="nil"/>
              <w:left w:val="nil"/>
              <w:bottom w:val="single" w:sz="4" w:space="0" w:color="auto"/>
              <w:right w:val="single" w:sz="4" w:space="0" w:color="auto"/>
            </w:tcBorders>
            <w:shd w:val="clear" w:color="auto" w:fill="auto"/>
            <w:noWrap/>
            <w:vAlign w:val="bottom"/>
            <w:hideMark/>
          </w:tcPr>
          <w:p w14:paraId="3F465B7D"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3.000.000,00</w:t>
            </w:r>
          </w:p>
        </w:tc>
        <w:tc>
          <w:tcPr>
            <w:tcW w:w="1154" w:type="dxa"/>
            <w:tcBorders>
              <w:top w:val="nil"/>
              <w:left w:val="nil"/>
              <w:bottom w:val="single" w:sz="4" w:space="0" w:color="auto"/>
              <w:right w:val="single" w:sz="4" w:space="0" w:color="auto"/>
            </w:tcBorders>
            <w:shd w:val="clear" w:color="auto" w:fill="auto"/>
            <w:noWrap/>
            <w:vAlign w:val="bottom"/>
            <w:hideMark/>
          </w:tcPr>
          <w:p w14:paraId="093096EA"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4.000.000,00</w:t>
            </w:r>
          </w:p>
        </w:tc>
        <w:tc>
          <w:tcPr>
            <w:tcW w:w="1235" w:type="dxa"/>
            <w:tcBorders>
              <w:top w:val="nil"/>
              <w:left w:val="nil"/>
              <w:bottom w:val="single" w:sz="4" w:space="0" w:color="auto"/>
              <w:right w:val="single" w:sz="4" w:space="0" w:color="auto"/>
            </w:tcBorders>
            <w:shd w:val="clear" w:color="auto" w:fill="auto"/>
            <w:noWrap/>
            <w:vAlign w:val="bottom"/>
            <w:hideMark/>
          </w:tcPr>
          <w:p w14:paraId="281A53F2"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7.000.000,00</w:t>
            </w:r>
          </w:p>
        </w:tc>
        <w:tc>
          <w:tcPr>
            <w:tcW w:w="1235" w:type="dxa"/>
            <w:tcBorders>
              <w:top w:val="nil"/>
              <w:left w:val="nil"/>
              <w:bottom w:val="single" w:sz="4" w:space="0" w:color="auto"/>
              <w:right w:val="single" w:sz="4" w:space="0" w:color="auto"/>
            </w:tcBorders>
            <w:shd w:val="clear" w:color="auto" w:fill="auto"/>
            <w:noWrap/>
            <w:vAlign w:val="bottom"/>
            <w:hideMark/>
          </w:tcPr>
          <w:p w14:paraId="15132297"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7.000.000,00</w:t>
            </w:r>
          </w:p>
        </w:tc>
        <w:tc>
          <w:tcPr>
            <w:tcW w:w="1235" w:type="dxa"/>
            <w:tcBorders>
              <w:top w:val="nil"/>
              <w:left w:val="nil"/>
              <w:bottom w:val="single" w:sz="4" w:space="0" w:color="auto"/>
              <w:right w:val="single" w:sz="4" w:space="0" w:color="auto"/>
            </w:tcBorders>
            <w:shd w:val="clear" w:color="auto" w:fill="auto"/>
            <w:noWrap/>
            <w:vAlign w:val="bottom"/>
            <w:hideMark/>
          </w:tcPr>
          <w:p w14:paraId="1A22ACC3"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7.000.000,00</w:t>
            </w:r>
          </w:p>
        </w:tc>
      </w:tr>
      <w:tr w:rsidR="003F1E09" w:rsidRPr="00387FEB" w14:paraId="257618FA" w14:textId="77777777" w:rsidTr="00372B6D">
        <w:trPr>
          <w:trHeight w:val="408"/>
        </w:trPr>
        <w:tc>
          <w:tcPr>
            <w:tcW w:w="423" w:type="dxa"/>
            <w:vMerge/>
            <w:tcBorders>
              <w:top w:val="nil"/>
              <w:left w:val="single" w:sz="4" w:space="0" w:color="auto"/>
              <w:bottom w:val="single" w:sz="4" w:space="0" w:color="auto"/>
              <w:right w:val="single" w:sz="4" w:space="0" w:color="auto"/>
            </w:tcBorders>
            <w:vAlign w:val="center"/>
            <w:hideMark/>
          </w:tcPr>
          <w:p w14:paraId="24687EE9"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812" w:type="dxa"/>
            <w:tcBorders>
              <w:top w:val="nil"/>
              <w:left w:val="nil"/>
              <w:bottom w:val="single" w:sz="4" w:space="0" w:color="auto"/>
              <w:right w:val="single" w:sz="4" w:space="0" w:color="auto"/>
            </w:tcBorders>
            <w:shd w:val="clear" w:color="auto" w:fill="auto"/>
            <w:vAlign w:val="bottom"/>
            <w:hideMark/>
          </w:tcPr>
          <w:p w14:paraId="57D97700" w14:textId="5A22F294" w:rsidR="003F1E09" w:rsidRPr="00387FEB" w:rsidRDefault="00372B6D" w:rsidP="003F1E09">
            <w:pPr>
              <w:suppressAutoHyphens w:val="0"/>
              <w:rPr>
                <w:rFonts w:eastAsia="Times New Roman" w:cs="Calibri"/>
                <w:b/>
                <w:bCs/>
                <w:color w:val="000000"/>
                <w:sz w:val="16"/>
                <w:szCs w:val="16"/>
                <w:lang w:val="hr-HR" w:eastAsia="hr-HR"/>
              </w:rPr>
            </w:pPr>
            <w:r>
              <w:rPr>
                <w:rFonts w:eastAsia="Times New Roman" w:cs="Calibri"/>
                <w:b/>
                <w:bCs/>
                <w:color w:val="000000"/>
                <w:sz w:val="16"/>
                <w:szCs w:val="16"/>
                <w:lang w:val="hr-HR" w:eastAsia="hr-HR"/>
              </w:rPr>
              <w:t>Odsjek za turizam, gospodarstvo i poljoprivredu</w:t>
            </w:r>
          </w:p>
        </w:tc>
        <w:tc>
          <w:tcPr>
            <w:tcW w:w="1064" w:type="dxa"/>
            <w:tcBorders>
              <w:top w:val="nil"/>
              <w:left w:val="nil"/>
              <w:bottom w:val="single" w:sz="4" w:space="0" w:color="auto"/>
              <w:right w:val="single" w:sz="4" w:space="0" w:color="auto"/>
            </w:tcBorders>
            <w:shd w:val="clear" w:color="auto" w:fill="auto"/>
            <w:noWrap/>
            <w:vAlign w:val="bottom"/>
            <w:hideMark/>
          </w:tcPr>
          <w:p w14:paraId="4CB72A58"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1.209.666,73</w:t>
            </w:r>
          </w:p>
        </w:tc>
        <w:tc>
          <w:tcPr>
            <w:tcW w:w="1235" w:type="dxa"/>
            <w:tcBorders>
              <w:top w:val="nil"/>
              <w:left w:val="nil"/>
              <w:bottom w:val="single" w:sz="4" w:space="0" w:color="auto"/>
              <w:right w:val="single" w:sz="4" w:space="0" w:color="auto"/>
            </w:tcBorders>
            <w:shd w:val="clear" w:color="auto" w:fill="auto"/>
            <w:noWrap/>
            <w:vAlign w:val="bottom"/>
            <w:hideMark/>
          </w:tcPr>
          <w:p w14:paraId="29E048AA"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2.104.225,00</w:t>
            </w:r>
          </w:p>
        </w:tc>
        <w:tc>
          <w:tcPr>
            <w:tcW w:w="1154" w:type="dxa"/>
            <w:tcBorders>
              <w:top w:val="nil"/>
              <w:left w:val="nil"/>
              <w:bottom w:val="single" w:sz="4" w:space="0" w:color="auto"/>
              <w:right w:val="single" w:sz="4" w:space="0" w:color="auto"/>
            </w:tcBorders>
            <w:shd w:val="clear" w:color="auto" w:fill="auto"/>
            <w:noWrap/>
            <w:vAlign w:val="bottom"/>
            <w:hideMark/>
          </w:tcPr>
          <w:p w14:paraId="1C505B4E"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1.200.000,00</w:t>
            </w:r>
          </w:p>
        </w:tc>
        <w:tc>
          <w:tcPr>
            <w:tcW w:w="1154" w:type="dxa"/>
            <w:tcBorders>
              <w:top w:val="nil"/>
              <w:left w:val="nil"/>
              <w:bottom w:val="single" w:sz="4" w:space="0" w:color="auto"/>
              <w:right w:val="single" w:sz="4" w:space="0" w:color="auto"/>
            </w:tcBorders>
            <w:shd w:val="clear" w:color="auto" w:fill="auto"/>
            <w:noWrap/>
            <w:vAlign w:val="bottom"/>
            <w:hideMark/>
          </w:tcPr>
          <w:p w14:paraId="51CB85FE"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2.000.000,00</w:t>
            </w:r>
          </w:p>
        </w:tc>
        <w:tc>
          <w:tcPr>
            <w:tcW w:w="1235" w:type="dxa"/>
            <w:tcBorders>
              <w:top w:val="nil"/>
              <w:left w:val="nil"/>
              <w:bottom w:val="single" w:sz="4" w:space="0" w:color="auto"/>
              <w:right w:val="single" w:sz="4" w:space="0" w:color="auto"/>
            </w:tcBorders>
            <w:shd w:val="clear" w:color="auto" w:fill="auto"/>
            <w:noWrap/>
            <w:vAlign w:val="bottom"/>
            <w:hideMark/>
          </w:tcPr>
          <w:p w14:paraId="07E04621"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3.200.000,00</w:t>
            </w:r>
          </w:p>
        </w:tc>
        <w:tc>
          <w:tcPr>
            <w:tcW w:w="1235" w:type="dxa"/>
            <w:tcBorders>
              <w:top w:val="nil"/>
              <w:left w:val="nil"/>
              <w:bottom w:val="single" w:sz="4" w:space="0" w:color="auto"/>
              <w:right w:val="single" w:sz="4" w:space="0" w:color="auto"/>
            </w:tcBorders>
            <w:shd w:val="clear" w:color="auto" w:fill="auto"/>
            <w:noWrap/>
            <w:vAlign w:val="bottom"/>
            <w:hideMark/>
          </w:tcPr>
          <w:p w14:paraId="41EF2632"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3.200.000,00</w:t>
            </w:r>
          </w:p>
        </w:tc>
        <w:tc>
          <w:tcPr>
            <w:tcW w:w="1235" w:type="dxa"/>
            <w:tcBorders>
              <w:top w:val="nil"/>
              <w:left w:val="nil"/>
              <w:bottom w:val="single" w:sz="4" w:space="0" w:color="auto"/>
              <w:right w:val="single" w:sz="4" w:space="0" w:color="auto"/>
            </w:tcBorders>
            <w:shd w:val="clear" w:color="auto" w:fill="auto"/>
            <w:noWrap/>
            <w:vAlign w:val="bottom"/>
            <w:hideMark/>
          </w:tcPr>
          <w:p w14:paraId="0E992D93"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3.200.000,00</w:t>
            </w:r>
          </w:p>
        </w:tc>
      </w:tr>
      <w:tr w:rsidR="003F1E09" w:rsidRPr="00387FEB" w14:paraId="6A6D5846" w14:textId="77777777" w:rsidTr="00372B6D">
        <w:trPr>
          <w:trHeight w:val="272"/>
        </w:trPr>
        <w:tc>
          <w:tcPr>
            <w:tcW w:w="423" w:type="dxa"/>
            <w:vMerge/>
            <w:tcBorders>
              <w:top w:val="nil"/>
              <w:left w:val="single" w:sz="4" w:space="0" w:color="auto"/>
              <w:bottom w:val="single" w:sz="4" w:space="0" w:color="auto"/>
              <w:right w:val="single" w:sz="4" w:space="0" w:color="auto"/>
            </w:tcBorders>
            <w:vAlign w:val="center"/>
            <w:hideMark/>
          </w:tcPr>
          <w:p w14:paraId="3EA8E79E"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812" w:type="dxa"/>
            <w:tcBorders>
              <w:top w:val="nil"/>
              <w:left w:val="nil"/>
              <w:bottom w:val="single" w:sz="4" w:space="0" w:color="auto"/>
              <w:right w:val="single" w:sz="4" w:space="0" w:color="auto"/>
            </w:tcBorders>
            <w:shd w:val="clear" w:color="auto" w:fill="auto"/>
            <w:vAlign w:val="bottom"/>
            <w:hideMark/>
          </w:tcPr>
          <w:p w14:paraId="70CA6619" w14:textId="4B6BC8AF" w:rsidR="003F1E09" w:rsidRPr="00387FEB" w:rsidRDefault="00372B6D" w:rsidP="003F1E09">
            <w:pPr>
              <w:suppressAutoHyphens w:val="0"/>
              <w:rPr>
                <w:rFonts w:eastAsia="Times New Roman" w:cs="Calibri"/>
                <w:b/>
                <w:bCs/>
                <w:color w:val="000000"/>
                <w:sz w:val="16"/>
                <w:szCs w:val="16"/>
                <w:lang w:val="hr-HR" w:eastAsia="hr-HR"/>
              </w:rPr>
            </w:pPr>
            <w:r>
              <w:rPr>
                <w:rFonts w:eastAsia="Times New Roman" w:cs="Calibri"/>
                <w:b/>
                <w:bCs/>
                <w:color w:val="000000"/>
                <w:sz w:val="16"/>
                <w:szCs w:val="16"/>
                <w:lang w:val="hr-HR" w:eastAsia="hr-HR"/>
              </w:rPr>
              <w:t>Odsjek za opće poslove i socijalnu skrb</w:t>
            </w:r>
          </w:p>
        </w:tc>
        <w:tc>
          <w:tcPr>
            <w:tcW w:w="1064" w:type="dxa"/>
            <w:tcBorders>
              <w:top w:val="nil"/>
              <w:left w:val="nil"/>
              <w:bottom w:val="single" w:sz="4" w:space="0" w:color="auto"/>
              <w:right w:val="single" w:sz="4" w:space="0" w:color="auto"/>
            </w:tcBorders>
            <w:shd w:val="clear" w:color="auto" w:fill="auto"/>
            <w:noWrap/>
            <w:vAlign w:val="bottom"/>
            <w:hideMark/>
          </w:tcPr>
          <w:p w14:paraId="1FBBB4C9"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1.889.186,00</w:t>
            </w:r>
          </w:p>
        </w:tc>
        <w:tc>
          <w:tcPr>
            <w:tcW w:w="1235" w:type="dxa"/>
            <w:tcBorders>
              <w:top w:val="nil"/>
              <w:left w:val="nil"/>
              <w:bottom w:val="single" w:sz="4" w:space="0" w:color="auto"/>
              <w:right w:val="single" w:sz="4" w:space="0" w:color="auto"/>
            </w:tcBorders>
            <w:shd w:val="clear" w:color="auto" w:fill="auto"/>
            <w:noWrap/>
            <w:vAlign w:val="bottom"/>
            <w:hideMark/>
          </w:tcPr>
          <w:p w14:paraId="7F13457A"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2.148.000,00</w:t>
            </w:r>
          </w:p>
        </w:tc>
        <w:tc>
          <w:tcPr>
            <w:tcW w:w="1154" w:type="dxa"/>
            <w:tcBorders>
              <w:top w:val="nil"/>
              <w:left w:val="nil"/>
              <w:bottom w:val="single" w:sz="4" w:space="0" w:color="auto"/>
              <w:right w:val="single" w:sz="4" w:space="0" w:color="auto"/>
            </w:tcBorders>
            <w:shd w:val="clear" w:color="auto" w:fill="auto"/>
            <w:noWrap/>
            <w:vAlign w:val="bottom"/>
            <w:hideMark/>
          </w:tcPr>
          <w:p w14:paraId="215D5DF2"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2.100.000,00</w:t>
            </w:r>
          </w:p>
        </w:tc>
        <w:tc>
          <w:tcPr>
            <w:tcW w:w="1154" w:type="dxa"/>
            <w:tcBorders>
              <w:top w:val="nil"/>
              <w:left w:val="nil"/>
              <w:bottom w:val="single" w:sz="4" w:space="0" w:color="auto"/>
              <w:right w:val="single" w:sz="4" w:space="0" w:color="auto"/>
            </w:tcBorders>
            <w:shd w:val="clear" w:color="auto" w:fill="auto"/>
            <w:noWrap/>
            <w:vAlign w:val="bottom"/>
            <w:hideMark/>
          </w:tcPr>
          <w:p w14:paraId="15E9D3E0"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0,00</w:t>
            </w:r>
          </w:p>
        </w:tc>
        <w:tc>
          <w:tcPr>
            <w:tcW w:w="1235" w:type="dxa"/>
            <w:tcBorders>
              <w:top w:val="nil"/>
              <w:left w:val="nil"/>
              <w:bottom w:val="single" w:sz="4" w:space="0" w:color="auto"/>
              <w:right w:val="single" w:sz="4" w:space="0" w:color="auto"/>
            </w:tcBorders>
            <w:shd w:val="clear" w:color="auto" w:fill="auto"/>
            <w:noWrap/>
            <w:vAlign w:val="bottom"/>
            <w:hideMark/>
          </w:tcPr>
          <w:p w14:paraId="4671EC60"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2.100.000,00</w:t>
            </w:r>
          </w:p>
        </w:tc>
        <w:tc>
          <w:tcPr>
            <w:tcW w:w="1235" w:type="dxa"/>
            <w:tcBorders>
              <w:top w:val="nil"/>
              <w:left w:val="nil"/>
              <w:bottom w:val="single" w:sz="4" w:space="0" w:color="auto"/>
              <w:right w:val="single" w:sz="4" w:space="0" w:color="auto"/>
            </w:tcBorders>
            <w:shd w:val="clear" w:color="auto" w:fill="auto"/>
            <w:noWrap/>
            <w:vAlign w:val="bottom"/>
            <w:hideMark/>
          </w:tcPr>
          <w:p w14:paraId="1B85FAF7"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2.100.000,00</w:t>
            </w:r>
          </w:p>
        </w:tc>
        <w:tc>
          <w:tcPr>
            <w:tcW w:w="1235" w:type="dxa"/>
            <w:tcBorders>
              <w:top w:val="nil"/>
              <w:left w:val="nil"/>
              <w:bottom w:val="single" w:sz="4" w:space="0" w:color="auto"/>
              <w:right w:val="single" w:sz="4" w:space="0" w:color="auto"/>
            </w:tcBorders>
            <w:shd w:val="clear" w:color="auto" w:fill="auto"/>
            <w:noWrap/>
            <w:vAlign w:val="bottom"/>
            <w:hideMark/>
          </w:tcPr>
          <w:p w14:paraId="7DF99245"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2.100.000,00</w:t>
            </w:r>
          </w:p>
        </w:tc>
      </w:tr>
      <w:tr w:rsidR="003F1E09" w:rsidRPr="00387FEB" w14:paraId="44B61CB9" w14:textId="77777777" w:rsidTr="00372B6D">
        <w:trPr>
          <w:trHeight w:val="272"/>
        </w:trPr>
        <w:tc>
          <w:tcPr>
            <w:tcW w:w="423" w:type="dxa"/>
            <w:vMerge/>
            <w:tcBorders>
              <w:top w:val="nil"/>
              <w:left w:val="single" w:sz="4" w:space="0" w:color="auto"/>
              <w:bottom w:val="nil"/>
              <w:right w:val="single" w:sz="4" w:space="0" w:color="auto"/>
            </w:tcBorders>
            <w:vAlign w:val="center"/>
            <w:hideMark/>
          </w:tcPr>
          <w:p w14:paraId="7FE07554" w14:textId="77777777" w:rsidR="003F1E09" w:rsidRPr="00387FEB" w:rsidRDefault="003F1E09" w:rsidP="003F1E09">
            <w:pPr>
              <w:suppressAutoHyphens w:val="0"/>
              <w:rPr>
                <w:rFonts w:eastAsia="Times New Roman" w:cs="Calibri"/>
                <w:b/>
                <w:bCs/>
                <w:color w:val="000000"/>
                <w:sz w:val="16"/>
                <w:szCs w:val="16"/>
                <w:lang w:val="hr-HR" w:eastAsia="hr-HR"/>
              </w:rPr>
            </w:pPr>
          </w:p>
        </w:tc>
        <w:tc>
          <w:tcPr>
            <w:tcW w:w="1812" w:type="dxa"/>
            <w:tcBorders>
              <w:top w:val="nil"/>
              <w:left w:val="nil"/>
              <w:bottom w:val="nil"/>
              <w:right w:val="single" w:sz="4" w:space="0" w:color="auto"/>
            </w:tcBorders>
            <w:shd w:val="clear" w:color="auto" w:fill="auto"/>
            <w:vAlign w:val="bottom"/>
            <w:hideMark/>
          </w:tcPr>
          <w:p w14:paraId="61021A0A" w14:textId="77777777" w:rsidR="003F1E09" w:rsidRPr="00387FEB" w:rsidRDefault="003F1E09" w:rsidP="003F1E09">
            <w:pPr>
              <w:suppressAutoHyphens w:val="0"/>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UKUPNO JUO</w:t>
            </w:r>
          </w:p>
        </w:tc>
        <w:tc>
          <w:tcPr>
            <w:tcW w:w="1064" w:type="dxa"/>
            <w:tcBorders>
              <w:top w:val="nil"/>
              <w:left w:val="nil"/>
              <w:bottom w:val="nil"/>
              <w:right w:val="single" w:sz="4" w:space="0" w:color="auto"/>
            </w:tcBorders>
            <w:shd w:val="clear" w:color="auto" w:fill="auto"/>
            <w:noWrap/>
            <w:vAlign w:val="bottom"/>
            <w:hideMark/>
          </w:tcPr>
          <w:p w14:paraId="28ADDBA8"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67.902.764,75</w:t>
            </w:r>
          </w:p>
        </w:tc>
        <w:tc>
          <w:tcPr>
            <w:tcW w:w="1235" w:type="dxa"/>
            <w:tcBorders>
              <w:top w:val="nil"/>
              <w:left w:val="nil"/>
              <w:bottom w:val="nil"/>
              <w:right w:val="single" w:sz="4" w:space="0" w:color="auto"/>
            </w:tcBorders>
            <w:shd w:val="clear" w:color="auto" w:fill="auto"/>
            <w:noWrap/>
            <w:vAlign w:val="bottom"/>
            <w:hideMark/>
          </w:tcPr>
          <w:p w14:paraId="30D096B2"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109.632.891,00</w:t>
            </w:r>
          </w:p>
        </w:tc>
        <w:tc>
          <w:tcPr>
            <w:tcW w:w="1154" w:type="dxa"/>
            <w:tcBorders>
              <w:top w:val="nil"/>
              <w:left w:val="nil"/>
              <w:bottom w:val="nil"/>
              <w:right w:val="single" w:sz="4" w:space="0" w:color="auto"/>
            </w:tcBorders>
            <w:shd w:val="clear" w:color="auto" w:fill="auto"/>
            <w:noWrap/>
            <w:vAlign w:val="bottom"/>
            <w:hideMark/>
          </w:tcPr>
          <w:p w14:paraId="4D31FC43"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75.290.000,00</w:t>
            </w:r>
          </w:p>
        </w:tc>
        <w:tc>
          <w:tcPr>
            <w:tcW w:w="1154" w:type="dxa"/>
            <w:tcBorders>
              <w:top w:val="nil"/>
              <w:left w:val="nil"/>
              <w:bottom w:val="nil"/>
              <w:right w:val="single" w:sz="4" w:space="0" w:color="auto"/>
            </w:tcBorders>
            <w:shd w:val="clear" w:color="auto" w:fill="auto"/>
            <w:noWrap/>
            <w:vAlign w:val="bottom"/>
            <w:hideMark/>
          </w:tcPr>
          <w:p w14:paraId="11A768C4"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30.020.000,00</w:t>
            </w:r>
          </w:p>
        </w:tc>
        <w:tc>
          <w:tcPr>
            <w:tcW w:w="1235" w:type="dxa"/>
            <w:tcBorders>
              <w:top w:val="nil"/>
              <w:left w:val="nil"/>
              <w:bottom w:val="nil"/>
              <w:right w:val="single" w:sz="4" w:space="0" w:color="auto"/>
            </w:tcBorders>
            <w:shd w:val="clear" w:color="auto" w:fill="auto"/>
            <w:noWrap/>
            <w:vAlign w:val="bottom"/>
            <w:hideMark/>
          </w:tcPr>
          <w:p w14:paraId="5E6AD32F"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105.310.000,00</w:t>
            </w:r>
          </w:p>
        </w:tc>
        <w:tc>
          <w:tcPr>
            <w:tcW w:w="1235" w:type="dxa"/>
            <w:tcBorders>
              <w:top w:val="nil"/>
              <w:left w:val="nil"/>
              <w:bottom w:val="nil"/>
              <w:right w:val="single" w:sz="4" w:space="0" w:color="auto"/>
            </w:tcBorders>
            <w:shd w:val="clear" w:color="auto" w:fill="auto"/>
            <w:noWrap/>
            <w:vAlign w:val="bottom"/>
            <w:hideMark/>
          </w:tcPr>
          <w:p w14:paraId="4334A3D1"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105.300.000,00</w:t>
            </w:r>
          </w:p>
        </w:tc>
        <w:tc>
          <w:tcPr>
            <w:tcW w:w="1235" w:type="dxa"/>
            <w:tcBorders>
              <w:top w:val="nil"/>
              <w:left w:val="nil"/>
              <w:bottom w:val="nil"/>
              <w:right w:val="single" w:sz="4" w:space="0" w:color="auto"/>
            </w:tcBorders>
            <w:shd w:val="clear" w:color="auto" w:fill="auto"/>
            <w:noWrap/>
            <w:vAlign w:val="bottom"/>
            <w:hideMark/>
          </w:tcPr>
          <w:p w14:paraId="557D586C" w14:textId="77777777" w:rsidR="003F1E09" w:rsidRPr="00387FEB" w:rsidRDefault="003F1E09" w:rsidP="003F1E09">
            <w:pPr>
              <w:suppressAutoHyphens w:val="0"/>
              <w:jc w:val="right"/>
              <w:rPr>
                <w:rFonts w:eastAsia="Times New Roman" w:cs="Calibri"/>
                <w:b/>
                <w:bCs/>
                <w:color w:val="000000"/>
                <w:sz w:val="16"/>
                <w:szCs w:val="16"/>
                <w:lang w:val="hr-HR" w:eastAsia="hr-HR"/>
              </w:rPr>
            </w:pPr>
            <w:r w:rsidRPr="00387FEB">
              <w:rPr>
                <w:rFonts w:eastAsia="Times New Roman" w:cs="Calibri"/>
                <w:b/>
                <w:bCs/>
                <w:color w:val="000000"/>
                <w:sz w:val="16"/>
                <w:szCs w:val="16"/>
                <w:lang w:val="hr-HR" w:eastAsia="hr-HR"/>
              </w:rPr>
              <w:t>105.300.000,00</w:t>
            </w:r>
          </w:p>
        </w:tc>
      </w:tr>
    </w:tbl>
    <w:p w14:paraId="10BDC0DF" w14:textId="5F87636A" w:rsidR="00387FEB" w:rsidRPr="00387FEB" w:rsidRDefault="00387FEB" w:rsidP="00387FEB">
      <w:pPr>
        <w:jc w:val="both"/>
        <w:rPr>
          <w:rFonts w:ascii="Arial" w:hAnsi="Arial" w:cs="Arial"/>
          <w:b/>
          <w:color w:val="000000" w:themeColor="text1"/>
          <w:sz w:val="22"/>
          <w:szCs w:val="22"/>
          <w:lang w:val="hr-HR"/>
        </w:rPr>
      </w:pPr>
      <w:r w:rsidRPr="00EF4466">
        <w:rPr>
          <w:rFonts w:ascii="Arial" w:hAnsi="Arial" w:cs="Arial"/>
          <w:i/>
          <w:color w:val="000000" w:themeColor="text1"/>
          <w:sz w:val="22"/>
          <w:szCs w:val="22"/>
          <w:lang w:val="hr-HR"/>
        </w:rPr>
        <w:t>Tablica 2.</w:t>
      </w:r>
      <w:r>
        <w:rPr>
          <w:rFonts w:ascii="Arial" w:hAnsi="Arial" w:cs="Arial"/>
          <w:b/>
          <w:color w:val="000000" w:themeColor="text1"/>
          <w:sz w:val="22"/>
          <w:szCs w:val="22"/>
          <w:lang w:val="hr-HR"/>
        </w:rPr>
        <w:t xml:space="preserve"> </w:t>
      </w:r>
      <w:r w:rsidRPr="00C91F2F">
        <w:rPr>
          <w:rFonts w:ascii="Arial" w:hAnsi="Arial" w:cs="Arial"/>
          <w:b/>
          <w:color w:val="000000" w:themeColor="text1"/>
          <w:sz w:val="22"/>
          <w:szCs w:val="22"/>
          <w:lang w:val="hr-HR"/>
        </w:rPr>
        <w:t xml:space="preserve">LIMITI UKUPNIH RASHODA I IZDATAKA PO </w:t>
      </w:r>
      <w:r>
        <w:rPr>
          <w:rFonts w:ascii="Arial" w:hAnsi="Arial" w:cs="Arial"/>
          <w:b/>
          <w:color w:val="000000" w:themeColor="text1"/>
          <w:sz w:val="22"/>
          <w:szCs w:val="22"/>
          <w:lang w:val="hr-HR"/>
        </w:rPr>
        <w:t>ODSJECIMA UNUTAR JUO</w:t>
      </w:r>
    </w:p>
    <w:p w14:paraId="3FE06003" w14:textId="77777777" w:rsidR="003F1E09" w:rsidRDefault="003F1E09" w:rsidP="005D6F5D">
      <w:pPr>
        <w:pStyle w:val="Default"/>
        <w:ind w:firstLine="534"/>
        <w:jc w:val="both"/>
        <w:rPr>
          <w:rFonts w:ascii="Arial" w:hAnsi="Arial" w:cs="Arial"/>
          <w:sz w:val="18"/>
          <w:szCs w:val="18"/>
        </w:rPr>
      </w:pPr>
    </w:p>
    <w:p w14:paraId="5E408C2B" w14:textId="4FFBE3F5" w:rsidR="003F1E09" w:rsidRPr="00372B6D" w:rsidRDefault="003F1E09" w:rsidP="00372B6D">
      <w:pPr>
        <w:pStyle w:val="Default"/>
        <w:ind w:firstLine="534"/>
        <w:jc w:val="both"/>
        <w:rPr>
          <w:rFonts w:ascii="Arial" w:hAnsi="Arial" w:cs="Arial"/>
          <w:sz w:val="18"/>
          <w:szCs w:val="18"/>
        </w:rPr>
      </w:pPr>
      <w:r w:rsidRPr="003F1E09">
        <w:rPr>
          <w:rFonts w:ascii="Arial" w:hAnsi="Arial" w:cs="Arial"/>
          <w:sz w:val="18"/>
          <w:szCs w:val="18"/>
        </w:rPr>
        <w:t>*informativni izračun po odsjecima temeljem novog pravilnika o unutarnjem redu</w:t>
      </w:r>
    </w:p>
    <w:p w14:paraId="71BBFCCD" w14:textId="0D5234E4" w:rsidR="00BC0B7F" w:rsidRPr="00C91F2F" w:rsidRDefault="005D6F5D" w:rsidP="00372B6D">
      <w:pPr>
        <w:pStyle w:val="Default"/>
        <w:ind w:firstLine="534"/>
        <w:jc w:val="both"/>
        <w:rPr>
          <w:rFonts w:ascii="Arial" w:hAnsi="Arial" w:cs="Arial"/>
          <w:sz w:val="22"/>
          <w:szCs w:val="22"/>
        </w:rPr>
      </w:pPr>
      <w:r>
        <w:rPr>
          <w:rFonts w:ascii="Arial" w:hAnsi="Arial" w:cs="Arial"/>
          <w:sz w:val="22"/>
          <w:szCs w:val="22"/>
        </w:rPr>
        <w:lastRenderedPageBreak/>
        <w:t xml:space="preserve">  </w:t>
      </w:r>
    </w:p>
    <w:p w14:paraId="7BF6EA4E" w14:textId="57300E6F" w:rsidR="00BC0B7F" w:rsidRDefault="00BC0B7F" w:rsidP="00126235">
      <w:pPr>
        <w:jc w:val="both"/>
        <w:rPr>
          <w:rFonts w:ascii="Arial" w:hAnsi="Arial" w:cs="Arial"/>
          <w:sz w:val="22"/>
          <w:szCs w:val="22"/>
        </w:rPr>
      </w:pPr>
      <w:r w:rsidRPr="00C91F2F">
        <w:rPr>
          <w:rFonts w:ascii="Arial" w:hAnsi="Arial" w:cs="Arial"/>
          <w:sz w:val="22"/>
          <w:szCs w:val="22"/>
        </w:rPr>
        <w:t xml:space="preserve">            </w:t>
      </w:r>
      <w:proofErr w:type="spellStart"/>
      <w:r w:rsidR="00166229">
        <w:rPr>
          <w:rFonts w:ascii="Arial" w:hAnsi="Arial" w:cs="Arial"/>
          <w:sz w:val="22"/>
          <w:szCs w:val="22"/>
        </w:rPr>
        <w:t>Odsjeci</w:t>
      </w:r>
      <w:proofErr w:type="spellEnd"/>
      <w:r w:rsidR="00166229">
        <w:rPr>
          <w:rFonts w:ascii="Arial" w:hAnsi="Arial" w:cs="Arial"/>
          <w:sz w:val="22"/>
          <w:szCs w:val="22"/>
        </w:rPr>
        <w:t xml:space="preserve"> </w:t>
      </w:r>
      <w:proofErr w:type="spellStart"/>
      <w:r w:rsidR="00166229">
        <w:rPr>
          <w:rFonts w:ascii="Arial" w:hAnsi="Arial" w:cs="Arial"/>
          <w:sz w:val="22"/>
          <w:szCs w:val="22"/>
        </w:rPr>
        <w:t>unutar</w:t>
      </w:r>
      <w:proofErr w:type="spellEnd"/>
      <w:r w:rsidR="00166229">
        <w:rPr>
          <w:rFonts w:ascii="Arial" w:hAnsi="Arial" w:cs="Arial"/>
          <w:sz w:val="22"/>
          <w:szCs w:val="22"/>
        </w:rPr>
        <w:t xml:space="preserve"> </w:t>
      </w:r>
      <w:proofErr w:type="spellStart"/>
      <w:r w:rsidR="00166229">
        <w:rPr>
          <w:rFonts w:ascii="Arial" w:hAnsi="Arial" w:cs="Arial"/>
          <w:sz w:val="22"/>
          <w:szCs w:val="22"/>
        </w:rPr>
        <w:t>Jedinstvenog</w:t>
      </w:r>
      <w:proofErr w:type="spellEnd"/>
      <w:r w:rsidR="00166229">
        <w:rPr>
          <w:rFonts w:ascii="Arial" w:hAnsi="Arial" w:cs="Arial"/>
          <w:sz w:val="22"/>
          <w:szCs w:val="22"/>
        </w:rPr>
        <w:t xml:space="preserve"> </w:t>
      </w:r>
      <w:proofErr w:type="spellStart"/>
      <w:r w:rsidR="00166229">
        <w:rPr>
          <w:rFonts w:ascii="Arial" w:hAnsi="Arial" w:cs="Arial"/>
          <w:sz w:val="22"/>
          <w:szCs w:val="22"/>
        </w:rPr>
        <w:t>upravnog</w:t>
      </w:r>
      <w:proofErr w:type="spellEnd"/>
      <w:r w:rsidR="00166229">
        <w:rPr>
          <w:rFonts w:ascii="Arial" w:hAnsi="Arial" w:cs="Arial"/>
          <w:sz w:val="22"/>
          <w:szCs w:val="22"/>
        </w:rPr>
        <w:t xml:space="preserve"> </w:t>
      </w:r>
      <w:proofErr w:type="spellStart"/>
      <w:r w:rsidR="00166229">
        <w:rPr>
          <w:rFonts w:ascii="Arial" w:hAnsi="Arial" w:cs="Arial"/>
          <w:sz w:val="22"/>
          <w:szCs w:val="22"/>
        </w:rPr>
        <w:t>odjela</w:t>
      </w:r>
      <w:proofErr w:type="spellEnd"/>
      <w:r w:rsidRPr="00C91F2F">
        <w:rPr>
          <w:rFonts w:ascii="Arial" w:hAnsi="Arial" w:cs="Arial"/>
          <w:sz w:val="22"/>
          <w:szCs w:val="22"/>
        </w:rPr>
        <w:t xml:space="preserve"> </w:t>
      </w:r>
      <w:proofErr w:type="spellStart"/>
      <w:r w:rsidRPr="00C91F2F">
        <w:rPr>
          <w:rFonts w:ascii="Arial" w:hAnsi="Arial" w:cs="Arial"/>
          <w:sz w:val="22"/>
          <w:szCs w:val="22"/>
        </w:rPr>
        <w:t>su</w:t>
      </w:r>
      <w:proofErr w:type="spellEnd"/>
      <w:r w:rsidRPr="00C91F2F">
        <w:rPr>
          <w:rFonts w:ascii="Arial" w:hAnsi="Arial" w:cs="Arial"/>
          <w:sz w:val="22"/>
          <w:szCs w:val="22"/>
        </w:rPr>
        <w:t xml:space="preserve"> </w:t>
      </w:r>
      <w:proofErr w:type="spellStart"/>
      <w:r w:rsidRPr="00C91F2F">
        <w:rPr>
          <w:rFonts w:ascii="Arial" w:hAnsi="Arial" w:cs="Arial"/>
          <w:sz w:val="22"/>
          <w:szCs w:val="22"/>
        </w:rPr>
        <w:t>obavezni</w:t>
      </w:r>
      <w:proofErr w:type="spellEnd"/>
      <w:r w:rsidRPr="00C91F2F">
        <w:rPr>
          <w:rFonts w:ascii="Arial" w:hAnsi="Arial" w:cs="Arial"/>
          <w:sz w:val="22"/>
          <w:szCs w:val="22"/>
        </w:rPr>
        <w:t xml:space="preserve"> </w:t>
      </w:r>
      <w:proofErr w:type="spellStart"/>
      <w:r w:rsidRPr="00C91F2F">
        <w:rPr>
          <w:rFonts w:ascii="Arial" w:hAnsi="Arial" w:cs="Arial"/>
          <w:sz w:val="22"/>
          <w:szCs w:val="22"/>
        </w:rPr>
        <w:t>osim</w:t>
      </w:r>
      <w:proofErr w:type="spellEnd"/>
      <w:r w:rsidRPr="00C91F2F">
        <w:rPr>
          <w:rFonts w:ascii="Arial" w:hAnsi="Arial" w:cs="Arial"/>
          <w:sz w:val="22"/>
          <w:szCs w:val="22"/>
        </w:rPr>
        <w:t xml:space="preserve"> o </w:t>
      </w:r>
      <w:proofErr w:type="spellStart"/>
      <w:r w:rsidRPr="00C91F2F">
        <w:rPr>
          <w:rFonts w:ascii="Arial" w:hAnsi="Arial" w:cs="Arial"/>
          <w:sz w:val="22"/>
          <w:szCs w:val="22"/>
        </w:rPr>
        <w:t>limitima</w:t>
      </w:r>
      <w:proofErr w:type="spellEnd"/>
      <w:r w:rsidRPr="00C91F2F">
        <w:rPr>
          <w:rFonts w:ascii="Arial" w:hAnsi="Arial" w:cs="Arial"/>
          <w:sz w:val="22"/>
          <w:szCs w:val="22"/>
        </w:rPr>
        <w:t xml:space="preserve"> </w:t>
      </w:r>
      <w:proofErr w:type="spellStart"/>
      <w:r w:rsidRPr="00C91F2F">
        <w:rPr>
          <w:rFonts w:ascii="Arial" w:hAnsi="Arial" w:cs="Arial"/>
          <w:sz w:val="22"/>
          <w:szCs w:val="22"/>
        </w:rPr>
        <w:t>rashoda</w:t>
      </w:r>
      <w:proofErr w:type="spellEnd"/>
      <w:r w:rsidRPr="00C91F2F">
        <w:rPr>
          <w:rFonts w:ascii="Arial" w:hAnsi="Arial" w:cs="Arial"/>
          <w:sz w:val="22"/>
          <w:szCs w:val="22"/>
        </w:rPr>
        <w:t xml:space="preserve"> </w:t>
      </w:r>
      <w:proofErr w:type="spellStart"/>
      <w:r w:rsidRPr="00C91F2F">
        <w:rPr>
          <w:rFonts w:ascii="Arial" w:hAnsi="Arial" w:cs="Arial"/>
          <w:sz w:val="22"/>
          <w:szCs w:val="22"/>
        </w:rPr>
        <w:t>voditi</w:t>
      </w:r>
      <w:proofErr w:type="spellEnd"/>
      <w:r w:rsidRPr="00C91F2F">
        <w:rPr>
          <w:rFonts w:ascii="Arial" w:hAnsi="Arial" w:cs="Arial"/>
          <w:sz w:val="22"/>
          <w:szCs w:val="22"/>
        </w:rPr>
        <w:t xml:space="preserve"> </w:t>
      </w:r>
      <w:proofErr w:type="spellStart"/>
      <w:r w:rsidRPr="00C91F2F">
        <w:rPr>
          <w:rFonts w:ascii="Arial" w:hAnsi="Arial" w:cs="Arial"/>
          <w:sz w:val="22"/>
          <w:szCs w:val="22"/>
        </w:rPr>
        <w:t>računa</w:t>
      </w:r>
      <w:proofErr w:type="spellEnd"/>
      <w:r w:rsidRPr="00C91F2F">
        <w:rPr>
          <w:rFonts w:ascii="Arial" w:hAnsi="Arial" w:cs="Arial"/>
          <w:sz w:val="22"/>
          <w:szCs w:val="22"/>
        </w:rPr>
        <w:t xml:space="preserve"> </w:t>
      </w:r>
      <w:proofErr w:type="spellStart"/>
      <w:r w:rsidRPr="00C91F2F">
        <w:rPr>
          <w:rFonts w:ascii="Arial" w:hAnsi="Arial" w:cs="Arial"/>
          <w:sz w:val="22"/>
          <w:szCs w:val="22"/>
        </w:rPr>
        <w:t>i</w:t>
      </w:r>
      <w:proofErr w:type="spellEnd"/>
      <w:r w:rsidRPr="00C91F2F">
        <w:rPr>
          <w:rFonts w:ascii="Arial" w:hAnsi="Arial" w:cs="Arial"/>
          <w:sz w:val="22"/>
          <w:szCs w:val="22"/>
        </w:rPr>
        <w:t xml:space="preserve"> o </w:t>
      </w:r>
      <w:proofErr w:type="spellStart"/>
      <w:r w:rsidRPr="00C91F2F">
        <w:rPr>
          <w:rFonts w:ascii="Arial" w:hAnsi="Arial" w:cs="Arial"/>
          <w:sz w:val="22"/>
          <w:szCs w:val="22"/>
        </w:rPr>
        <w:t>strogom</w:t>
      </w:r>
      <w:proofErr w:type="spellEnd"/>
      <w:r w:rsidRPr="00C91F2F">
        <w:rPr>
          <w:rFonts w:ascii="Arial" w:hAnsi="Arial" w:cs="Arial"/>
          <w:sz w:val="22"/>
          <w:szCs w:val="22"/>
        </w:rPr>
        <w:t xml:space="preserve"> </w:t>
      </w:r>
      <w:proofErr w:type="spellStart"/>
      <w:r w:rsidRPr="00C91F2F">
        <w:rPr>
          <w:rFonts w:ascii="Arial" w:hAnsi="Arial" w:cs="Arial"/>
          <w:sz w:val="22"/>
          <w:szCs w:val="22"/>
        </w:rPr>
        <w:t>namjenskom</w:t>
      </w:r>
      <w:proofErr w:type="spellEnd"/>
      <w:r w:rsidRPr="00C91F2F">
        <w:rPr>
          <w:rFonts w:ascii="Arial" w:hAnsi="Arial" w:cs="Arial"/>
          <w:sz w:val="22"/>
          <w:szCs w:val="22"/>
        </w:rPr>
        <w:t xml:space="preserve"> </w:t>
      </w:r>
      <w:proofErr w:type="spellStart"/>
      <w:r w:rsidRPr="00C91F2F">
        <w:rPr>
          <w:rFonts w:ascii="Arial" w:hAnsi="Arial" w:cs="Arial"/>
          <w:sz w:val="22"/>
          <w:szCs w:val="22"/>
        </w:rPr>
        <w:t>trošenju</w:t>
      </w:r>
      <w:proofErr w:type="spellEnd"/>
      <w:r w:rsidRPr="00C91F2F">
        <w:rPr>
          <w:rFonts w:ascii="Arial" w:hAnsi="Arial" w:cs="Arial"/>
          <w:sz w:val="22"/>
          <w:szCs w:val="22"/>
        </w:rPr>
        <w:t xml:space="preserve"> </w:t>
      </w:r>
      <w:proofErr w:type="spellStart"/>
      <w:r w:rsidRPr="00C91F2F">
        <w:rPr>
          <w:rFonts w:ascii="Arial" w:hAnsi="Arial" w:cs="Arial"/>
          <w:sz w:val="22"/>
          <w:szCs w:val="22"/>
        </w:rPr>
        <w:t>proračunskih</w:t>
      </w:r>
      <w:proofErr w:type="spellEnd"/>
      <w:r w:rsidRPr="00C91F2F">
        <w:rPr>
          <w:rFonts w:ascii="Arial" w:hAnsi="Arial" w:cs="Arial"/>
          <w:sz w:val="22"/>
          <w:szCs w:val="22"/>
        </w:rPr>
        <w:t xml:space="preserve"> </w:t>
      </w:r>
      <w:proofErr w:type="spellStart"/>
      <w:r w:rsidRPr="00C91F2F">
        <w:rPr>
          <w:rFonts w:ascii="Arial" w:hAnsi="Arial" w:cs="Arial"/>
          <w:sz w:val="22"/>
          <w:szCs w:val="22"/>
        </w:rPr>
        <w:t>sredstava</w:t>
      </w:r>
      <w:proofErr w:type="spellEnd"/>
      <w:r w:rsidRPr="00C91F2F">
        <w:rPr>
          <w:rFonts w:ascii="Arial" w:hAnsi="Arial" w:cs="Arial"/>
          <w:sz w:val="22"/>
          <w:szCs w:val="22"/>
        </w:rPr>
        <w:t xml:space="preserve"> (</w:t>
      </w:r>
      <w:proofErr w:type="spellStart"/>
      <w:r w:rsidRPr="00C91F2F">
        <w:rPr>
          <w:rFonts w:ascii="Arial" w:hAnsi="Arial" w:cs="Arial"/>
          <w:sz w:val="22"/>
          <w:szCs w:val="22"/>
        </w:rPr>
        <w:t>prihoda</w:t>
      </w:r>
      <w:proofErr w:type="spellEnd"/>
      <w:r w:rsidRPr="00C91F2F">
        <w:rPr>
          <w:rFonts w:ascii="Arial" w:hAnsi="Arial" w:cs="Arial"/>
          <w:sz w:val="22"/>
          <w:szCs w:val="22"/>
        </w:rPr>
        <w:t xml:space="preserve"> </w:t>
      </w:r>
      <w:proofErr w:type="spellStart"/>
      <w:r w:rsidRPr="00C91F2F">
        <w:rPr>
          <w:rFonts w:ascii="Arial" w:hAnsi="Arial" w:cs="Arial"/>
          <w:sz w:val="22"/>
          <w:szCs w:val="22"/>
        </w:rPr>
        <w:t>koji</w:t>
      </w:r>
      <w:proofErr w:type="spellEnd"/>
      <w:r w:rsidRPr="00C91F2F">
        <w:rPr>
          <w:rFonts w:ascii="Arial" w:hAnsi="Arial" w:cs="Arial"/>
          <w:sz w:val="22"/>
          <w:szCs w:val="22"/>
        </w:rPr>
        <w:t xml:space="preserve"> </w:t>
      </w:r>
      <w:proofErr w:type="spellStart"/>
      <w:r w:rsidRPr="00C91F2F">
        <w:rPr>
          <w:rFonts w:ascii="Arial" w:hAnsi="Arial" w:cs="Arial"/>
          <w:sz w:val="22"/>
          <w:szCs w:val="22"/>
        </w:rPr>
        <w:t>su</w:t>
      </w:r>
      <w:proofErr w:type="spellEnd"/>
      <w:r w:rsidRPr="00C91F2F">
        <w:rPr>
          <w:rFonts w:ascii="Arial" w:hAnsi="Arial" w:cs="Arial"/>
          <w:sz w:val="22"/>
          <w:szCs w:val="22"/>
        </w:rPr>
        <w:t xml:space="preserve"> </w:t>
      </w:r>
      <w:proofErr w:type="spellStart"/>
      <w:r w:rsidRPr="00C91F2F">
        <w:rPr>
          <w:rFonts w:ascii="Arial" w:hAnsi="Arial" w:cs="Arial"/>
          <w:sz w:val="22"/>
          <w:szCs w:val="22"/>
        </w:rPr>
        <w:t>dodijeljeni</w:t>
      </w:r>
      <w:proofErr w:type="spellEnd"/>
      <w:r w:rsidRPr="00C91F2F">
        <w:rPr>
          <w:rFonts w:ascii="Arial" w:hAnsi="Arial" w:cs="Arial"/>
          <w:sz w:val="22"/>
          <w:szCs w:val="22"/>
        </w:rPr>
        <w:t xml:space="preserve"> </w:t>
      </w:r>
      <w:proofErr w:type="spellStart"/>
      <w:r w:rsidR="00166229">
        <w:rPr>
          <w:rFonts w:ascii="Arial" w:hAnsi="Arial" w:cs="Arial"/>
          <w:sz w:val="22"/>
          <w:szCs w:val="22"/>
        </w:rPr>
        <w:t>pojedinom</w:t>
      </w:r>
      <w:proofErr w:type="spellEnd"/>
      <w:r w:rsidR="00166229">
        <w:rPr>
          <w:rFonts w:ascii="Arial" w:hAnsi="Arial" w:cs="Arial"/>
          <w:sz w:val="22"/>
          <w:szCs w:val="22"/>
        </w:rPr>
        <w:t xml:space="preserve"> </w:t>
      </w:r>
      <w:proofErr w:type="spellStart"/>
      <w:r w:rsidR="00166229">
        <w:rPr>
          <w:rFonts w:ascii="Arial" w:hAnsi="Arial" w:cs="Arial"/>
          <w:sz w:val="22"/>
          <w:szCs w:val="22"/>
        </w:rPr>
        <w:t>odsjeku</w:t>
      </w:r>
      <w:proofErr w:type="spellEnd"/>
      <w:r w:rsidRPr="00C91F2F">
        <w:rPr>
          <w:rFonts w:ascii="Arial" w:hAnsi="Arial" w:cs="Arial"/>
          <w:sz w:val="22"/>
          <w:szCs w:val="22"/>
        </w:rPr>
        <w:t>).</w:t>
      </w:r>
    </w:p>
    <w:p w14:paraId="69A68F8A" w14:textId="77777777" w:rsidR="003F1E09" w:rsidRPr="003F1E09" w:rsidRDefault="003F1E09" w:rsidP="00126235">
      <w:pPr>
        <w:jc w:val="both"/>
        <w:rPr>
          <w:rFonts w:ascii="Arial" w:hAnsi="Arial" w:cs="Arial"/>
          <w:sz w:val="22"/>
          <w:szCs w:val="22"/>
        </w:rPr>
      </w:pPr>
    </w:p>
    <w:p w14:paraId="4A87B9E2" w14:textId="77777777" w:rsidR="00BC0B7F" w:rsidRPr="00C91F2F" w:rsidRDefault="00BC0B7F" w:rsidP="00126235">
      <w:pPr>
        <w:jc w:val="both"/>
        <w:rPr>
          <w:rFonts w:ascii="Arial" w:hAnsi="Arial" w:cs="Arial"/>
          <w:color w:val="FF0000"/>
          <w:sz w:val="22"/>
          <w:szCs w:val="22"/>
          <w:lang w:val="hr-HR"/>
        </w:rPr>
      </w:pPr>
    </w:p>
    <w:p w14:paraId="53F2DD34" w14:textId="77777777" w:rsidR="00BC0B7F" w:rsidRPr="00C91F2F" w:rsidRDefault="00BC0B7F" w:rsidP="00126235">
      <w:pPr>
        <w:jc w:val="both"/>
        <w:rPr>
          <w:rFonts w:ascii="Arial" w:hAnsi="Arial" w:cs="Arial"/>
          <w:color w:val="FF0000"/>
          <w:sz w:val="22"/>
          <w:szCs w:val="22"/>
          <w:lang w:val="hr-HR"/>
        </w:rPr>
      </w:pPr>
    </w:p>
    <w:p w14:paraId="271D0662" w14:textId="340B664C" w:rsidR="00BC0B7F" w:rsidRPr="00C91F2F" w:rsidRDefault="00F562E3" w:rsidP="00126235">
      <w:pPr>
        <w:jc w:val="both"/>
        <w:rPr>
          <w:rFonts w:ascii="Arial" w:hAnsi="Arial" w:cs="Arial"/>
          <w:b/>
          <w:color w:val="000000" w:themeColor="text1"/>
          <w:sz w:val="22"/>
          <w:szCs w:val="22"/>
          <w:lang w:val="hr-HR"/>
        </w:rPr>
      </w:pPr>
      <w:r w:rsidRPr="00EF4466">
        <w:rPr>
          <w:rFonts w:ascii="Arial" w:hAnsi="Arial" w:cs="Arial"/>
          <w:i/>
          <w:color w:val="000000" w:themeColor="text1"/>
          <w:sz w:val="22"/>
          <w:szCs w:val="22"/>
          <w:lang w:val="hr-HR"/>
        </w:rPr>
        <w:t>Tablica 3</w:t>
      </w:r>
      <w:r>
        <w:rPr>
          <w:rFonts w:ascii="Arial" w:hAnsi="Arial" w:cs="Arial"/>
          <w:b/>
          <w:color w:val="000000" w:themeColor="text1"/>
          <w:sz w:val="22"/>
          <w:szCs w:val="22"/>
          <w:lang w:val="hr-HR"/>
        </w:rPr>
        <w:t xml:space="preserve">. </w:t>
      </w:r>
      <w:r w:rsidR="00BC0B7F" w:rsidRPr="00C91F2F">
        <w:rPr>
          <w:rFonts w:ascii="Arial" w:hAnsi="Arial" w:cs="Arial"/>
          <w:b/>
          <w:color w:val="000000" w:themeColor="text1"/>
          <w:sz w:val="22"/>
          <w:szCs w:val="22"/>
          <w:lang w:val="hr-HR"/>
        </w:rPr>
        <w:t>LIMITI UKUPNIH RASHODA PRORAČUNSKIH KORISNIKA IZ DJELATNOSTI</w:t>
      </w:r>
    </w:p>
    <w:p w14:paraId="251159BA" w14:textId="55B95922" w:rsidR="00BC0B7F" w:rsidRPr="00C91F2F" w:rsidRDefault="00BC0B7F" w:rsidP="00126235">
      <w:pPr>
        <w:jc w:val="both"/>
        <w:rPr>
          <w:rFonts w:ascii="Arial" w:hAnsi="Arial" w:cs="Arial"/>
          <w:b/>
          <w:color w:val="000000" w:themeColor="text1"/>
          <w:sz w:val="22"/>
          <w:szCs w:val="22"/>
          <w:lang w:val="hr-HR"/>
        </w:rPr>
      </w:pPr>
      <w:r w:rsidRPr="00C91F2F">
        <w:rPr>
          <w:rFonts w:ascii="Arial" w:hAnsi="Arial" w:cs="Arial"/>
          <w:b/>
          <w:color w:val="000000" w:themeColor="text1"/>
          <w:sz w:val="22"/>
          <w:szCs w:val="22"/>
          <w:lang w:val="hr-HR"/>
        </w:rPr>
        <w:t>KULTURE I PREDŠKOLSKOG ODGOJA</w:t>
      </w:r>
    </w:p>
    <w:p w14:paraId="25AC0AF7" w14:textId="77777777" w:rsidR="00BC0B7F" w:rsidRPr="00C91F2F" w:rsidRDefault="00BC0B7F" w:rsidP="00126235">
      <w:pPr>
        <w:jc w:val="both"/>
        <w:rPr>
          <w:rFonts w:ascii="Arial" w:hAnsi="Arial" w:cs="Arial"/>
          <w:b/>
          <w:color w:val="FF0000"/>
          <w:sz w:val="22"/>
          <w:szCs w:val="22"/>
          <w:lang w:val="hr-HR"/>
        </w:rPr>
      </w:pPr>
    </w:p>
    <w:tbl>
      <w:tblPr>
        <w:tblW w:w="10274" w:type="dxa"/>
        <w:tblInd w:w="-611" w:type="dxa"/>
        <w:tblLook w:val="04A0" w:firstRow="1" w:lastRow="0" w:firstColumn="1" w:lastColumn="0" w:noHBand="0" w:noVBand="1"/>
      </w:tblPr>
      <w:tblGrid>
        <w:gridCol w:w="829"/>
        <w:gridCol w:w="1067"/>
        <w:gridCol w:w="1067"/>
        <w:gridCol w:w="1067"/>
        <w:gridCol w:w="1067"/>
        <w:gridCol w:w="1067"/>
        <w:gridCol w:w="909"/>
        <w:gridCol w:w="1067"/>
        <w:gridCol w:w="1067"/>
        <w:gridCol w:w="1067"/>
      </w:tblGrid>
      <w:tr w:rsidR="00661BC7" w14:paraId="7C31FCAE" w14:textId="77777777" w:rsidTr="0064018E">
        <w:trPr>
          <w:trHeight w:val="288"/>
        </w:trPr>
        <w:tc>
          <w:tcPr>
            <w:tcW w:w="8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6E398" w14:textId="77777777" w:rsidR="00661BC7" w:rsidRDefault="00661BC7">
            <w:pPr>
              <w:suppressAutoHyphens w:val="0"/>
              <w:rPr>
                <w:rFonts w:eastAsia="Times New Roman" w:cs="Calibri"/>
                <w:color w:val="000000"/>
                <w:sz w:val="16"/>
                <w:szCs w:val="16"/>
                <w:lang w:val="hr-HR" w:eastAsia="hr-HR"/>
              </w:rPr>
            </w:pPr>
            <w:r>
              <w:rPr>
                <w:rFonts w:cs="Calibri"/>
                <w:color w:val="000000"/>
                <w:sz w:val="16"/>
                <w:szCs w:val="16"/>
              </w:rPr>
              <w:t> </w:t>
            </w:r>
          </w:p>
        </w:tc>
        <w:tc>
          <w:tcPr>
            <w:tcW w:w="2134"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32F60434" w14:textId="77777777" w:rsidR="00661BC7" w:rsidRDefault="00661BC7">
            <w:pPr>
              <w:jc w:val="center"/>
              <w:rPr>
                <w:rFonts w:cs="Calibri"/>
                <w:b/>
                <w:bCs/>
                <w:color w:val="000000"/>
                <w:sz w:val="16"/>
                <w:szCs w:val="16"/>
              </w:rPr>
            </w:pPr>
            <w:r>
              <w:rPr>
                <w:rFonts w:cs="Calibri"/>
                <w:b/>
                <w:bCs/>
                <w:color w:val="000000"/>
                <w:sz w:val="16"/>
                <w:szCs w:val="16"/>
              </w:rPr>
              <w:t>IZVRŠENJE 2017</w:t>
            </w:r>
          </w:p>
        </w:tc>
        <w:tc>
          <w:tcPr>
            <w:tcW w:w="2134"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230C0B65" w14:textId="77777777" w:rsidR="00661BC7" w:rsidRDefault="00661BC7">
            <w:pPr>
              <w:jc w:val="center"/>
              <w:rPr>
                <w:rFonts w:cs="Calibri"/>
                <w:b/>
                <w:bCs/>
                <w:color w:val="000000"/>
                <w:sz w:val="16"/>
                <w:szCs w:val="16"/>
              </w:rPr>
            </w:pPr>
            <w:r>
              <w:rPr>
                <w:rFonts w:cs="Calibri"/>
                <w:b/>
                <w:bCs/>
                <w:color w:val="000000"/>
                <w:sz w:val="16"/>
                <w:szCs w:val="16"/>
              </w:rPr>
              <w:t>TEKUĆI PLAN 2018</w:t>
            </w:r>
          </w:p>
        </w:tc>
        <w:tc>
          <w:tcPr>
            <w:tcW w:w="304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201DE6A1" w14:textId="77777777" w:rsidR="00661BC7" w:rsidRDefault="00661BC7">
            <w:pPr>
              <w:jc w:val="center"/>
              <w:rPr>
                <w:rFonts w:cs="Calibri"/>
                <w:b/>
                <w:bCs/>
                <w:color w:val="000000"/>
                <w:sz w:val="16"/>
                <w:szCs w:val="16"/>
              </w:rPr>
            </w:pPr>
            <w:r>
              <w:rPr>
                <w:rFonts w:cs="Calibri"/>
                <w:b/>
                <w:bCs/>
                <w:color w:val="000000"/>
                <w:sz w:val="16"/>
                <w:szCs w:val="16"/>
              </w:rPr>
              <w:t>2019</w:t>
            </w:r>
          </w:p>
        </w:tc>
        <w:tc>
          <w:tcPr>
            <w:tcW w:w="1067" w:type="dxa"/>
            <w:tcBorders>
              <w:top w:val="single" w:sz="4" w:space="0" w:color="auto"/>
              <w:left w:val="nil"/>
              <w:bottom w:val="single" w:sz="4" w:space="0" w:color="auto"/>
              <w:right w:val="single" w:sz="4" w:space="0" w:color="auto"/>
            </w:tcBorders>
            <w:shd w:val="clear" w:color="000000" w:fill="D9D9D9"/>
            <w:noWrap/>
            <w:vAlign w:val="bottom"/>
            <w:hideMark/>
          </w:tcPr>
          <w:p w14:paraId="36256629" w14:textId="77777777" w:rsidR="00661BC7" w:rsidRDefault="00661BC7">
            <w:pPr>
              <w:jc w:val="right"/>
              <w:rPr>
                <w:rFonts w:cs="Calibri"/>
                <w:b/>
                <w:bCs/>
                <w:color w:val="000000"/>
                <w:sz w:val="16"/>
                <w:szCs w:val="16"/>
              </w:rPr>
            </w:pPr>
            <w:r>
              <w:rPr>
                <w:rFonts w:cs="Calibri"/>
                <w:b/>
                <w:bCs/>
                <w:color w:val="000000"/>
                <w:sz w:val="16"/>
                <w:szCs w:val="16"/>
              </w:rPr>
              <w:t>2020</w:t>
            </w:r>
          </w:p>
        </w:tc>
        <w:tc>
          <w:tcPr>
            <w:tcW w:w="1067" w:type="dxa"/>
            <w:tcBorders>
              <w:top w:val="single" w:sz="4" w:space="0" w:color="auto"/>
              <w:left w:val="nil"/>
              <w:bottom w:val="single" w:sz="4" w:space="0" w:color="auto"/>
              <w:right w:val="single" w:sz="4" w:space="0" w:color="auto"/>
            </w:tcBorders>
            <w:shd w:val="clear" w:color="000000" w:fill="D9D9D9"/>
            <w:noWrap/>
            <w:vAlign w:val="bottom"/>
            <w:hideMark/>
          </w:tcPr>
          <w:p w14:paraId="53CD0B29" w14:textId="77777777" w:rsidR="00661BC7" w:rsidRDefault="00661BC7">
            <w:pPr>
              <w:jc w:val="right"/>
              <w:rPr>
                <w:rFonts w:cs="Calibri"/>
                <w:b/>
                <w:bCs/>
                <w:color w:val="000000"/>
                <w:sz w:val="16"/>
                <w:szCs w:val="16"/>
              </w:rPr>
            </w:pPr>
            <w:r>
              <w:rPr>
                <w:rFonts w:cs="Calibri"/>
                <w:b/>
                <w:bCs/>
                <w:color w:val="000000"/>
                <w:sz w:val="16"/>
                <w:szCs w:val="16"/>
              </w:rPr>
              <w:t>2021</w:t>
            </w:r>
          </w:p>
        </w:tc>
      </w:tr>
      <w:tr w:rsidR="00661BC7" w14:paraId="4947C115" w14:textId="77777777" w:rsidTr="0064018E">
        <w:trPr>
          <w:trHeight w:val="432"/>
        </w:trPr>
        <w:tc>
          <w:tcPr>
            <w:tcW w:w="829" w:type="dxa"/>
            <w:tcBorders>
              <w:top w:val="nil"/>
              <w:left w:val="single" w:sz="4" w:space="0" w:color="auto"/>
              <w:bottom w:val="single" w:sz="4" w:space="0" w:color="auto"/>
              <w:right w:val="single" w:sz="4" w:space="0" w:color="auto"/>
            </w:tcBorders>
            <w:shd w:val="clear" w:color="auto" w:fill="auto"/>
            <w:vAlign w:val="bottom"/>
            <w:hideMark/>
          </w:tcPr>
          <w:p w14:paraId="24B7A8C8" w14:textId="77777777" w:rsidR="00661BC7" w:rsidRDefault="00661BC7">
            <w:pPr>
              <w:rPr>
                <w:rFonts w:cs="Calibri"/>
                <w:color w:val="000000"/>
                <w:sz w:val="16"/>
                <w:szCs w:val="16"/>
              </w:rPr>
            </w:pPr>
            <w:r>
              <w:rPr>
                <w:rFonts w:cs="Calibri"/>
                <w:color w:val="000000"/>
                <w:sz w:val="16"/>
                <w:szCs w:val="16"/>
              </w:rPr>
              <w:t> </w:t>
            </w:r>
          </w:p>
        </w:tc>
        <w:tc>
          <w:tcPr>
            <w:tcW w:w="1067" w:type="dxa"/>
            <w:tcBorders>
              <w:top w:val="nil"/>
              <w:left w:val="nil"/>
              <w:bottom w:val="single" w:sz="4" w:space="0" w:color="auto"/>
              <w:right w:val="single" w:sz="4" w:space="0" w:color="auto"/>
            </w:tcBorders>
            <w:shd w:val="clear" w:color="auto" w:fill="auto"/>
            <w:noWrap/>
            <w:vAlign w:val="bottom"/>
            <w:hideMark/>
          </w:tcPr>
          <w:p w14:paraId="34D2C704" w14:textId="77777777" w:rsidR="00661BC7" w:rsidRDefault="00661BC7">
            <w:pPr>
              <w:rPr>
                <w:rFonts w:cs="Calibri"/>
                <w:color w:val="000000"/>
                <w:sz w:val="16"/>
                <w:szCs w:val="16"/>
              </w:rPr>
            </w:pPr>
            <w:r>
              <w:rPr>
                <w:rFonts w:cs="Calibri"/>
                <w:color w:val="000000"/>
                <w:sz w:val="16"/>
                <w:szCs w:val="16"/>
              </w:rPr>
              <w:t>GML</w:t>
            </w:r>
          </w:p>
        </w:tc>
        <w:tc>
          <w:tcPr>
            <w:tcW w:w="1067" w:type="dxa"/>
            <w:tcBorders>
              <w:top w:val="nil"/>
              <w:left w:val="nil"/>
              <w:bottom w:val="single" w:sz="4" w:space="0" w:color="auto"/>
              <w:right w:val="single" w:sz="4" w:space="0" w:color="auto"/>
            </w:tcBorders>
            <w:shd w:val="clear" w:color="auto" w:fill="auto"/>
            <w:noWrap/>
            <w:vAlign w:val="bottom"/>
            <w:hideMark/>
          </w:tcPr>
          <w:p w14:paraId="1529AD70" w14:textId="77777777" w:rsidR="00661BC7" w:rsidRDefault="00661BC7">
            <w:pPr>
              <w:rPr>
                <w:rFonts w:cs="Calibri"/>
                <w:color w:val="000000"/>
                <w:sz w:val="16"/>
                <w:szCs w:val="16"/>
              </w:rPr>
            </w:pPr>
            <w:r>
              <w:rPr>
                <w:rFonts w:cs="Calibri"/>
                <w:color w:val="000000"/>
                <w:sz w:val="16"/>
                <w:szCs w:val="16"/>
              </w:rPr>
              <w:t>VLASTITI</w:t>
            </w:r>
          </w:p>
        </w:tc>
        <w:tc>
          <w:tcPr>
            <w:tcW w:w="1067" w:type="dxa"/>
            <w:tcBorders>
              <w:top w:val="nil"/>
              <w:left w:val="nil"/>
              <w:bottom w:val="single" w:sz="4" w:space="0" w:color="auto"/>
              <w:right w:val="single" w:sz="4" w:space="0" w:color="auto"/>
            </w:tcBorders>
            <w:shd w:val="clear" w:color="auto" w:fill="auto"/>
            <w:noWrap/>
            <w:vAlign w:val="bottom"/>
            <w:hideMark/>
          </w:tcPr>
          <w:p w14:paraId="7AEF5203" w14:textId="77777777" w:rsidR="00661BC7" w:rsidRDefault="00661BC7">
            <w:pPr>
              <w:rPr>
                <w:rFonts w:cs="Calibri"/>
                <w:color w:val="000000"/>
                <w:sz w:val="16"/>
                <w:szCs w:val="16"/>
              </w:rPr>
            </w:pPr>
            <w:r>
              <w:rPr>
                <w:rFonts w:cs="Calibri"/>
                <w:color w:val="000000"/>
                <w:sz w:val="16"/>
                <w:szCs w:val="16"/>
              </w:rPr>
              <w:t>GML</w:t>
            </w:r>
          </w:p>
        </w:tc>
        <w:tc>
          <w:tcPr>
            <w:tcW w:w="1067" w:type="dxa"/>
            <w:tcBorders>
              <w:top w:val="nil"/>
              <w:left w:val="nil"/>
              <w:bottom w:val="single" w:sz="4" w:space="0" w:color="auto"/>
              <w:right w:val="single" w:sz="4" w:space="0" w:color="auto"/>
            </w:tcBorders>
            <w:shd w:val="clear" w:color="auto" w:fill="auto"/>
            <w:noWrap/>
            <w:vAlign w:val="bottom"/>
            <w:hideMark/>
          </w:tcPr>
          <w:p w14:paraId="4A2A435C" w14:textId="77777777" w:rsidR="00661BC7" w:rsidRDefault="00661BC7">
            <w:pPr>
              <w:rPr>
                <w:rFonts w:cs="Calibri"/>
                <w:color w:val="000000"/>
                <w:sz w:val="16"/>
                <w:szCs w:val="16"/>
              </w:rPr>
            </w:pPr>
            <w:r>
              <w:rPr>
                <w:rFonts w:cs="Calibri"/>
                <w:color w:val="000000"/>
                <w:sz w:val="16"/>
                <w:szCs w:val="16"/>
              </w:rPr>
              <w:t>VLASTITI</w:t>
            </w:r>
          </w:p>
        </w:tc>
        <w:tc>
          <w:tcPr>
            <w:tcW w:w="1067" w:type="dxa"/>
            <w:tcBorders>
              <w:top w:val="nil"/>
              <w:left w:val="nil"/>
              <w:bottom w:val="single" w:sz="4" w:space="0" w:color="auto"/>
              <w:right w:val="single" w:sz="4" w:space="0" w:color="auto"/>
            </w:tcBorders>
            <w:shd w:val="clear" w:color="auto" w:fill="auto"/>
            <w:noWrap/>
            <w:vAlign w:val="bottom"/>
            <w:hideMark/>
          </w:tcPr>
          <w:p w14:paraId="52670D71" w14:textId="77777777" w:rsidR="00661BC7" w:rsidRDefault="00661BC7">
            <w:pPr>
              <w:rPr>
                <w:rFonts w:cs="Calibri"/>
                <w:color w:val="000000"/>
                <w:sz w:val="16"/>
                <w:szCs w:val="16"/>
              </w:rPr>
            </w:pPr>
            <w:r>
              <w:rPr>
                <w:rFonts w:cs="Calibri"/>
                <w:color w:val="000000"/>
                <w:sz w:val="16"/>
                <w:szCs w:val="16"/>
              </w:rPr>
              <w:t>GML</w:t>
            </w:r>
          </w:p>
        </w:tc>
        <w:tc>
          <w:tcPr>
            <w:tcW w:w="909" w:type="dxa"/>
            <w:tcBorders>
              <w:top w:val="nil"/>
              <w:left w:val="nil"/>
              <w:bottom w:val="single" w:sz="4" w:space="0" w:color="auto"/>
              <w:right w:val="single" w:sz="4" w:space="0" w:color="auto"/>
            </w:tcBorders>
            <w:shd w:val="clear" w:color="auto" w:fill="auto"/>
            <w:vAlign w:val="bottom"/>
            <w:hideMark/>
          </w:tcPr>
          <w:p w14:paraId="567B8CE7" w14:textId="77777777" w:rsidR="00661BC7" w:rsidRDefault="00661BC7">
            <w:pPr>
              <w:rPr>
                <w:rFonts w:cs="Calibri"/>
                <w:color w:val="000000"/>
                <w:sz w:val="16"/>
                <w:szCs w:val="16"/>
              </w:rPr>
            </w:pPr>
            <w:r>
              <w:rPr>
                <w:rFonts w:cs="Calibri"/>
                <w:color w:val="000000"/>
                <w:sz w:val="16"/>
                <w:szCs w:val="16"/>
              </w:rPr>
              <w:t>NOVI PROGRAM</w:t>
            </w:r>
          </w:p>
        </w:tc>
        <w:tc>
          <w:tcPr>
            <w:tcW w:w="1067" w:type="dxa"/>
            <w:tcBorders>
              <w:top w:val="nil"/>
              <w:left w:val="nil"/>
              <w:bottom w:val="single" w:sz="4" w:space="0" w:color="auto"/>
              <w:right w:val="single" w:sz="4" w:space="0" w:color="auto"/>
            </w:tcBorders>
            <w:shd w:val="clear" w:color="auto" w:fill="auto"/>
            <w:vAlign w:val="bottom"/>
            <w:hideMark/>
          </w:tcPr>
          <w:p w14:paraId="5CD9667D" w14:textId="77777777" w:rsidR="00661BC7" w:rsidRDefault="00661BC7">
            <w:pPr>
              <w:rPr>
                <w:rFonts w:cs="Calibri"/>
                <w:color w:val="000000"/>
                <w:sz w:val="16"/>
                <w:szCs w:val="16"/>
              </w:rPr>
            </w:pPr>
            <w:proofErr w:type="gramStart"/>
            <w:r>
              <w:rPr>
                <w:rFonts w:cs="Calibri"/>
                <w:color w:val="000000"/>
                <w:sz w:val="16"/>
                <w:szCs w:val="16"/>
              </w:rPr>
              <w:t>VLASTITA  (</w:t>
            </w:r>
            <w:proofErr w:type="gramEnd"/>
            <w:r>
              <w:rPr>
                <w:rFonts w:cs="Calibri"/>
                <w:color w:val="000000"/>
                <w:sz w:val="16"/>
                <w:szCs w:val="16"/>
              </w:rPr>
              <w:t>proc.)</w:t>
            </w:r>
          </w:p>
        </w:tc>
        <w:tc>
          <w:tcPr>
            <w:tcW w:w="1067" w:type="dxa"/>
            <w:tcBorders>
              <w:top w:val="nil"/>
              <w:left w:val="nil"/>
              <w:bottom w:val="single" w:sz="4" w:space="0" w:color="auto"/>
              <w:right w:val="single" w:sz="4" w:space="0" w:color="auto"/>
            </w:tcBorders>
            <w:shd w:val="clear" w:color="auto" w:fill="auto"/>
            <w:noWrap/>
            <w:vAlign w:val="bottom"/>
            <w:hideMark/>
          </w:tcPr>
          <w:p w14:paraId="1B3DAAD2" w14:textId="77777777" w:rsidR="00661BC7" w:rsidRDefault="00661BC7">
            <w:pPr>
              <w:rPr>
                <w:rFonts w:cs="Calibri"/>
                <w:color w:val="000000"/>
                <w:sz w:val="16"/>
                <w:szCs w:val="16"/>
              </w:rPr>
            </w:pPr>
            <w:r>
              <w:rPr>
                <w:rFonts w:cs="Calibri"/>
                <w:color w:val="000000"/>
                <w:sz w:val="16"/>
                <w:szCs w:val="16"/>
              </w:rPr>
              <w:t>GML</w:t>
            </w:r>
          </w:p>
        </w:tc>
        <w:tc>
          <w:tcPr>
            <w:tcW w:w="1067" w:type="dxa"/>
            <w:tcBorders>
              <w:top w:val="nil"/>
              <w:left w:val="nil"/>
              <w:bottom w:val="single" w:sz="4" w:space="0" w:color="auto"/>
              <w:right w:val="single" w:sz="4" w:space="0" w:color="auto"/>
            </w:tcBorders>
            <w:shd w:val="clear" w:color="auto" w:fill="auto"/>
            <w:noWrap/>
            <w:vAlign w:val="bottom"/>
            <w:hideMark/>
          </w:tcPr>
          <w:p w14:paraId="27CEF2DD" w14:textId="77777777" w:rsidR="00661BC7" w:rsidRDefault="00661BC7">
            <w:pPr>
              <w:rPr>
                <w:rFonts w:cs="Calibri"/>
                <w:color w:val="000000"/>
                <w:sz w:val="16"/>
                <w:szCs w:val="16"/>
              </w:rPr>
            </w:pPr>
            <w:r>
              <w:rPr>
                <w:rFonts w:cs="Calibri"/>
                <w:color w:val="000000"/>
                <w:sz w:val="16"/>
                <w:szCs w:val="16"/>
              </w:rPr>
              <w:t>GML</w:t>
            </w:r>
          </w:p>
        </w:tc>
      </w:tr>
      <w:tr w:rsidR="00661BC7" w14:paraId="4BA260D7" w14:textId="77777777" w:rsidTr="0064018E">
        <w:trPr>
          <w:trHeight w:val="636"/>
        </w:trPr>
        <w:tc>
          <w:tcPr>
            <w:tcW w:w="829" w:type="dxa"/>
            <w:tcBorders>
              <w:top w:val="nil"/>
              <w:left w:val="single" w:sz="4" w:space="0" w:color="auto"/>
              <w:bottom w:val="single" w:sz="4" w:space="0" w:color="auto"/>
              <w:right w:val="single" w:sz="4" w:space="0" w:color="auto"/>
            </w:tcBorders>
            <w:shd w:val="clear" w:color="auto" w:fill="auto"/>
            <w:vAlign w:val="bottom"/>
            <w:hideMark/>
          </w:tcPr>
          <w:p w14:paraId="60C71054" w14:textId="77777777" w:rsidR="00661BC7" w:rsidRDefault="00661BC7">
            <w:pPr>
              <w:rPr>
                <w:rFonts w:cs="Calibri"/>
                <w:b/>
                <w:bCs/>
                <w:color w:val="000000"/>
                <w:sz w:val="16"/>
                <w:szCs w:val="16"/>
              </w:rPr>
            </w:pPr>
            <w:proofErr w:type="spellStart"/>
            <w:r>
              <w:rPr>
                <w:rFonts w:cs="Calibri"/>
                <w:b/>
                <w:bCs/>
                <w:color w:val="000000"/>
                <w:sz w:val="16"/>
                <w:szCs w:val="16"/>
              </w:rPr>
              <w:t>Pučko</w:t>
            </w:r>
            <w:proofErr w:type="spellEnd"/>
            <w:r>
              <w:rPr>
                <w:rFonts w:cs="Calibri"/>
                <w:b/>
                <w:bCs/>
                <w:color w:val="000000"/>
                <w:sz w:val="16"/>
                <w:szCs w:val="16"/>
              </w:rPr>
              <w:t xml:space="preserve"> </w:t>
            </w:r>
            <w:proofErr w:type="spellStart"/>
            <w:r>
              <w:rPr>
                <w:rFonts w:cs="Calibri"/>
                <w:b/>
                <w:bCs/>
                <w:color w:val="000000"/>
                <w:sz w:val="16"/>
                <w:szCs w:val="16"/>
              </w:rPr>
              <w:t>otvoreno</w:t>
            </w:r>
            <w:proofErr w:type="spellEnd"/>
            <w:r>
              <w:rPr>
                <w:rFonts w:cs="Calibri"/>
                <w:b/>
                <w:bCs/>
                <w:color w:val="000000"/>
                <w:sz w:val="16"/>
                <w:szCs w:val="16"/>
              </w:rPr>
              <w:t xml:space="preserve"> </w:t>
            </w:r>
            <w:proofErr w:type="spellStart"/>
            <w:r>
              <w:rPr>
                <w:rFonts w:cs="Calibri"/>
                <w:b/>
                <w:bCs/>
                <w:color w:val="000000"/>
                <w:sz w:val="16"/>
                <w:szCs w:val="16"/>
              </w:rPr>
              <w:t>učilište</w:t>
            </w:r>
            <w:proofErr w:type="spellEnd"/>
          </w:p>
        </w:tc>
        <w:tc>
          <w:tcPr>
            <w:tcW w:w="1067" w:type="dxa"/>
            <w:tcBorders>
              <w:top w:val="nil"/>
              <w:left w:val="nil"/>
              <w:bottom w:val="single" w:sz="4" w:space="0" w:color="auto"/>
              <w:right w:val="single" w:sz="4" w:space="0" w:color="auto"/>
            </w:tcBorders>
            <w:shd w:val="clear" w:color="auto" w:fill="auto"/>
            <w:noWrap/>
            <w:vAlign w:val="bottom"/>
            <w:hideMark/>
          </w:tcPr>
          <w:p w14:paraId="4FCA4E37" w14:textId="77777777" w:rsidR="00661BC7" w:rsidRDefault="00661BC7">
            <w:pPr>
              <w:jc w:val="right"/>
              <w:rPr>
                <w:rFonts w:cs="Calibri"/>
                <w:color w:val="000000"/>
                <w:sz w:val="16"/>
                <w:szCs w:val="16"/>
              </w:rPr>
            </w:pPr>
            <w:r>
              <w:rPr>
                <w:rFonts w:cs="Calibri"/>
                <w:color w:val="000000"/>
                <w:sz w:val="16"/>
                <w:szCs w:val="16"/>
              </w:rPr>
              <w:t>1.249.315,00</w:t>
            </w:r>
          </w:p>
        </w:tc>
        <w:tc>
          <w:tcPr>
            <w:tcW w:w="1067" w:type="dxa"/>
            <w:tcBorders>
              <w:top w:val="nil"/>
              <w:left w:val="nil"/>
              <w:bottom w:val="single" w:sz="4" w:space="0" w:color="auto"/>
              <w:right w:val="single" w:sz="4" w:space="0" w:color="auto"/>
            </w:tcBorders>
            <w:shd w:val="clear" w:color="auto" w:fill="auto"/>
            <w:noWrap/>
            <w:vAlign w:val="bottom"/>
            <w:hideMark/>
          </w:tcPr>
          <w:p w14:paraId="1F277CCF" w14:textId="77777777" w:rsidR="00661BC7" w:rsidRDefault="00661BC7">
            <w:pPr>
              <w:jc w:val="right"/>
              <w:rPr>
                <w:rFonts w:cs="Calibri"/>
                <w:color w:val="000000"/>
                <w:sz w:val="16"/>
                <w:szCs w:val="16"/>
              </w:rPr>
            </w:pPr>
            <w:r>
              <w:rPr>
                <w:rFonts w:cs="Calibri"/>
                <w:color w:val="000000"/>
                <w:sz w:val="16"/>
                <w:szCs w:val="16"/>
              </w:rPr>
              <w:t>256.549,00</w:t>
            </w:r>
          </w:p>
        </w:tc>
        <w:tc>
          <w:tcPr>
            <w:tcW w:w="1067" w:type="dxa"/>
            <w:tcBorders>
              <w:top w:val="nil"/>
              <w:left w:val="nil"/>
              <w:bottom w:val="single" w:sz="4" w:space="0" w:color="auto"/>
              <w:right w:val="single" w:sz="4" w:space="0" w:color="auto"/>
            </w:tcBorders>
            <w:shd w:val="clear" w:color="auto" w:fill="auto"/>
            <w:noWrap/>
            <w:vAlign w:val="bottom"/>
            <w:hideMark/>
          </w:tcPr>
          <w:p w14:paraId="48EBC918" w14:textId="77777777" w:rsidR="00661BC7" w:rsidRDefault="00661BC7">
            <w:pPr>
              <w:jc w:val="right"/>
              <w:rPr>
                <w:rFonts w:cs="Calibri"/>
                <w:color w:val="000000"/>
                <w:sz w:val="16"/>
                <w:szCs w:val="16"/>
              </w:rPr>
            </w:pPr>
            <w:r>
              <w:rPr>
                <w:rFonts w:cs="Calibri"/>
                <w:color w:val="000000"/>
                <w:sz w:val="16"/>
                <w:szCs w:val="16"/>
              </w:rPr>
              <w:t>1.640.000,00</w:t>
            </w:r>
          </w:p>
        </w:tc>
        <w:tc>
          <w:tcPr>
            <w:tcW w:w="1067" w:type="dxa"/>
            <w:tcBorders>
              <w:top w:val="nil"/>
              <w:left w:val="nil"/>
              <w:bottom w:val="single" w:sz="4" w:space="0" w:color="auto"/>
              <w:right w:val="single" w:sz="4" w:space="0" w:color="auto"/>
            </w:tcBorders>
            <w:shd w:val="clear" w:color="auto" w:fill="auto"/>
            <w:noWrap/>
            <w:vAlign w:val="bottom"/>
            <w:hideMark/>
          </w:tcPr>
          <w:p w14:paraId="188E8AE4" w14:textId="77777777" w:rsidR="00661BC7" w:rsidRDefault="00661BC7">
            <w:pPr>
              <w:jc w:val="right"/>
              <w:rPr>
                <w:rFonts w:cs="Calibri"/>
                <w:color w:val="000000"/>
                <w:sz w:val="16"/>
                <w:szCs w:val="16"/>
              </w:rPr>
            </w:pPr>
            <w:r>
              <w:rPr>
                <w:rFonts w:cs="Calibri"/>
                <w:color w:val="000000"/>
                <w:sz w:val="16"/>
                <w:szCs w:val="16"/>
              </w:rPr>
              <w:t>355.000,00</w:t>
            </w:r>
          </w:p>
        </w:tc>
        <w:tc>
          <w:tcPr>
            <w:tcW w:w="1067" w:type="dxa"/>
            <w:tcBorders>
              <w:top w:val="nil"/>
              <w:left w:val="nil"/>
              <w:bottom w:val="single" w:sz="4" w:space="0" w:color="auto"/>
              <w:right w:val="single" w:sz="4" w:space="0" w:color="auto"/>
            </w:tcBorders>
            <w:shd w:val="clear" w:color="auto" w:fill="auto"/>
            <w:noWrap/>
            <w:vAlign w:val="bottom"/>
            <w:hideMark/>
          </w:tcPr>
          <w:p w14:paraId="2F731942" w14:textId="77777777" w:rsidR="00661BC7" w:rsidRDefault="00661BC7">
            <w:pPr>
              <w:jc w:val="right"/>
              <w:rPr>
                <w:rFonts w:cs="Calibri"/>
                <w:color w:val="000000"/>
                <w:sz w:val="16"/>
                <w:szCs w:val="16"/>
              </w:rPr>
            </w:pPr>
            <w:r>
              <w:rPr>
                <w:rFonts w:cs="Calibri"/>
                <w:color w:val="000000"/>
                <w:sz w:val="16"/>
                <w:szCs w:val="16"/>
              </w:rPr>
              <w:t>1.650.000,00</w:t>
            </w:r>
          </w:p>
        </w:tc>
        <w:tc>
          <w:tcPr>
            <w:tcW w:w="909" w:type="dxa"/>
            <w:tcBorders>
              <w:top w:val="nil"/>
              <w:left w:val="nil"/>
              <w:bottom w:val="single" w:sz="4" w:space="0" w:color="auto"/>
              <w:right w:val="single" w:sz="4" w:space="0" w:color="auto"/>
            </w:tcBorders>
            <w:shd w:val="clear" w:color="auto" w:fill="auto"/>
            <w:noWrap/>
            <w:vAlign w:val="bottom"/>
            <w:hideMark/>
          </w:tcPr>
          <w:p w14:paraId="6D9CB6F1" w14:textId="77777777" w:rsidR="00661BC7" w:rsidRDefault="00661BC7">
            <w:pPr>
              <w:jc w:val="right"/>
              <w:rPr>
                <w:rFonts w:cs="Calibri"/>
                <w:color w:val="000000"/>
                <w:sz w:val="16"/>
                <w:szCs w:val="16"/>
              </w:rPr>
            </w:pPr>
            <w:r>
              <w:rPr>
                <w:rFonts w:cs="Calibri"/>
                <w:color w:val="000000"/>
                <w:sz w:val="16"/>
                <w:szCs w:val="16"/>
              </w:rPr>
              <w:t>0,00</w:t>
            </w:r>
          </w:p>
        </w:tc>
        <w:tc>
          <w:tcPr>
            <w:tcW w:w="1067" w:type="dxa"/>
            <w:tcBorders>
              <w:top w:val="nil"/>
              <w:left w:val="nil"/>
              <w:bottom w:val="single" w:sz="4" w:space="0" w:color="auto"/>
              <w:right w:val="single" w:sz="4" w:space="0" w:color="auto"/>
            </w:tcBorders>
            <w:shd w:val="clear" w:color="auto" w:fill="auto"/>
            <w:noWrap/>
            <w:vAlign w:val="bottom"/>
            <w:hideMark/>
          </w:tcPr>
          <w:p w14:paraId="30231DB5" w14:textId="77777777" w:rsidR="00661BC7" w:rsidRDefault="00661BC7">
            <w:pPr>
              <w:jc w:val="right"/>
              <w:rPr>
                <w:rFonts w:cs="Calibri"/>
                <w:color w:val="000000"/>
                <w:sz w:val="16"/>
                <w:szCs w:val="16"/>
              </w:rPr>
            </w:pPr>
            <w:r>
              <w:rPr>
                <w:rFonts w:cs="Calibri"/>
                <w:color w:val="000000"/>
                <w:sz w:val="16"/>
                <w:szCs w:val="16"/>
              </w:rPr>
              <w:t>360.000,00</w:t>
            </w:r>
          </w:p>
        </w:tc>
        <w:tc>
          <w:tcPr>
            <w:tcW w:w="1067" w:type="dxa"/>
            <w:tcBorders>
              <w:top w:val="nil"/>
              <w:left w:val="nil"/>
              <w:bottom w:val="single" w:sz="4" w:space="0" w:color="auto"/>
              <w:right w:val="single" w:sz="4" w:space="0" w:color="auto"/>
            </w:tcBorders>
            <w:shd w:val="clear" w:color="auto" w:fill="auto"/>
            <w:noWrap/>
            <w:vAlign w:val="bottom"/>
            <w:hideMark/>
          </w:tcPr>
          <w:p w14:paraId="4E3780CB" w14:textId="77777777" w:rsidR="00661BC7" w:rsidRDefault="00661BC7">
            <w:pPr>
              <w:jc w:val="right"/>
              <w:rPr>
                <w:rFonts w:cs="Calibri"/>
                <w:color w:val="000000"/>
                <w:sz w:val="16"/>
                <w:szCs w:val="16"/>
              </w:rPr>
            </w:pPr>
            <w:r>
              <w:rPr>
                <w:rFonts w:cs="Calibri"/>
                <w:color w:val="000000"/>
                <w:sz w:val="16"/>
                <w:szCs w:val="16"/>
              </w:rPr>
              <w:t>1.650.000,00</w:t>
            </w:r>
          </w:p>
        </w:tc>
        <w:tc>
          <w:tcPr>
            <w:tcW w:w="1067" w:type="dxa"/>
            <w:tcBorders>
              <w:top w:val="nil"/>
              <w:left w:val="nil"/>
              <w:bottom w:val="single" w:sz="4" w:space="0" w:color="auto"/>
              <w:right w:val="single" w:sz="4" w:space="0" w:color="auto"/>
            </w:tcBorders>
            <w:shd w:val="clear" w:color="auto" w:fill="auto"/>
            <w:noWrap/>
            <w:vAlign w:val="bottom"/>
            <w:hideMark/>
          </w:tcPr>
          <w:p w14:paraId="4254D5FF" w14:textId="77777777" w:rsidR="00661BC7" w:rsidRDefault="00661BC7">
            <w:pPr>
              <w:jc w:val="right"/>
              <w:rPr>
                <w:rFonts w:cs="Calibri"/>
                <w:color w:val="000000"/>
                <w:sz w:val="16"/>
                <w:szCs w:val="16"/>
              </w:rPr>
            </w:pPr>
            <w:r>
              <w:rPr>
                <w:rFonts w:cs="Calibri"/>
                <w:color w:val="000000"/>
                <w:sz w:val="16"/>
                <w:szCs w:val="16"/>
              </w:rPr>
              <w:t>1.650.000,00</w:t>
            </w:r>
          </w:p>
        </w:tc>
      </w:tr>
      <w:tr w:rsidR="00661BC7" w14:paraId="4935CA7B" w14:textId="77777777" w:rsidTr="0064018E">
        <w:trPr>
          <w:trHeight w:val="636"/>
        </w:trPr>
        <w:tc>
          <w:tcPr>
            <w:tcW w:w="829" w:type="dxa"/>
            <w:tcBorders>
              <w:top w:val="nil"/>
              <w:left w:val="single" w:sz="4" w:space="0" w:color="auto"/>
              <w:bottom w:val="single" w:sz="4" w:space="0" w:color="auto"/>
              <w:right w:val="single" w:sz="4" w:space="0" w:color="auto"/>
            </w:tcBorders>
            <w:shd w:val="clear" w:color="auto" w:fill="auto"/>
            <w:vAlign w:val="bottom"/>
            <w:hideMark/>
          </w:tcPr>
          <w:p w14:paraId="2F6A03B4" w14:textId="77777777" w:rsidR="00661BC7" w:rsidRDefault="00661BC7">
            <w:pPr>
              <w:rPr>
                <w:rFonts w:cs="Calibri"/>
                <w:b/>
                <w:bCs/>
                <w:color w:val="000000"/>
                <w:sz w:val="16"/>
                <w:szCs w:val="16"/>
              </w:rPr>
            </w:pPr>
            <w:proofErr w:type="spellStart"/>
            <w:r>
              <w:rPr>
                <w:rFonts w:cs="Calibri"/>
                <w:b/>
                <w:bCs/>
                <w:color w:val="000000"/>
                <w:sz w:val="16"/>
                <w:szCs w:val="16"/>
              </w:rPr>
              <w:t>Gradska</w:t>
            </w:r>
            <w:proofErr w:type="spellEnd"/>
            <w:r>
              <w:rPr>
                <w:rFonts w:cs="Calibri"/>
                <w:b/>
                <w:bCs/>
                <w:color w:val="000000"/>
                <w:sz w:val="16"/>
                <w:szCs w:val="16"/>
              </w:rPr>
              <w:t xml:space="preserve"> </w:t>
            </w:r>
            <w:proofErr w:type="spellStart"/>
            <w:r>
              <w:rPr>
                <w:rFonts w:cs="Calibri"/>
                <w:b/>
                <w:bCs/>
                <w:color w:val="000000"/>
                <w:sz w:val="16"/>
                <w:szCs w:val="16"/>
              </w:rPr>
              <w:t>knjižnica</w:t>
            </w:r>
            <w:proofErr w:type="spellEnd"/>
            <w:r>
              <w:rPr>
                <w:rFonts w:cs="Calibri"/>
                <w:b/>
                <w:bCs/>
                <w:color w:val="000000"/>
                <w:sz w:val="16"/>
                <w:szCs w:val="16"/>
              </w:rPr>
              <w:t xml:space="preserve"> </w:t>
            </w:r>
            <w:proofErr w:type="spellStart"/>
            <w:r>
              <w:rPr>
                <w:rFonts w:cs="Calibri"/>
                <w:b/>
                <w:bCs/>
                <w:color w:val="000000"/>
                <w:sz w:val="16"/>
                <w:szCs w:val="16"/>
              </w:rPr>
              <w:t>i</w:t>
            </w:r>
            <w:proofErr w:type="spellEnd"/>
            <w:r>
              <w:rPr>
                <w:rFonts w:cs="Calibri"/>
                <w:b/>
                <w:bCs/>
                <w:color w:val="000000"/>
                <w:sz w:val="16"/>
                <w:szCs w:val="16"/>
              </w:rPr>
              <w:t xml:space="preserve"> </w:t>
            </w:r>
            <w:proofErr w:type="spellStart"/>
            <w:r>
              <w:rPr>
                <w:rFonts w:cs="Calibri"/>
                <w:b/>
                <w:bCs/>
                <w:color w:val="000000"/>
                <w:sz w:val="16"/>
                <w:szCs w:val="16"/>
              </w:rPr>
              <w:t>čitaonica</w:t>
            </w:r>
            <w:proofErr w:type="spellEnd"/>
          </w:p>
        </w:tc>
        <w:tc>
          <w:tcPr>
            <w:tcW w:w="1067" w:type="dxa"/>
            <w:tcBorders>
              <w:top w:val="nil"/>
              <w:left w:val="nil"/>
              <w:bottom w:val="single" w:sz="4" w:space="0" w:color="auto"/>
              <w:right w:val="single" w:sz="4" w:space="0" w:color="auto"/>
            </w:tcBorders>
            <w:shd w:val="clear" w:color="auto" w:fill="auto"/>
            <w:noWrap/>
            <w:vAlign w:val="bottom"/>
            <w:hideMark/>
          </w:tcPr>
          <w:p w14:paraId="111CE3F0" w14:textId="77777777" w:rsidR="00661BC7" w:rsidRDefault="00661BC7">
            <w:pPr>
              <w:jc w:val="right"/>
              <w:rPr>
                <w:rFonts w:cs="Calibri"/>
                <w:color w:val="000000"/>
                <w:sz w:val="16"/>
                <w:szCs w:val="16"/>
              </w:rPr>
            </w:pPr>
            <w:r>
              <w:rPr>
                <w:rFonts w:cs="Calibri"/>
                <w:color w:val="000000"/>
                <w:sz w:val="16"/>
                <w:szCs w:val="16"/>
              </w:rPr>
              <w:t>1.268.438,00</w:t>
            </w:r>
          </w:p>
        </w:tc>
        <w:tc>
          <w:tcPr>
            <w:tcW w:w="1067" w:type="dxa"/>
            <w:tcBorders>
              <w:top w:val="nil"/>
              <w:left w:val="nil"/>
              <w:bottom w:val="single" w:sz="4" w:space="0" w:color="auto"/>
              <w:right w:val="single" w:sz="4" w:space="0" w:color="auto"/>
            </w:tcBorders>
            <w:shd w:val="clear" w:color="auto" w:fill="auto"/>
            <w:noWrap/>
            <w:vAlign w:val="bottom"/>
            <w:hideMark/>
          </w:tcPr>
          <w:p w14:paraId="1C6135F9" w14:textId="77777777" w:rsidR="00661BC7" w:rsidRDefault="00661BC7">
            <w:pPr>
              <w:jc w:val="right"/>
              <w:rPr>
                <w:rFonts w:cs="Calibri"/>
                <w:color w:val="000000"/>
                <w:sz w:val="16"/>
                <w:szCs w:val="16"/>
              </w:rPr>
            </w:pPr>
            <w:r>
              <w:rPr>
                <w:rFonts w:cs="Calibri"/>
                <w:color w:val="000000"/>
                <w:sz w:val="16"/>
                <w:szCs w:val="16"/>
              </w:rPr>
              <w:t>276.430,00</w:t>
            </w:r>
          </w:p>
        </w:tc>
        <w:tc>
          <w:tcPr>
            <w:tcW w:w="1067" w:type="dxa"/>
            <w:tcBorders>
              <w:top w:val="nil"/>
              <w:left w:val="nil"/>
              <w:bottom w:val="single" w:sz="4" w:space="0" w:color="auto"/>
              <w:right w:val="single" w:sz="4" w:space="0" w:color="auto"/>
            </w:tcBorders>
            <w:shd w:val="clear" w:color="auto" w:fill="auto"/>
            <w:noWrap/>
            <w:vAlign w:val="bottom"/>
            <w:hideMark/>
          </w:tcPr>
          <w:p w14:paraId="58604562" w14:textId="77777777" w:rsidR="00661BC7" w:rsidRDefault="00661BC7">
            <w:pPr>
              <w:jc w:val="right"/>
              <w:rPr>
                <w:rFonts w:cs="Calibri"/>
                <w:color w:val="000000"/>
                <w:sz w:val="16"/>
                <w:szCs w:val="16"/>
              </w:rPr>
            </w:pPr>
            <w:r>
              <w:rPr>
                <w:rFonts w:cs="Calibri"/>
                <w:color w:val="000000"/>
                <w:sz w:val="16"/>
                <w:szCs w:val="16"/>
              </w:rPr>
              <w:t>1.300.000,00</w:t>
            </w:r>
          </w:p>
        </w:tc>
        <w:tc>
          <w:tcPr>
            <w:tcW w:w="1067" w:type="dxa"/>
            <w:tcBorders>
              <w:top w:val="nil"/>
              <w:left w:val="nil"/>
              <w:bottom w:val="single" w:sz="4" w:space="0" w:color="auto"/>
              <w:right w:val="single" w:sz="4" w:space="0" w:color="auto"/>
            </w:tcBorders>
            <w:shd w:val="clear" w:color="auto" w:fill="auto"/>
            <w:noWrap/>
            <w:vAlign w:val="bottom"/>
            <w:hideMark/>
          </w:tcPr>
          <w:p w14:paraId="005295B9" w14:textId="77777777" w:rsidR="00661BC7" w:rsidRDefault="00661BC7">
            <w:pPr>
              <w:jc w:val="right"/>
              <w:rPr>
                <w:rFonts w:cs="Calibri"/>
                <w:color w:val="000000"/>
                <w:sz w:val="16"/>
                <w:szCs w:val="16"/>
              </w:rPr>
            </w:pPr>
            <w:r>
              <w:rPr>
                <w:rFonts w:cs="Calibri"/>
                <w:color w:val="000000"/>
                <w:sz w:val="16"/>
                <w:szCs w:val="16"/>
              </w:rPr>
              <w:t>256.000,00</w:t>
            </w:r>
          </w:p>
        </w:tc>
        <w:tc>
          <w:tcPr>
            <w:tcW w:w="1067" w:type="dxa"/>
            <w:tcBorders>
              <w:top w:val="nil"/>
              <w:left w:val="nil"/>
              <w:bottom w:val="single" w:sz="4" w:space="0" w:color="auto"/>
              <w:right w:val="single" w:sz="4" w:space="0" w:color="auto"/>
            </w:tcBorders>
            <w:shd w:val="clear" w:color="auto" w:fill="auto"/>
            <w:noWrap/>
            <w:vAlign w:val="bottom"/>
            <w:hideMark/>
          </w:tcPr>
          <w:p w14:paraId="7B469ADE" w14:textId="77777777" w:rsidR="00661BC7" w:rsidRDefault="00661BC7">
            <w:pPr>
              <w:jc w:val="right"/>
              <w:rPr>
                <w:rFonts w:cs="Calibri"/>
                <w:color w:val="000000"/>
                <w:sz w:val="16"/>
                <w:szCs w:val="16"/>
              </w:rPr>
            </w:pPr>
            <w:r>
              <w:rPr>
                <w:rFonts w:cs="Calibri"/>
                <w:color w:val="000000"/>
                <w:sz w:val="16"/>
                <w:szCs w:val="16"/>
              </w:rPr>
              <w:t>1.310.000,00</w:t>
            </w:r>
          </w:p>
        </w:tc>
        <w:tc>
          <w:tcPr>
            <w:tcW w:w="909" w:type="dxa"/>
            <w:tcBorders>
              <w:top w:val="nil"/>
              <w:left w:val="nil"/>
              <w:bottom w:val="single" w:sz="4" w:space="0" w:color="auto"/>
              <w:right w:val="single" w:sz="4" w:space="0" w:color="auto"/>
            </w:tcBorders>
            <w:shd w:val="clear" w:color="auto" w:fill="auto"/>
            <w:noWrap/>
            <w:vAlign w:val="bottom"/>
            <w:hideMark/>
          </w:tcPr>
          <w:p w14:paraId="5EB02D7C" w14:textId="77777777" w:rsidR="00661BC7" w:rsidRDefault="00661BC7">
            <w:pPr>
              <w:jc w:val="right"/>
              <w:rPr>
                <w:rFonts w:cs="Calibri"/>
                <w:color w:val="000000"/>
                <w:sz w:val="16"/>
                <w:szCs w:val="16"/>
              </w:rPr>
            </w:pPr>
            <w:r>
              <w:rPr>
                <w:rFonts w:cs="Calibri"/>
                <w:color w:val="000000"/>
                <w:sz w:val="16"/>
                <w:szCs w:val="16"/>
              </w:rPr>
              <w:t>0,00</w:t>
            </w:r>
          </w:p>
        </w:tc>
        <w:tc>
          <w:tcPr>
            <w:tcW w:w="1067" w:type="dxa"/>
            <w:tcBorders>
              <w:top w:val="nil"/>
              <w:left w:val="nil"/>
              <w:bottom w:val="single" w:sz="4" w:space="0" w:color="auto"/>
              <w:right w:val="single" w:sz="4" w:space="0" w:color="auto"/>
            </w:tcBorders>
            <w:shd w:val="clear" w:color="auto" w:fill="auto"/>
            <w:noWrap/>
            <w:vAlign w:val="bottom"/>
            <w:hideMark/>
          </w:tcPr>
          <w:p w14:paraId="27CDD96C" w14:textId="77777777" w:rsidR="00661BC7" w:rsidRDefault="00661BC7">
            <w:pPr>
              <w:jc w:val="right"/>
              <w:rPr>
                <w:rFonts w:cs="Calibri"/>
                <w:color w:val="000000"/>
                <w:sz w:val="16"/>
                <w:szCs w:val="16"/>
              </w:rPr>
            </w:pPr>
            <w:r>
              <w:rPr>
                <w:rFonts w:cs="Calibri"/>
                <w:color w:val="000000"/>
                <w:sz w:val="16"/>
                <w:szCs w:val="16"/>
              </w:rPr>
              <w:t>260.000,00</w:t>
            </w:r>
          </w:p>
        </w:tc>
        <w:tc>
          <w:tcPr>
            <w:tcW w:w="1067" w:type="dxa"/>
            <w:tcBorders>
              <w:top w:val="nil"/>
              <w:left w:val="nil"/>
              <w:bottom w:val="single" w:sz="4" w:space="0" w:color="auto"/>
              <w:right w:val="single" w:sz="4" w:space="0" w:color="auto"/>
            </w:tcBorders>
            <w:shd w:val="clear" w:color="auto" w:fill="auto"/>
            <w:noWrap/>
            <w:vAlign w:val="bottom"/>
            <w:hideMark/>
          </w:tcPr>
          <w:p w14:paraId="1F1AC2E0" w14:textId="77777777" w:rsidR="00661BC7" w:rsidRDefault="00661BC7">
            <w:pPr>
              <w:jc w:val="right"/>
              <w:rPr>
                <w:rFonts w:cs="Calibri"/>
                <w:color w:val="000000"/>
                <w:sz w:val="16"/>
                <w:szCs w:val="16"/>
              </w:rPr>
            </w:pPr>
            <w:r>
              <w:rPr>
                <w:rFonts w:cs="Calibri"/>
                <w:color w:val="000000"/>
                <w:sz w:val="16"/>
                <w:szCs w:val="16"/>
              </w:rPr>
              <w:t>1.310.000,00</w:t>
            </w:r>
          </w:p>
        </w:tc>
        <w:tc>
          <w:tcPr>
            <w:tcW w:w="1067" w:type="dxa"/>
            <w:tcBorders>
              <w:top w:val="nil"/>
              <w:left w:val="nil"/>
              <w:bottom w:val="single" w:sz="4" w:space="0" w:color="auto"/>
              <w:right w:val="single" w:sz="4" w:space="0" w:color="auto"/>
            </w:tcBorders>
            <w:shd w:val="clear" w:color="auto" w:fill="auto"/>
            <w:noWrap/>
            <w:vAlign w:val="bottom"/>
            <w:hideMark/>
          </w:tcPr>
          <w:p w14:paraId="60B2DF85" w14:textId="77777777" w:rsidR="00661BC7" w:rsidRDefault="00661BC7">
            <w:pPr>
              <w:jc w:val="right"/>
              <w:rPr>
                <w:rFonts w:cs="Calibri"/>
                <w:color w:val="000000"/>
                <w:sz w:val="16"/>
                <w:szCs w:val="16"/>
              </w:rPr>
            </w:pPr>
            <w:r>
              <w:rPr>
                <w:rFonts w:cs="Calibri"/>
                <w:color w:val="000000"/>
                <w:sz w:val="16"/>
                <w:szCs w:val="16"/>
              </w:rPr>
              <w:t>1.310.000,00</w:t>
            </w:r>
          </w:p>
        </w:tc>
      </w:tr>
      <w:tr w:rsidR="00661BC7" w14:paraId="152F6F81" w14:textId="77777777" w:rsidTr="0064018E">
        <w:trPr>
          <w:trHeight w:val="288"/>
        </w:trPr>
        <w:tc>
          <w:tcPr>
            <w:tcW w:w="829" w:type="dxa"/>
            <w:tcBorders>
              <w:top w:val="nil"/>
              <w:left w:val="single" w:sz="4" w:space="0" w:color="auto"/>
              <w:bottom w:val="single" w:sz="4" w:space="0" w:color="auto"/>
              <w:right w:val="single" w:sz="4" w:space="0" w:color="auto"/>
            </w:tcBorders>
            <w:shd w:val="clear" w:color="auto" w:fill="auto"/>
            <w:vAlign w:val="bottom"/>
            <w:hideMark/>
          </w:tcPr>
          <w:p w14:paraId="2FA5B05E" w14:textId="77777777" w:rsidR="00661BC7" w:rsidRDefault="00661BC7">
            <w:pPr>
              <w:rPr>
                <w:rFonts w:cs="Calibri"/>
                <w:b/>
                <w:bCs/>
                <w:color w:val="000000"/>
                <w:sz w:val="16"/>
                <w:szCs w:val="16"/>
              </w:rPr>
            </w:pPr>
            <w:proofErr w:type="spellStart"/>
            <w:r>
              <w:rPr>
                <w:rFonts w:cs="Calibri"/>
                <w:b/>
                <w:bCs/>
                <w:color w:val="000000"/>
                <w:sz w:val="16"/>
                <w:szCs w:val="16"/>
              </w:rPr>
              <w:t>Lošinjski</w:t>
            </w:r>
            <w:proofErr w:type="spellEnd"/>
            <w:r>
              <w:rPr>
                <w:rFonts w:cs="Calibri"/>
                <w:b/>
                <w:bCs/>
                <w:color w:val="000000"/>
                <w:sz w:val="16"/>
                <w:szCs w:val="16"/>
              </w:rPr>
              <w:t xml:space="preserve"> </w:t>
            </w:r>
            <w:proofErr w:type="spellStart"/>
            <w:r>
              <w:rPr>
                <w:rFonts w:cs="Calibri"/>
                <w:b/>
                <w:bCs/>
                <w:color w:val="000000"/>
                <w:sz w:val="16"/>
                <w:szCs w:val="16"/>
              </w:rPr>
              <w:t>muzej</w:t>
            </w:r>
            <w:proofErr w:type="spellEnd"/>
          </w:p>
        </w:tc>
        <w:tc>
          <w:tcPr>
            <w:tcW w:w="1067" w:type="dxa"/>
            <w:tcBorders>
              <w:top w:val="nil"/>
              <w:left w:val="nil"/>
              <w:bottom w:val="single" w:sz="4" w:space="0" w:color="auto"/>
              <w:right w:val="single" w:sz="4" w:space="0" w:color="auto"/>
            </w:tcBorders>
            <w:shd w:val="clear" w:color="auto" w:fill="auto"/>
            <w:noWrap/>
            <w:vAlign w:val="bottom"/>
            <w:hideMark/>
          </w:tcPr>
          <w:p w14:paraId="026BDE45" w14:textId="77777777" w:rsidR="00661BC7" w:rsidRDefault="00661BC7">
            <w:pPr>
              <w:jc w:val="right"/>
              <w:rPr>
                <w:rFonts w:cs="Calibri"/>
                <w:color w:val="000000"/>
                <w:sz w:val="16"/>
                <w:szCs w:val="16"/>
              </w:rPr>
            </w:pPr>
            <w:r>
              <w:rPr>
                <w:rFonts w:cs="Calibri"/>
                <w:color w:val="000000"/>
                <w:sz w:val="16"/>
                <w:szCs w:val="16"/>
              </w:rPr>
              <w:t>1.462.354,00</w:t>
            </w:r>
          </w:p>
        </w:tc>
        <w:tc>
          <w:tcPr>
            <w:tcW w:w="1067" w:type="dxa"/>
            <w:tcBorders>
              <w:top w:val="nil"/>
              <w:left w:val="nil"/>
              <w:bottom w:val="single" w:sz="4" w:space="0" w:color="auto"/>
              <w:right w:val="single" w:sz="4" w:space="0" w:color="auto"/>
            </w:tcBorders>
            <w:shd w:val="clear" w:color="auto" w:fill="auto"/>
            <w:noWrap/>
            <w:vAlign w:val="bottom"/>
            <w:hideMark/>
          </w:tcPr>
          <w:p w14:paraId="7F3AA18E" w14:textId="77777777" w:rsidR="00661BC7" w:rsidRDefault="00661BC7">
            <w:pPr>
              <w:jc w:val="right"/>
              <w:rPr>
                <w:rFonts w:cs="Calibri"/>
                <w:color w:val="000000"/>
                <w:sz w:val="16"/>
                <w:szCs w:val="16"/>
              </w:rPr>
            </w:pPr>
            <w:r>
              <w:rPr>
                <w:rFonts w:cs="Calibri"/>
                <w:color w:val="000000"/>
                <w:sz w:val="16"/>
                <w:szCs w:val="16"/>
              </w:rPr>
              <w:t>289.166,00</w:t>
            </w:r>
          </w:p>
        </w:tc>
        <w:tc>
          <w:tcPr>
            <w:tcW w:w="1067" w:type="dxa"/>
            <w:tcBorders>
              <w:top w:val="nil"/>
              <w:left w:val="nil"/>
              <w:bottom w:val="single" w:sz="4" w:space="0" w:color="auto"/>
              <w:right w:val="single" w:sz="4" w:space="0" w:color="auto"/>
            </w:tcBorders>
            <w:shd w:val="clear" w:color="auto" w:fill="auto"/>
            <w:noWrap/>
            <w:vAlign w:val="bottom"/>
            <w:hideMark/>
          </w:tcPr>
          <w:p w14:paraId="0754B00A" w14:textId="77777777" w:rsidR="00661BC7" w:rsidRDefault="00661BC7">
            <w:pPr>
              <w:jc w:val="right"/>
              <w:rPr>
                <w:rFonts w:cs="Calibri"/>
                <w:color w:val="000000"/>
                <w:sz w:val="16"/>
                <w:szCs w:val="16"/>
              </w:rPr>
            </w:pPr>
            <w:r>
              <w:rPr>
                <w:rFonts w:cs="Calibri"/>
                <w:color w:val="000000"/>
                <w:sz w:val="16"/>
                <w:szCs w:val="16"/>
              </w:rPr>
              <w:t>1.596.850,00</w:t>
            </w:r>
          </w:p>
        </w:tc>
        <w:tc>
          <w:tcPr>
            <w:tcW w:w="1067" w:type="dxa"/>
            <w:tcBorders>
              <w:top w:val="nil"/>
              <w:left w:val="nil"/>
              <w:bottom w:val="single" w:sz="4" w:space="0" w:color="auto"/>
              <w:right w:val="single" w:sz="4" w:space="0" w:color="auto"/>
            </w:tcBorders>
            <w:shd w:val="clear" w:color="auto" w:fill="auto"/>
            <w:noWrap/>
            <w:vAlign w:val="bottom"/>
            <w:hideMark/>
          </w:tcPr>
          <w:p w14:paraId="56F225F4" w14:textId="77777777" w:rsidR="00661BC7" w:rsidRDefault="00661BC7">
            <w:pPr>
              <w:jc w:val="right"/>
              <w:rPr>
                <w:rFonts w:cs="Calibri"/>
                <w:color w:val="000000"/>
                <w:sz w:val="16"/>
                <w:szCs w:val="16"/>
              </w:rPr>
            </w:pPr>
            <w:r>
              <w:rPr>
                <w:rFonts w:cs="Calibri"/>
                <w:color w:val="000000"/>
                <w:sz w:val="16"/>
                <w:szCs w:val="16"/>
              </w:rPr>
              <w:t>122.400,00</w:t>
            </w:r>
          </w:p>
        </w:tc>
        <w:tc>
          <w:tcPr>
            <w:tcW w:w="1067" w:type="dxa"/>
            <w:tcBorders>
              <w:top w:val="nil"/>
              <w:left w:val="nil"/>
              <w:bottom w:val="single" w:sz="4" w:space="0" w:color="auto"/>
              <w:right w:val="single" w:sz="4" w:space="0" w:color="auto"/>
            </w:tcBorders>
            <w:shd w:val="clear" w:color="auto" w:fill="auto"/>
            <w:noWrap/>
            <w:vAlign w:val="bottom"/>
            <w:hideMark/>
          </w:tcPr>
          <w:p w14:paraId="22A6F5EE" w14:textId="77777777" w:rsidR="00661BC7" w:rsidRDefault="00661BC7">
            <w:pPr>
              <w:jc w:val="right"/>
              <w:rPr>
                <w:rFonts w:cs="Calibri"/>
                <w:color w:val="000000"/>
                <w:sz w:val="16"/>
                <w:szCs w:val="16"/>
              </w:rPr>
            </w:pPr>
            <w:r>
              <w:rPr>
                <w:rFonts w:cs="Calibri"/>
                <w:color w:val="000000"/>
                <w:sz w:val="16"/>
                <w:szCs w:val="16"/>
              </w:rPr>
              <w:t>1.605.000,00</w:t>
            </w:r>
          </w:p>
        </w:tc>
        <w:tc>
          <w:tcPr>
            <w:tcW w:w="909" w:type="dxa"/>
            <w:tcBorders>
              <w:top w:val="nil"/>
              <w:left w:val="nil"/>
              <w:bottom w:val="single" w:sz="4" w:space="0" w:color="auto"/>
              <w:right w:val="single" w:sz="4" w:space="0" w:color="auto"/>
            </w:tcBorders>
            <w:shd w:val="clear" w:color="auto" w:fill="auto"/>
            <w:noWrap/>
            <w:vAlign w:val="bottom"/>
            <w:hideMark/>
          </w:tcPr>
          <w:p w14:paraId="7A3581B3" w14:textId="77777777" w:rsidR="00661BC7" w:rsidRDefault="00661BC7">
            <w:pPr>
              <w:jc w:val="right"/>
              <w:rPr>
                <w:rFonts w:cs="Calibri"/>
                <w:color w:val="000000"/>
                <w:sz w:val="16"/>
                <w:szCs w:val="16"/>
              </w:rPr>
            </w:pPr>
            <w:r>
              <w:rPr>
                <w:rFonts w:cs="Calibri"/>
                <w:color w:val="000000"/>
                <w:sz w:val="16"/>
                <w:szCs w:val="16"/>
              </w:rPr>
              <w:t>0,00</w:t>
            </w:r>
          </w:p>
        </w:tc>
        <w:tc>
          <w:tcPr>
            <w:tcW w:w="1067" w:type="dxa"/>
            <w:tcBorders>
              <w:top w:val="nil"/>
              <w:left w:val="nil"/>
              <w:bottom w:val="single" w:sz="4" w:space="0" w:color="auto"/>
              <w:right w:val="single" w:sz="4" w:space="0" w:color="auto"/>
            </w:tcBorders>
            <w:shd w:val="clear" w:color="auto" w:fill="auto"/>
            <w:noWrap/>
            <w:vAlign w:val="bottom"/>
            <w:hideMark/>
          </w:tcPr>
          <w:p w14:paraId="71BDB2D9" w14:textId="77777777" w:rsidR="00661BC7" w:rsidRDefault="00661BC7">
            <w:pPr>
              <w:jc w:val="right"/>
              <w:rPr>
                <w:rFonts w:cs="Calibri"/>
                <w:color w:val="000000"/>
                <w:sz w:val="16"/>
                <w:szCs w:val="16"/>
              </w:rPr>
            </w:pPr>
            <w:r>
              <w:rPr>
                <w:rFonts w:cs="Calibri"/>
                <w:color w:val="000000"/>
                <w:sz w:val="16"/>
                <w:szCs w:val="16"/>
              </w:rPr>
              <w:t>130.000,00</w:t>
            </w:r>
          </w:p>
        </w:tc>
        <w:tc>
          <w:tcPr>
            <w:tcW w:w="1067" w:type="dxa"/>
            <w:tcBorders>
              <w:top w:val="nil"/>
              <w:left w:val="nil"/>
              <w:bottom w:val="single" w:sz="4" w:space="0" w:color="auto"/>
              <w:right w:val="single" w:sz="4" w:space="0" w:color="auto"/>
            </w:tcBorders>
            <w:shd w:val="clear" w:color="auto" w:fill="auto"/>
            <w:noWrap/>
            <w:vAlign w:val="bottom"/>
            <w:hideMark/>
          </w:tcPr>
          <w:p w14:paraId="158334BB" w14:textId="77777777" w:rsidR="00661BC7" w:rsidRDefault="00661BC7">
            <w:pPr>
              <w:jc w:val="right"/>
              <w:rPr>
                <w:rFonts w:cs="Calibri"/>
                <w:color w:val="000000"/>
                <w:sz w:val="16"/>
                <w:szCs w:val="16"/>
              </w:rPr>
            </w:pPr>
            <w:r>
              <w:rPr>
                <w:rFonts w:cs="Calibri"/>
                <w:color w:val="000000"/>
                <w:sz w:val="16"/>
                <w:szCs w:val="16"/>
              </w:rPr>
              <w:t>1.605.000,00</w:t>
            </w:r>
          </w:p>
        </w:tc>
        <w:tc>
          <w:tcPr>
            <w:tcW w:w="1067" w:type="dxa"/>
            <w:tcBorders>
              <w:top w:val="nil"/>
              <w:left w:val="nil"/>
              <w:bottom w:val="single" w:sz="4" w:space="0" w:color="auto"/>
              <w:right w:val="single" w:sz="4" w:space="0" w:color="auto"/>
            </w:tcBorders>
            <w:shd w:val="clear" w:color="auto" w:fill="auto"/>
            <w:noWrap/>
            <w:vAlign w:val="bottom"/>
            <w:hideMark/>
          </w:tcPr>
          <w:p w14:paraId="658AB430" w14:textId="77777777" w:rsidR="00661BC7" w:rsidRDefault="00661BC7">
            <w:pPr>
              <w:jc w:val="right"/>
              <w:rPr>
                <w:rFonts w:cs="Calibri"/>
                <w:color w:val="000000"/>
                <w:sz w:val="16"/>
                <w:szCs w:val="16"/>
              </w:rPr>
            </w:pPr>
            <w:r>
              <w:rPr>
                <w:rFonts w:cs="Calibri"/>
                <w:color w:val="000000"/>
                <w:sz w:val="16"/>
                <w:szCs w:val="16"/>
              </w:rPr>
              <w:t>1.605.000,00</w:t>
            </w:r>
          </w:p>
        </w:tc>
      </w:tr>
      <w:tr w:rsidR="00661BC7" w14:paraId="5D9A7190" w14:textId="77777777" w:rsidTr="0064018E">
        <w:trPr>
          <w:trHeight w:val="480"/>
        </w:trPr>
        <w:tc>
          <w:tcPr>
            <w:tcW w:w="829" w:type="dxa"/>
            <w:tcBorders>
              <w:top w:val="nil"/>
              <w:left w:val="single" w:sz="4" w:space="0" w:color="auto"/>
              <w:bottom w:val="single" w:sz="4" w:space="0" w:color="auto"/>
              <w:right w:val="single" w:sz="4" w:space="0" w:color="auto"/>
            </w:tcBorders>
            <w:shd w:val="clear" w:color="auto" w:fill="auto"/>
            <w:vAlign w:val="bottom"/>
            <w:hideMark/>
          </w:tcPr>
          <w:p w14:paraId="57D56813" w14:textId="77777777" w:rsidR="00661BC7" w:rsidRDefault="00661BC7">
            <w:pPr>
              <w:rPr>
                <w:rFonts w:cs="Calibri"/>
                <w:b/>
                <w:bCs/>
                <w:color w:val="000000"/>
                <w:sz w:val="16"/>
                <w:szCs w:val="16"/>
              </w:rPr>
            </w:pPr>
            <w:proofErr w:type="spellStart"/>
            <w:r>
              <w:rPr>
                <w:rFonts w:cs="Calibri"/>
                <w:b/>
                <w:bCs/>
                <w:color w:val="000000"/>
                <w:sz w:val="16"/>
                <w:szCs w:val="16"/>
              </w:rPr>
              <w:t>Dječji</w:t>
            </w:r>
            <w:proofErr w:type="spellEnd"/>
            <w:r>
              <w:rPr>
                <w:rFonts w:cs="Calibri"/>
                <w:b/>
                <w:bCs/>
                <w:color w:val="000000"/>
                <w:sz w:val="16"/>
                <w:szCs w:val="16"/>
              </w:rPr>
              <w:t xml:space="preserve"> </w:t>
            </w:r>
            <w:proofErr w:type="spellStart"/>
            <w:r>
              <w:rPr>
                <w:rFonts w:cs="Calibri"/>
                <w:b/>
                <w:bCs/>
                <w:color w:val="000000"/>
                <w:sz w:val="16"/>
                <w:szCs w:val="16"/>
              </w:rPr>
              <w:t>vrtić</w:t>
            </w:r>
            <w:proofErr w:type="spellEnd"/>
            <w:r>
              <w:rPr>
                <w:rFonts w:cs="Calibri"/>
                <w:b/>
                <w:bCs/>
                <w:color w:val="000000"/>
                <w:sz w:val="16"/>
                <w:szCs w:val="16"/>
              </w:rPr>
              <w:t xml:space="preserve"> </w:t>
            </w:r>
            <w:proofErr w:type="spellStart"/>
            <w:r>
              <w:rPr>
                <w:rFonts w:cs="Calibri"/>
                <w:b/>
                <w:bCs/>
                <w:color w:val="000000"/>
                <w:sz w:val="16"/>
                <w:szCs w:val="16"/>
              </w:rPr>
              <w:t>Cvrčak</w:t>
            </w:r>
            <w:proofErr w:type="spellEnd"/>
          </w:p>
        </w:tc>
        <w:tc>
          <w:tcPr>
            <w:tcW w:w="1067" w:type="dxa"/>
            <w:tcBorders>
              <w:top w:val="nil"/>
              <w:left w:val="nil"/>
              <w:bottom w:val="single" w:sz="4" w:space="0" w:color="auto"/>
              <w:right w:val="single" w:sz="4" w:space="0" w:color="auto"/>
            </w:tcBorders>
            <w:shd w:val="clear" w:color="auto" w:fill="auto"/>
            <w:noWrap/>
            <w:vAlign w:val="bottom"/>
            <w:hideMark/>
          </w:tcPr>
          <w:p w14:paraId="3106944B" w14:textId="77777777" w:rsidR="00661BC7" w:rsidRDefault="00661BC7">
            <w:pPr>
              <w:jc w:val="right"/>
              <w:rPr>
                <w:rFonts w:cs="Calibri"/>
                <w:color w:val="000000"/>
                <w:sz w:val="16"/>
                <w:szCs w:val="16"/>
              </w:rPr>
            </w:pPr>
            <w:r>
              <w:rPr>
                <w:rFonts w:cs="Calibri"/>
                <w:color w:val="000000"/>
                <w:sz w:val="16"/>
                <w:szCs w:val="16"/>
              </w:rPr>
              <w:t>7.731.867,00</w:t>
            </w:r>
          </w:p>
        </w:tc>
        <w:tc>
          <w:tcPr>
            <w:tcW w:w="1067" w:type="dxa"/>
            <w:tcBorders>
              <w:top w:val="nil"/>
              <w:left w:val="nil"/>
              <w:bottom w:val="single" w:sz="4" w:space="0" w:color="auto"/>
              <w:right w:val="single" w:sz="4" w:space="0" w:color="auto"/>
            </w:tcBorders>
            <w:shd w:val="clear" w:color="auto" w:fill="auto"/>
            <w:noWrap/>
            <w:vAlign w:val="bottom"/>
            <w:hideMark/>
          </w:tcPr>
          <w:p w14:paraId="6473D098" w14:textId="77777777" w:rsidR="00661BC7" w:rsidRDefault="00661BC7">
            <w:pPr>
              <w:jc w:val="right"/>
              <w:rPr>
                <w:rFonts w:cs="Calibri"/>
                <w:color w:val="000000"/>
                <w:sz w:val="16"/>
                <w:szCs w:val="16"/>
              </w:rPr>
            </w:pPr>
            <w:r>
              <w:rPr>
                <w:rFonts w:cs="Calibri"/>
                <w:color w:val="000000"/>
                <w:sz w:val="16"/>
                <w:szCs w:val="16"/>
              </w:rPr>
              <w:t>1.777.029,00</w:t>
            </w:r>
          </w:p>
        </w:tc>
        <w:tc>
          <w:tcPr>
            <w:tcW w:w="1067" w:type="dxa"/>
            <w:tcBorders>
              <w:top w:val="nil"/>
              <w:left w:val="nil"/>
              <w:bottom w:val="single" w:sz="4" w:space="0" w:color="auto"/>
              <w:right w:val="single" w:sz="4" w:space="0" w:color="auto"/>
            </w:tcBorders>
            <w:shd w:val="clear" w:color="auto" w:fill="auto"/>
            <w:noWrap/>
            <w:vAlign w:val="bottom"/>
            <w:hideMark/>
          </w:tcPr>
          <w:p w14:paraId="4A163EC5" w14:textId="77777777" w:rsidR="00661BC7" w:rsidRDefault="00661BC7">
            <w:pPr>
              <w:jc w:val="right"/>
              <w:rPr>
                <w:rFonts w:cs="Calibri"/>
                <w:color w:val="000000"/>
                <w:sz w:val="16"/>
                <w:szCs w:val="16"/>
              </w:rPr>
            </w:pPr>
            <w:r>
              <w:rPr>
                <w:rFonts w:cs="Calibri"/>
                <w:color w:val="000000"/>
                <w:sz w:val="16"/>
                <w:szCs w:val="16"/>
              </w:rPr>
              <w:t>7.953.580,00</w:t>
            </w:r>
          </w:p>
        </w:tc>
        <w:tc>
          <w:tcPr>
            <w:tcW w:w="1067" w:type="dxa"/>
            <w:tcBorders>
              <w:top w:val="nil"/>
              <w:left w:val="nil"/>
              <w:bottom w:val="single" w:sz="4" w:space="0" w:color="auto"/>
              <w:right w:val="single" w:sz="4" w:space="0" w:color="auto"/>
            </w:tcBorders>
            <w:shd w:val="clear" w:color="auto" w:fill="auto"/>
            <w:noWrap/>
            <w:vAlign w:val="bottom"/>
            <w:hideMark/>
          </w:tcPr>
          <w:p w14:paraId="5272E674" w14:textId="77777777" w:rsidR="00661BC7" w:rsidRDefault="00661BC7">
            <w:pPr>
              <w:jc w:val="right"/>
              <w:rPr>
                <w:rFonts w:cs="Calibri"/>
                <w:color w:val="000000"/>
                <w:sz w:val="16"/>
                <w:szCs w:val="16"/>
              </w:rPr>
            </w:pPr>
            <w:r>
              <w:rPr>
                <w:rFonts w:cs="Calibri"/>
                <w:color w:val="000000"/>
                <w:sz w:val="16"/>
                <w:szCs w:val="16"/>
              </w:rPr>
              <w:t>1.950.000,00</w:t>
            </w:r>
          </w:p>
        </w:tc>
        <w:tc>
          <w:tcPr>
            <w:tcW w:w="1067" w:type="dxa"/>
            <w:tcBorders>
              <w:top w:val="nil"/>
              <w:left w:val="nil"/>
              <w:bottom w:val="single" w:sz="4" w:space="0" w:color="auto"/>
              <w:right w:val="single" w:sz="4" w:space="0" w:color="auto"/>
            </w:tcBorders>
            <w:shd w:val="clear" w:color="auto" w:fill="auto"/>
            <w:noWrap/>
            <w:vAlign w:val="bottom"/>
            <w:hideMark/>
          </w:tcPr>
          <w:p w14:paraId="1CFFD6A5" w14:textId="77777777" w:rsidR="00661BC7" w:rsidRDefault="00661BC7">
            <w:pPr>
              <w:jc w:val="right"/>
              <w:rPr>
                <w:rFonts w:cs="Calibri"/>
                <w:color w:val="000000"/>
                <w:sz w:val="16"/>
                <w:szCs w:val="16"/>
              </w:rPr>
            </w:pPr>
            <w:r>
              <w:rPr>
                <w:rFonts w:cs="Calibri"/>
                <w:color w:val="000000"/>
                <w:sz w:val="16"/>
                <w:szCs w:val="16"/>
              </w:rPr>
              <w:t>7.960.000,00</w:t>
            </w:r>
          </w:p>
        </w:tc>
        <w:tc>
          <w:tcPr>
            <w:tcW w:w="909" w:type="dxa"/>
            <w:tcBorders>
              <w:top w:val="nil"/>
              <w:left w:val="nil"/>
              <w:bottom w:val="single" w:sz="4" w:space="0" w:color="auto"/>
              <w:right w:val="single" w:sz="4" w:space="0" w:color="auto"/>
            </w:tcBorders>
            <w:shd w:val="clear" w:color="auto" w:fill="auto"/>
            <w:noWrap/>
            <w:vAlign w:val="bottom"/>
            <w:hideMark/>
          </w:tcPr>
          <w:p w14:paraId="1DDA3E00" w14:textId="77777777" w:rsidR="00661BC7" w:rsidRDefault="00661BC7">
            <w:pPr>
              <w:jc w:val="right"/>
              <w:rPr>
                <w:rFonts w:cs="Calibri"/>
                <w:color w:val="000000"/>
                <w:sz w:val="16"/>
                <w:szCs w:val="16"/>
              </w:rPr>
            </w:pPr>
            <w:r>
              <w:rPr>
                <w:rFonts w:cs="Calibri"/>
                <w:color w:val="000000"/>
                <w:sz w:val="16"/>
                <w:szCs w:val="16"/>
              </w:rPr>
              <w:t>0,00</w:t>
            </w:r>
          </w:p>
        </w:tc>
        <w:tc>
          <w:tcPr>
            <w:tcW w:w="1067" w:type="dxa"/>
            <w:tcBorders>
              <w:top w:val="nil"/>
              <w:left w:val="nil"/>
              <w:bottom w:val="single" w:sz="4" w:space="0" w:color="auto"/>
              <w:right w:val="single" w:sz="4" w:space="0" w:color="auto"/>
            </w:tcBorders>
            <w:shd w:val="clear" w:color="auto" w:fill="auto"/>
            <w:noWrap/>
            <w:vAlign w:val="bottom"/>
            <w:hideMark/>
          </w:tcPr>
          <w:p w14:paraId="58895978" w14:textId="77777777" w:rsidR="00661BC7" w:rsidRDefault="00661BC7">
            <w:pPr>
              <w:jc w:val="right"/>
              <w:rPr>
                <w:rFonts w:cs="Calibri"/>
                <w:color w:val="000000"/>
                <w:sz w:val="16"/>
                <w:szCs w:val="16"/>
              </w:rPr>
            </w:pPr>
            <w:r>
              <w:rPr>
                <w:rFonts w:cs="Calibri"/>
                <w:color w:val="000000"/>
                <w:sz w:val="16"/>
                <w:szCs w:val="16"/>
              </w:rPr>
              <w:t>1.950.000,00</w:t>
            </w:r>
          </w:p>
        </w:tc>
        <w:tc>
          <w:tcPr>
            <w:tcW w:w="1067" w:type="dxa"/>
            <w:tcBorders>
              <w:top w:val="nil"/>
              <w:left w:val="nil"/>
              <w:bottom w:val="single" w:sz="4" w:space="0" w:color="auto"/>
              <w:right w:val="single" w:sz="4" w:space="0" w:color="auto"/>
            </w:tcBorders>
            <w:shd w:val="clear" w:color="auto" w:fill="auto"/>
            <w:noWrap/>
            <w:vAlign w:val="bottom"/>
            <w:hideMark/>
          </w:tcPr>
          <w:p w14:paraId="283A37C6" w14:textId="77777777" w:rsidR="00661BC7" w:rsidRDefault="00661BC7">
            <w:pPr>
              <w:jc w:val="right"/>
              <w:rPr>
                <w:rFonts w:cs="Calibri"/>
                <w:color w:val="000000"/>
                <w:sz w:val="16"/>
                <w:szCs w:val="16"/>
              </w:rPr>
            </w:pPr>
            <w:r>
              <w:rPr>
                <w:rFonts w:cs="Calibri"/>
                <w:color w:val="000000"/>
                <w:sz w:val="16"/>
                <w:szCs w:val="16"/>
              </w:rPr>
              <w:t>7.960.000,00</w:t>
            </w:r>
          </w:p>
        </w:tc>
        <w:tc>
          <w:tcPr>
            <w:tcW w:w="1067" w:type="dxa"/>
            <w:tcBorders>
              <w:top w:val="nil"/>
              <w:left w:val="nil"/>
              <w:bottom w:val="single" w:sz="4" w:space="0" w:color="auto"/>
              <w:right w:val="single" w:sz="4" w:space="0" w:color="auto"/>
            </w:tcBorders>
            <w:shd w:val="clear" w:color="auto" w:fill="auto"/>
            <w:noWrap/>
            <w:vAlign w:val="bottom"/>
            <w:hideMark/>
          </w:tcPr>
          <w:p w14:paraId="5C7A5EFA" w14:textId="77777777" w:rsidR="00661BC7" w:rsidRDefault="00661BC7">
            <w:pPr>
              <w:jc w:val="right"/>
              <w:rPr>
                <w:rFonts w:cs="Calibri"/>
                <w:color w:val="000000"/>
                <w:sz w:val="16"/>
                <w:szCs w:val="16"/>
              </w:rPr>
            </w:pPr>
            <w:r>
              <w:rPr>
                <w:rFonts w:cs="Calibri"/>
                <w:color w:val="000000"/>
                <w:sz w:val="16"/>
                <w:szCs w:val="16"/>
              </w:rPr>
              <w:t>7.960.000,00</w:t>
            </w:r>
          </w:p>
        </w:tc>
      </w:tr>
    </w:tbl>
    <w:p w14:paraId="6B2986DC" w14:textId="77777777" w:rsidR="00BC0B7F" w:rsidRPr="00C91F2F" w:rsidRDefault="00BC0B7F" w:rsidP="00126235">
      <w:pPr>
        <w:jc w:val="both"/>
        <w:rPr>
          <w:rFonts w:ascii="Arial" w:hAnsi="Arial" w:cs="Arial"/>
          <w:b/>
          <w:color w:val="FF0000"/>
          <w:sz w:val="22"/>
          <w:szCs w:val="22"/>
          <w:lang w:val="hr-HR"/>
        </w:rPr>
      </w:pPr>
    </w:p>
    <w:p w14:paraId="3327859B" w14:textId="77777777" w:rsidR="00BC0B7F" w:rsidRPr="00C91F2F" w:rsidRDefault="00BC0B7F" w:rsidP="00126235">
      <w:pPr>
        <w:jc w:val="both"/>
        <w:rPr>
          <w:rFonts w:ascii="Arial" w:hAnsi="Arial" w:cs="Arial"/>
          <w:b/>
          <w:color w:val="FF0000"/>
          <w:sz w:val="22"/>
          <w:szCs w:val="22"/>
          <w:lang w:val="hr-HR"/>
        </w:rPr>
      </w:pPr>
    </w:p>
    <w:p w14:paraId="0E3D6381" w14:textId="77777777" w:rsidR="00BC0B7F" w:rsidRPr="00C91F2F" w:rsidRDefault="00BC0B7F" w:rsidP="00126235">
      <w:pPr>
        <w:jc w:val="both"/>
        <w:rPr>
          <w:rFonts w:ascii="Arial" w:hAnsi="Arial" w:cs="Arial"/>
          <w:b/>
          <w:color w:val="FF0000"/>
          <w:sz w:val="22"/>
          <w:szCs w:val="22"/>
          <w:lang w:val="hr-HR"/>
        </w:rPr>
      </w:pPr>
    </w:p>
    <w:p w14:paraId="641EF752" w14:textId="2E4B84A1" w:rsidR="00BC0B7F" w:rsidRPr="00C91F2F" w:rsidRDefault="00F562E3" w:rsidP="00126235">
      <w:pPr>
        <w:jc w:val="both"/>
        <w:rPr>
          <w:rFonts w:ascii="Arial" w:hAnsi="Arial" w:cs="Arial"/>
          <w:b/>
          <w:color w:val="000000" w:themeColor="text1"/>
          <w:sz w:val="22"/>
          <w:szCs w:val="22"/>
          <w:lang w:val="hr-HR"/>
        </w:rPr>
      </w:pPr>
      <w:r w:rsidRPr="00EF4466">
        <w:rPr>
          <w:rFonts w:ascii="Arial" w:hAnsi="Arial" w:cs="Arial"/>
          <w:i/>
          <w:color w:val="000000" w:themeColor="text1"/>
          <w:sz w:val="22"/>
          <w:szCs w:val="22"/>
          <w:lang w:val="hr-HR"/>
        </w:rPr>
        <w:t>Tablica 4.</w:t>
      </w:r>
      <w:r>
        <w:rPr>
          <w:rFonts w:ascii="Arial" w:hAnsi="Arial" w:cs="Arial"/>
          <w:b/>
          <w:color w:val="000000" w:themeColor="text1"/>
          <w:sz w:val="22"/>
          <w:szCs w:val="22"/>
          <w:lang w:val="hr-HR"/>
        </w:rPr>
        <w:t xml:space="preserve"> </w:t>
      </w:r>
      <w:r w:rsidR="00BC0B7F" w:rsidRPr="00C91F2F">
        <w:rPr>
          <w:rFonts w:ascii="Arial" w:hAnsi="Arial" w:cs="Arial"/>
          <w:b/>
          <w:color w:val="000000" w:themeColor="text1"/>
          <w:sz w:val="22"/>
          <w:szCs w:val="22"/>
          <w:lang w:val="hr-HR"/>
        </w:rPr>
        <w:t>LIMIT UKUPNIH RASHODA ZA DECENTRALIZIRANE FUNKCIJE - JVP</w:t>
      </w:r>
    </w:p>
    <w:p w14:paraId="1302EC1E" w14:textId="77777777" w:rsidR="00BC0B7F" w:rsidRPr="00C91F2F" w:rsidRDefault="00BC0B7F" w:rsidP="00126235">
      <w:pPr>
        <w:jc w:val="both"/>
        <w:rPr>
          <w:rFonts w:ascii="Arial" w:hAnsi="Arial" w:cs="Arial"/>
          <w:b/>
          <w:color w:val="FF0000"/>
          <w:sz w:val="22"/>
          <w:szCs w:val="22"/>
          <w:lang w:val="hr-HR"/>
        </w:rPr>
      </w:pPr>
    </w:p>
    <w:p w14:paraId="722900E1" w14:textId="77777777" w:rsidR="00BC0B7F" w:rsidRPr="00C91F2F" w:rsidRDefault="00BC0B7F" w:rsidP="00126235">
      <w:pPr>
        <w:jc w:val="both"/>
        <w:rPr>
          <w:rFonts w:ascii="Arial" w:hAnsi="Arial" w:cs="Arial"/>
          <w:b/>
          <w:color w:val="FF0000"/>
          <w:sz w:val="22"/>
          <w:szCs w:val="22"/>
          <w:lang w:val="hr-HR"/>
        </w:rPr>
      </w:pPr>
    </w:p>
    <w:tbl>
      <w:tblPr>
        <w:tblStyle w:val="TableGrid"/>
        <w:tblW w:w="0" w:type="auto"/>
        <w:tblLook w:val="04A0" w:firstRow="1" w:lastRow="0" w:firstColumn="1" w:lastColumn="0" w:noHBand="0" w:noVBand="1"/>
      </w:tblPr>
      <w:tblGrid>
        <w:gridCol w:w="1282"/>
        <w:gridCol w:w="1225"/>
        <w:gridCol w:w="1224"/>
        <w:gridCol w:w="1224"/>
        <w:gridCol w:w="1220"/>
        <w:gridCol w:w="1227"/>
        <w:gridCol w:w="1228"/>
      </w:tblGrid>
      <w:tr w:rsidR="00BC0B7F" w:rsidRPr="00C91F2F" w14:paraId="1D617632" w14:textId="77777777" w:rsidTr="00126235">
        <w:tc>
          <w:tcPr>
            <w:tcW w:w="1282" w:type="dxa"/>
          </w:tcPr>
          <w:p w14:paraId="2A13AA9B" w14:textId="77777777" w:rsidR="00BC0B7F" w:rsidRPr="00C91F2F" w:rsidRDefault="00BC0B7F" w:rsidP="001426E8">
            <w:pPr>
              <w:jc w:val="center"/>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IZVOR</w:t>
            </w:r>
          </w:p>
        </w:tc>
        <w:tc>
          <w:tcPr>
            <w:tcW w:w="1225" w:type="dxa"/>
          </w:tcPr>
          <w:p w14:paraId="4F84C151" w14:textId="503E6116" w:rsidR="00BC0B7F" w:rsidRPr="00C91F2F" w:rsidRDefault="00BC0B7F" w:rsidP="001426E8">
            <w:pPr>
              <w:jc w:val="center"/>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Izvršenje 201</w:t>
            </w:r>
            <w:r w:rsidR="001426E8">
              <w:rPr>
                <w:rFonts w:ascii="Arial" w:hAnsi="Arial" w:cs="Arial"/>
                <w:b/>
                <w:color w:val="000000" w:themeColor="text1"/>
                <w:sz w:val="14"/>
                <w:szCs w:val="14"/>
                <w:lang w:val="hr-HR"/>
              </w:rPr>
              <w:t>7</w:t>
            </w:r>
            <w:r w:rsidRPr="00C91F2F">
              <w:rPr>
                <w:rFonts w:ascii="Arial" w:hAnsi="Arial" w:cs="Arial"/>
                <w:b/>
                <w:color w:val="000000" w:themeColor="text1"/>
                <w:sz w:val="14"/>
                <w:szCs w:val="14"/>
                <w:lang w:val="hr-HR"/>
              </w:rPr>
              <w:t>.</w:t>
            </w:r>
          </w:p>
        </w:tc>
        <w:tc>
          <w:tcPr>
            <w:tcW w:w="1224" w:type="dxa"/>
          </w:tcPr>
          <w:p w14:paraId="32F9256E" w14:textId="45A619F4" w:rsidR="00BC0B7F" w:rsidRPr="00C91F2F" w:rsidRDefault="00BC0B7F" w:rsidP="001426E8">
            <w:pPr>
              <w:jc w:val="center"/>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Tekući plan 201</w:t>
            </w:r>
            <w:r w:rsidR="001426E8">
              <w:rPr>
                <w:rFonts w:ascii="Arial" w:hAnsi="Arial" w:cs="Arial"/>
                <w:b/>
                <w:color w:val="000000" w:themeColor="text1"/>
                <w:sz w:val="14"/>
                <w:szCs w:val="14"/>
                <w:lang w:val="hr-HR"/>
              </w:rPr>
              <w:t>8</w:t>
            </w:r>
            <w:r w:rsidRPr="00C91F2F">
              <w:rPr>
                <w:rFonts w:ascii="Arial" w:hAnsi="Arial" w:cs="Arial"/>
                <w:b/>
                <w:color w:val="000000" w:themeColor="text1"/>
                <w:sz w:val="14"/>
                <w:szCs w:val="14"/>
                <w:lang w:val="hr-HR"/>
              </w:rPr>
              <w:t>.</w:t>
            </w:r>
          </w:p>
        </w:tc>
        <w:tc>
          <w:tcPr>
            <w:tcW w:w="2444" w:type="dxa"/>
            <w:gridSpan w:val="2"/>
          </w:tcPr>
          <w:p w14:paraId="1B1DC11C" w14:textId="2F34FB9E" w:rsidR="00BC0B7F" w:rsidRPr="00C91F2F" w:rsidRDefault="00BC0B7F" w:rsidP="001426E8">
            <w:pPr>
              <w:jc w:val="center"/>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Plan 201</w:t>
            </w:r>
            <w:r w:rsidR="001426E8">
              <w:rPr>
                <w:rFonts w:ascii="Arial" w:hAnsi="Arial" w:cs="Arial"/>
                <w:b/>
                <w:color w:val="000000" w:themeColor="text1"/>
                <w:sz w:val="14"/>
                <w:szCs w:val="14"/>
                <w:lang w:val="hr-HR"/>
              </w:rPr>
              <w:t>9.</w:t>
            </w:r>
          </w:p>
        </w:tc>
        <w:tc>
          <w:tcPr>
            <w:tcW w:w="1227" w:type="dxa"/>
          </w:tcPr>
          <w:p w14:paraId="5F8601F9" w14:textId="11DE9CE5" w:rsidR="00BC0B7F" w:rsidRPr="00C91F2F" w:rsidRDefault="00BC0B7F" w:rsidP="001426E8">
            <w:pPr>
              <w:jc w:val="center"/>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Projekcija 20</w:t>
            </w:r>
            <w:r w:rsidR="001426E8">
              <w:rPr>
                <w:rFonts w:ascii="Arial" w:hAnsi="Arial" w:cs="Arial"/>
                <w:b/>
                <w:color w:val="000000" w:themeColor="text1"/>
                <w:sz w:val="14"/>
                <w:szCs w:val="14"/>
                <w:lang w:val="hr-HR"/>
              </w:rPr>
              <w:t>20</w:t>
            </w:r>
            <w:r w:rsidRPr="00C91F2F">
              <w:rPr>
                <w:rFonts w:ascii="Arial" w:hAnsi="Arial" w:cs="Arial"/>
                <w:b/>
                <w:color w:val="000000" w:themeColor="text1"/>
                <w:sz w:val="14"/>
                <w:szCs w:val="14"/>
                <w:lang w:val="hr-HR"/>
              </w:rPr>
              <w:t>.</w:t>
            </w:r>
          </w:p>
        </w:tc>
        <w:tc>
          <w:tcPr>
            <w:tcW w:w="1228" w:type="dxa"/>
          </w:tcPr>
          <w:p w14:paraId="00256459" w14:textId="77777777" w:rsidR="001426E8" w:rsidRDefault="00BC0B7F" w:rsidP="001426E8">
            <w:pPr>
              <w:jc w:val="center"/>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Projekcija</w:t>
            </w:r>
          </w:p>
          <w:p w14:paraId="33068D24" w14:textId="358752B8" w:rsidR="00BC0B7F" w:rsidRPr="00C91F2F" w:rsidRDefault="001426E8" w:rsidP="001426E8">
            <w:pPr>
              <w:jc w:val="center"/>
              <w:rPr>
                <w:rFonts w:ascii="Arial" w:hAnsi="Arial" w:cs="Arial"/>
                <w:b/>
                <w:color w:val="000000" w:themeColor="text1"/>
                <w:sz w:val="14"/>
                <w:szCs w:val="14"/>
                <w:lang w:val="hr-HR"/>
              </w:rPr>
            </w:pPr>
            <w:r>
              <w:rPr>
                <w:rFonts w:ascii="Arial" w:hAnsi="Arial" w:cs="Arial"/>
                <w:b/>
                <w:color w:val="000000" w:themeColor="text1"/>
                <w:sz w:val="14"/>
                <w:szCs w:val="14"/>
                <w:lang w:val="hr-HR"/>
              </w:rPr>
              <w:t>2021</w:t>
            </w:r>
          </w:p>
        </w:tc>
      </w:tr>
      <w:tr w:rsidR="00BC0B7F" w:rsidRPr="00C91F2F" w14:paraId="1ADFD1DF" w14:textId="77777777" w:rsidTr="00126235">
        <w:tc>
          <w:tcPr>
            <w:tcW w:w="1282" w:type="dxa"/>
          </w:tcPr>
          <w:p w14:paraId="3F002705" w14:textId="77777777" w:rsidR="00BC0B7F" w:rsidRPr="00C91F2F" w:rsidRDefault="00BC0B7F" w:rsidP="00126235">
            <w:pPr>
              <w:jc w:val="both"/>
              <w:rPr>
                <w:rFonts w:ascii="Arial" w:hAnsi="Arial" w:cs="Arial"/>
                <w:b/>
                <w:color w:val="000000" w:themeColor="text1"/>
                <w:sz w:val="14"/>
                <w:szCs w:val="14"/>
                <w:lang w:val="hr-HR"/>
              </w:rPr>
            </w:pPr>
          </w:p>
        </w:tc>
        <w:tc>
          <w:tcPr>
            <w:tcW w:w="1225" w:type="dxa"/>
          </w:tcPr>
          <w:p w14:paraId="03E5AFE7" w14:textId="77777777" w:rsidR="00BC0B7F" w:rsidRPr="00C91F2F" w:rsidRDefault="00BC0B7F" w:rsidP="00126235">
            <w:pPr>
              <w:jc w:val="both"/>
              <w:rPr>
                <w:rFonts w:ascii="Arial" w:hAnsi="Arial" w:cs="Arial"/>
                <w:b/>
                <w:color w:val="000000" w:themeColor="text1"/>
                <w:sz w:val="14"/>
                <w:szCs w:val="14"/>
                <w:lang w:val="hr-HR"/>
              </w:rPr>
            </w:pPr>
          </w:p>
        </w:tc>
        <w:tc>
          <w:tcPr>
            <w:tcW w:w="1224" w:type="dxa"/>
          </w:tcPr>
          <w:p w14:paraId="1D99F687" w14:textId="77777777" w:rsidR="00BC0B7F" w:rsidRPr="00C91F2F" w:rsidRDefault="00BC0B7F" w:rsidP="00126235">
            <w:pPr>
              <w:jc w:val="both"/>
              <w:rPr>
                <w:rFonts w:ascii="Arial" w:hAnsi="Arial" w:cs="Arial"/>
                <w:b/>
                <w:color w:val="000000" w:themeColor="text1"/>
                <w:sz w:val="14"/>
                <w:szCs w:val="14"/>
                <w:lang w:val="hr-HR"/>
              </w:rPr>
            </w:pPr>
          </w:p>
        </w:tc>
        <w:tc>
          <w:tcPr>
            <w:tcW w:w="1224" w:type="dxa"/>
          </w:tcPr>
          <w:p w14:paraId="36936911"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Redovna djelat.</w:t>
            </w:r>
          </w:p>
        </w:tc>
        <w:tc>
          <w:tcPr>
            <w:tcW w:w="1220" w:type="dxa"/>
          </w:tcPr>
          <w:p w14:paraId="50328AB7"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Novi program</w:t>
            </w:r>
          </w:p>
        </w:tc>
        <w:tc>
          <w:tcPr>
            <w:tcW w:w="1227" w:type="dxa"/>
          </w:tcPr>
          <w:p w14:paraId="3E006AA5" w14:textId="77777777" w:rsidR="00BC0B7F" w:rsidRPr="00C91F2F" w:rsidRDefault="00BC0B7F" w:rsidP="00126235">
            <w:pPr>
              <w:jc w:val="both"/>
              <w:rPr>
                <w:rFonts w:ascii="Arial" w:hAnsi="Arial" w:cs="Arial"/>
                <w:b/>
                <w:color w:val="000000" w:themeColor="text1"/>
                <w:sz w:val="14"/>
                <w:szCs w:val="14"/>
                <w:lang w:val="hr-HR"/>
              </w:rPr>
            </w:pPr>
          </w:p>
        </w:tc>
        <w:tc>
          <w:tcPr>
            <w:tcW w:w="1228" w:type="dxa"/>
          </w:tcPr>
          <w:p w14:paraId="3107FF74" w14:textId="77777777" w:rsidR="00BC0B7F" w:rsidRPr="00C91F2F" w:rsidRDefault="00BC0B7F" w:rsidP="00126235">
            <w:pPr>
              <w:jc w:val="both"/>
              <w:rPr>
                <w:rFonts w:ascii="Arial" w:hAnsi="Arial" w:cs="Arial"/>
                <w:b/>
                <w:color w:val="000000" w:themeColor="text1"/>
                <w:sz w:val="14"/>
                <w:szCs w:val="14"/>
                <w:lang w:val="hr-HR"/>
              </w:rPr>
            </w:pPr>
          </w:p>
        </w:tc>
      </w:tr>
      <w:tr w:rsidR="00BC0B7F" w:rsidRPr="00C91F2F" w14:paraId="3D3D2F3A" w14:textId="77777777" w:rsidTr="00126235">
        <w:tc>
          <w:tcPr>
            <w:tcW w:w="1282" w:type="dxa"/>
          </w:tcPr>
          <w:p w14:paraId="17830B7E" w14:textId="77777777" w:rsidR="00BC0B7F" w:rsidRPr="00C91F2F" w:rsidRDefault="00BC0B7F" w:rsidP="00126235">
            <w:pPr>
              <w:jc w:val="both"/>
              <w:rPr>
                <w:rFonts w:ascii="Arial" w:hAnsi="Arial" w:cs="Arial"/>
                <w:b/>
                <w:color w:val="000000" w:themeColor="text1"/>
                <w:sz w:val="14"/>
                <w:szCs w:val="14"/>
                <w:lang w:val="hr-HR"/>
              </w:rPr>
            </w:pPr>
          </w:p>
          <w:p w14:paraId="195C8C16"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GML</w:t>
            </w:r>
          </w:p>
        </w:tc>
        <w:tc>
          <w:tcPr>
            <w:tcW w:w="1225" w:type="dxa"/>
          </w:tcPr>
          <w:p w14:paraId="00BD1D0C" w14:textId="6012CD57" w:rsidR="00BC0B7F" w:rsidRPr="00C91F2F" w:rsidRDefault="0064018E" w:rsidP="00126235">
            <w:pPr>
              <w:jc w:val="both"/>
              <w:rPr>
                <w:rFonts w:ascii="Arial" w:hAnsi="Arial" w:cs="Arial"/>
                <w:b/>
                <w:color w:val="000000" w:themeColor="text1"/>
                <w:sz w:val="14"/>
                <w:szCs w:val="14"/>
                <w:lang w:val="hr-HR"/>
              </w:rPr>
            </w:pPr>
            <w:r>
              <w:rPr>
                <w:rFonts w:ascii="Arial" w:hAnsi="Arial" w:cs="Arial"/>
                <w:b/>
                <w:color w:val="000000" w:themeColor="text1"/>
                <w:sz w:val="14"/>
                <w:szCs w:val="14"/>
                <w:lang w:val="hr-HR"/>
              </w:rPr>
              <w:t>1.663.153</w:t>
            </w:r>
          </w:p>
        </w:tc>
        <w:tc>
          <w:tcPr>
            <w:tcW w:w="1224" w:type="dxa"/>
          </w:tcPr>
          <w:p w14:paraId="6A1363BA" w14:textId="0A8808B8" w:rsidR="00BC0B7F" w:rsidRPr="00C91F2F" w:rsidRDefault="0064018E" w:rsidP="00126235">
            <w:pPr>
              <w:jc w:val="both"/>
              <w:rPr>
                <w:rFonts w:ascii="Arial" w:hAnsi="Arial" w:cs="Arial"/>
                <w:b/>
                <w:color w:val="000000" w:themeColor="text1"/>
                <w:sz w:val="14"/>
                <w:szCs w:val="14"/>
                <w:lang w:val="hr-HR"/>
              </w:rPr>
            </w:pPr>
            <w:r>
              <w:rPr>
                <w:rFonts w:ascii="Arial" w:hAnsi="Arial" w:cs="Arial"/>
                <w:b/>
                <w:color w:val="000000" w:themeColor="text1"/>
                <w:sz w:val="14"/>
                <w:szCs w:val="14"/>
                <w:lang w:val="hr-HR"/>
              </w:rPr>
              <w:t>1.979.000</w:t>
            </w:r>
          </w:p>
        </w:tc>
        <w:tc>
          <w:tcPr>
            <w:tcW w:w="1224" w:type="dxa"/>
          </w:tcPr>
          <w:p w14:paraId="04E5C2FF" w14:textId="77777777" w:rsidR="00BC0B7F" w:rsidRPr="00C91F2F" w:rsidRDefault="00BC0B7F" w:rsidP="00126235">
            <w:pPr>
              <w:jc w:val="both"/>
              <w:rPr>
                <w:rFonts w:ascii="Arial" w:hAnsi="Arial" w:cs="Arial"/>
                <w:b/>
                <w:color w:val="000000" w:themeColor="text1"/>
                <w:sz w:val="14"/>
                <w:szCs w:val="14"/>
                <w:lang w:val="hr-HR"/>
              </w:rPr>
            </w:pPr>
          </w:p>
          <w:p w14:paraId="7D765DBD"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1.727.000</w:t>
            </w:r>
          </w:p>
        </w:tc>
        <w:tc>
          <w:tcPr>
            <w:tcW w:w="1220" w:type="dxa"/>
          </w:tcPr>
          <w:p w14:paraId="40F72933" w14:textId="77777777" w:rsidR="00BC0B7F" w:rsidRPr="00C91F2F" w:rsidRDefault="00BC0B7F" w:rsidP="00126235">
            <w:pPr>
              <w:jc w:val="both"/>
              <w:rPr>
                <w:rFonts w:ascii="Arial" w:hAnsi="Arial" w:cs="Arial"/>
                <w:b/>
                <w:color w:val="000000" w:themeColor="text1"/>
                <w:sz w:val="14"/>
                <w:szCs w:val="14"/>
                <w:lang w:val="hr-HR"/>
              </w:rPr>
            </w:pPr>
          </w:p>
          <w:p w14:paraId="64F46803"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 xml:space="preserve">              0</w:t>
            </w:r>
          </w:p>
        </w:tc>
        <w:tc>
          <w:tcPr>
            <w:tcW w:w="1227" w:type="dxa"/>
          </w:tcPr>
          <w:p w14:paraId="0F4716CE" w14:textId="77777777" w:rsidR="00BC0B7F" w:rsidRPr="00C91F2F" w:rsidRDefault="00BC0B7F" w:rsidP="00126235">
            <w:pPr>
              <w:jc w:val="both"/>
              <w:rPr>
                <w:rFonts w:ascii="Arial" w:hAnsi="Arial" w:cs="Arial"/>
                <w:b/>
                <w:color w:val="000000" w:themeColor="text1"/>
                <w:sz w:val="14"/>
                <w:szCs w:val="14"/>
                <w:lang w:val="hr-HR"/>
              </w:rPr>
            </w:pPr>
          </w:p>
          <w:p w14:paraId="35429CE7"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1.727.000</w:t>
            </w:r>
          </w:p>
        </w:tc>
        <w:tc>
          <w:tcPr>
            <w:tcW w:w="1228" w:type="dxa"/>
          </w:tcPr>
          <w:p w14:paraId="578A0902" w14:textId="77777777" w:rsidR="00BC0B7F" w:rsidRPr="00C91F2F" w:rsidRDefault="00BC0B7F" w:rsidP="00126235">
            <w:pPr>
              <w:jc w:val="both"/>
              <w:rPr>
                <w:rFonts w:ascii="Arial" w:hAnsi="Arial" w:cs="Arial"/>
                <w:b/>
                <w:color w:val="000000" w:themeColor="text1"/>
                <w:sz w:val="14"/>
                <w:szCs w:val="14"/>
                <w:lang w:val="hr-HR"/>
              </w:rPr>
            </w:pPr>
          </w:p>
          <w:p w14:paraId="65886951"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1.727.000</w:t>
            </w:r>
          </w:p>
        </w:tc>
      </w:tr>
      <w:tr w:rsidR="00BC0B7F" w:rsidRPr="00C91F2F" w14:paraId="436EFE8C" w14:textId="77777777" w:rsidTr="00126235">
        <w:tc>
          <w:tcPr>
            <w:tcW w:w="1282" w:type="dxa"/>
          </w:tcPr>
          <w:p w14:paraId="6F49A600" w14:textId="77777777" w:rsidR="00BC0B7F" w:rsidRPr="00C91F2F" w:rsidRDefault="00BC0B7F" w:rsidP="00126235">
            <w:pPr>
              <w:jc w:val="both"/>
              <w:rPr>
                <w:rFonts w:ascii="Arial" w:hAnsi="Arial" w:cs="Arial"/>
                <w:b/>
                <w:color w:val="000000" w:themeColor="text1"/>
                <w:sz w:val="14"/>
                <w:szCs w:val="14"/>
                <w:lang w:val="hr-HR"/>
              </w:rPr>
            </w:pPr>
          </w:p>
          <w:p w14:paraId="77723759"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DEC funkcije</w:t>
            </w:r>
          </w:p>
        </w:tc>
        <w:tc>
          <w:tcPr>
            <w:tcW w:w="1225" w:type="dxa"/>
          </w:tcPr>
          <w:p w14:paraId="73C23A27" w14:textId="77777777" w:rsidR="00BC0B7F" w:rsidRPr="00C91F2F" w:rsidRDefault="00BC0B7F" w:rsidP="00126235">
            <w:pPr>
              <w:jc w:val="both"/>
              <w:rPr>
                <w:rFonts w:ascii="Arial" w:hAnsi="Arial" w:cs="Arial"/>
                <w:b/>
                <w:color w:val="000000" w:themeColor="text1"/>
                <w:sz w:val="14"/>
                <w:szCs w:val="14"/>
                <w:lang w:val="hr-HR"/>
              </w:rPr>
            </w:pPr>
          </w:p>
          <w:p w14:paraId="7D3DEEDD" w14:textId="3D6A66E9"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 xml:space="preserve"> </w:t>
            </w:r>
            <w:r w:rsidR="0064018E">
              <w:rPr>
                <w:rFonts w:ascii="Arial" w:hAnsi="Arial" w:cs="Arial"/>
                <w:b/>
                <w:color w:val="000000" w:themeColor="text1"/>
                <w:sz w:val="14"/>
                <w:szCs w:val="14"/>
                <w:lang w:val="hr-HR"/>
              </w:rPr>
              <w:t>2.630.531</w:t>
            </w:r>
          </w:p>
        </w:tc>
        <w:tc>
          <w:tcPr>
            <w:tcW w:w="1224" w:type="dxa"/>
          </w:tcPr>
          <w:p w14:paraId="4C018880" w14:textId="77777777" w:rsidR="00BC0B7F" w:rsidRPr="00C91F2F" w:rsidRDefault="00BC0B7F" w:rsidP="00126235">
            <w:pPr>
              <w:jc w:val="both"/>
              <w:rPr>
                <w:rFonts w:ascii="Arial" w:hAnsi="Arial" w:cs="Arial"/>
                <w:b/>
                <w:color w:val="000000" w:themeColor="text1"/>
                <w:sz w:val="14"/>
                <w:szCs w:val="14"/>
                <w:lang w:val="hr-HR"/>
              </w:rPr>
            </w:pPr>
          </w:p>
          <w:p w14:paraId="71DE65D9"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2.885.000</w:t>
            </w:r>
          </w:p>
        </w:tc>
        <w:tc>
          <w:tcPr>
            <w:tcW w:w="1224" w:type="dxa"/>
          </w:tcPr>
          <w:p w14:paraId="7BF61D61" w14:textId="77777777" w:rsidR="00BC0B7F" w:rsidRPr="00C91F2F" w:rsidRDefault="00BC0B7F" w:rsidP="00126235">
            <w:pPr>
              <w:jc w:val="both"/>
              <w:rPr>
                <w:rFonts w:ascii="Arial" w:hAnsi="Arial" w:cs="Arial"/>
                <w:b/>
                <w:color w:val="000000" w:themeColor="text1"/>
                <w:sz w:val="14"/>
                <w:szCs w:val="14"/>
                <w:lang w:val="hr-HR"/>
              </w:rPr>
            </w:pPr>
          </w:p>
          <w:p w14:paraId="2BD213A4" w14:textId="6AE6524A"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2.</w:t>
            </w:r>
            <w:r w:rsidR="0064018E">
              <w:rPr>
                <w:rFonts w:ascii="Arial" w:hAnsi="Arial" w:cs="Arial"/>
                <w:b/>
                <w:color w:val="000000" w:themeColor="text1"/>
                <w:sz w:val="14"/>
                <w:szCs w:val="14"/>
                <w:lang w:val="hr-HR"/>
              </w:rPr>
              <w:t>942</w:t>
            </w:r>
            <w:r w:rsidRPr="00C91F2F">
              <w:rPr>
                <w:rFonts w:ascii="Arial" w:hAnsi="Arial" w:cs="Arial"/>
                <w:b/>
                <w:color w:val="000000" w:themeColor="text1"/>
                <w:sz w:val="14"/>
                <w:szCs w:val="14"/>
                <w:lang w:val="hr-HR"/>
              </w:rPr>
              <w:t>.</w:t>
            </w:r>
            <w:r w:rsidR="0064018E">
              <w:rPr>
                <w:rFonts w:ascii="Arial" w:hAnsi="Arial" w:cs="Arial"/>
                <w:b/>
                <w:color w:val="000000" w:themeColor="text1"/>
                <w:sz w:val="14"/>
                <w:szCs w:val="14"/>
                <w:lang w:val="hr-HR"/>
              </w:rPr>
              <w:t>7</w:t>
            </w:r>
            <w:r w:rsidRPr="00C91F2F">
              <w:rPr>
                <w:rFonts w:ascii="Arial" w:hAnsi="Arial" w:cs="Arial"/>
                <w:b/>
                <w:color w:val="000000" w:themeColor="text1"/>
                <w:sz w:val="14"/>
                <w:szCs w:val="14"/>
                <w:lang w:val="hr-HR"/>
              </w:rPr>
              <w:t>00</w:t>
            </w:r>
          </w:p>
        </w:tc>
        <w:tc>
          <w:tcPr>
            <w:tcW w:w="1220" w:type="dxa"/>
          </w:tcPr>
          <w:p w14:paraId="354848BB"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 xml:space="preserve">              </w:t>
            </w:r>
          </w:p>
          <w:p w14:paraId="311AF2B8" w14:textId="77777777"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 xml:space="preserve">              0</w:t>
            </w:r>
          </w:p>
        </w:tc>
        <w:tc>
          <w:tcPr>
            <w:tcW w:w="1227" w:type="dxa"/>
          </w:tcPr>
          <w:p w14:paraId="71DE4CF0" w14:textId="77777777" w:rsidR="00BC0B7F" w:rsidRPr="00C91F2F" w:rsidRDefault="00BC0B7F" w:rsidP="00126235">
            <w:pPr>
              <w:jc w:val="both"/>
              <w:rPr>
                <w:rFonts w:ascii="Arial" w:hAnsi="Arial" w:cs="Arial"/>
                <w:b/>
                <w:color w:val="000000" w:themeColor="text1"/>
                <w:sz w:val="14"/>
                <w:szCs w:val="14"/>
                <w:lang w:val="hr-HR"/>
              </w:rPr>
            </w:pPr>
          </w:p>
          <w:p w14:paraId="783A9A0E" w14:textId="530DB34A"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2.</w:t>
            </w:r>
            <w:r w:rsidR="0064018E">
              <w:rPr>
                <w:rFonts w:ascii="Arial" w:hAnsi="Arial" w:cs="Arial"/>
                <w:b/>
                <w:color w:val="000000" w:themeColor="text1"/>
                <w:sz w:val="14"/>
                <w:szCs w:val="14"/>
                <w:lang w:val="hr-HR"/>
              </w:rPr>
              <w:t>942</w:t>
            </w:r>
            <w:r w:rsidRPr="00C91F2F">
              <w:rPr>
                <w:rFonts w:ascii="Arial" w:hAnsi="Arial" w:cs="Arial"/>
                <w:b/>
                <w:color w:val="000000" w:themeColor="text1"/>
                <w:sz w:val="14"/>
                <w:szCs w:val="14"/>
                <w:lang w:val="hr-HR"/>
              </w:rPr>
              <w:t>.</w:t>
            </w:r>
            <w:r w:rsidR="0064018E">
              <w:rPr>
                <w:rFonts w:ascii="Arial" w:hAnsi="Arial" w:cs="Arial"/>
                <w:b/>
                <w:color w:val="000000" w:themeColor="text1"/>
                <w:sz w:val="14"/>
                <w:szCs w:val="14"/>
                <w:lang w:val="hr-HR"/>
              </w:rPr>
              <w:t>7</w:t>
            </w:r>
            <w:r w:rsidRPr="00C91F2F">
              <w:rPr>
                <w:rFonts w:ascii="Arial" w:hAnsi="Arial" w:cs="Arial"/>
                <w:b/>
                <w:color w:val="000000" w:themeColor="text1"/>
                <w:sz w:val="14"/>
                <w:szCs w:val="14"/>
                <w:lang w:val="hr-HR"/>
              </w:rPr>
              <w:t>00</w:t>
            </w:r>
          </w:p>
        </w:tc>
        <w:tc>
          <w:tcPr>
            <w:tcW w:w="1228" w:type="dxa"/>
          </w:tcPr>
          <w:p w14:paraId="7B35097D" w14:textId="77777777" w:rsidR="00BC0B7F" w:rsidRPr="00C91F2F" w:rsidRDefault="00BC0B7F" w:rsidP="00126235">
            <w:pPr>
              <w:jc w:val="both"/>
              <w:rPr>
                <w:rFonts w:ascii="Arial" w:hAnsi="Arial" w:cs="Arial"/>
                <w:b/>
                <w:color w:val="000000" w:themeColor="text1"/>
                <w:sz w:val="14"/>
                <w:szCs w:val="14"/>
                <w:lang w:val="hr-HR"/>
              </w:rPr>
            </w:pPr>
          </w:p>
          <w:p w14:paraId="3CB9EABC" w14:textId="47531EEC" w:rsidR="00BC0B7F" w:rsidRPr="00C91F2F" w:rsidRDefault="00BC0B7F" w:rsidP="00126235">
            <w:pPr>
              <w:jc w:val="both"/>
              <w:rPr>
                <w:rFonts w:ascii="Arial" w:hAnsi="Arial" w:cs="Arial"/>
                <w:b/>
                <w:color w:val="000000" w:themeColor="text1"/>
                <w:sz w:val="14"/>
                <w:szCs w:val="14"/>
                <w:lang w:val="hr-HR"/>
              </w:rPr>
            </w:pPr>
            <w:r w:rsidRPr="00C91F2F">
              <w:rPr>
                <w:rFonts w:ascii="Arial" w:hAnsi="Arial" w:cs="Arial"/>
                <w:b/>
                <w:color w:val="000000" w:themeColor="text1"/>
                <w:sz w:val="14"/>
                <w:szCs w:val="14"/>
                <w:lang w:val="hr-HR"/>
              </w:rPr>
              <w:t>2.</w:t>
            </w:r>
            <w:r w:rsidR="0064018E">
              <w:rPr>
                <w:rFonts w:ascii="Arial" w:hAnsi="Arial" w:cs="Arial"/>
                <w:b/>
                <w:color w:val="000000" w:themeColor="text1"/>
                <w:sz w:val="14"/>
                <w:szCs w:val="14"/>
                <w:lang w:val="hr-HR"/>
              </w:rPr>
              <w:t>942</w:t>
            </w:r>
            <w:r w:rsidRPr="00C91F2F">
              <w:rPr>
                <w:rFonts w:ascii="Arial" w:hAnsi="Arial" w:cs="Arial"/>
                <w:b/>
                <w:color w:val="000000" w:themeColor="text1"/>
                <w:sz w:val="14"/>
                <w:szCs w:val="14"/>
                <w:lang w:val="hr-HR"/>
              </w:rPr>
              <w:t>.</w:t>
            </w:r>
            <w:r w:rsidR="0064018E">
              <w:rPr>
                <w:rFonts w:ascii="Arial" w:hAnsi="Arial" w:cs="Arial"/>
                <w:b/>
                <w:color w:val="000000" w:themeColor="text1"/>
                <w:sz w:val="14"/>
                <w:szCs w:val="14"/>
                <w:lang w:val="hr-HR"/>
              </w:rPr>
              <w:t>7</w:t>
            </w:r>
            <w:r w:rsidRPr="00C91F2F">
              <w:rPr>
                <w:rFonts w:ascii="Arial" w:hAnsi="Arial" w:cs="Arial"/>
                <w:b/>
                <w:color w:val="000000" w:themeColor="text1"/>
                <w:sz w:val="14"/>
                <w:szCs w:val="14"/>
                <w:lang w:val="hr-HR"/>
              </w:rPr>
              <w:t>00</w:t>
            </w:r>
          </w:p>
        </w:tc>
      </w:tr>
    </w:tbl>
    <w:p w14:paraId="142808F2" w14:textId="77777777" w:rsidR="00BC0B7F" w:rsidRPr="00C91F2F" w:rsidRDefault="00BC0B7F" w:rsidP="00126235">
      <w:pPr>
        <w:jc w:val="both"/>
        <w:rPr>
          <w:rFonts w:ascii="Arial" w:hAnsi="Arial" w:cs="Arial"/>
          <w:b/>
          <w:color w:val="FF0000"/>
          <w:sz w:val="22"/>
          <w:szCs w:val="22"/>
          <w:lang w:val="hr-HR"/>
        </w:rPr>
      </w:pPr>
    </w:p>
    <w:p w14:paraId="5EEBD559" w14:textId="77777777" w:rsidR="00BC0B7F" w:rsidRPr="00C91F2F" w:rsidRDefault="00BC0B7F" w:rsidP="00126235">
      <w:pPr>
        <w:jc w:val="both"/>
        <w:rPr>
          <w:rFonts w:ascii="Arial" w:hAnsi="Arial" w:cs="Arial"/>
          <w:sz w:val="22"/>
          <w:szCs w:val="22"/>
          <w:lang w:val="hr-HR"/>
        </w:rPr>
      </w:pPr>
    </w:p>
    <w:p w14:paraId="1864A255" w14:textId="77777777" w:rsidR="00BC0B7F" w:rsidRPr="00C91F2F" w:rsidRDefault="00BC0B7F" w:rsidP="00126235">
      <w:pPr>
        <w:jc w:val="both"/>
        <w:rPr>
          <w:rFonts w:ascii="Arial" w:hAnsi="Arial" w:cs="Arial"/>
          <w:sz w:val="22"/>
          <w:szCs w:val="22"/>
          <w:lang w:val="hr-HR"/>
        </w:rPr>
      </w:pPr>
    </w:p>
    <w:p w14:paraId="67B4590A" w14:textId="6370D172" w:rsidR="00BC0B7F" w:rsidRPr="00C91F2F" w:rsidRDefault="00BC0B7F" w:rsidP="00126235">
      <w:pPr>
        <w:jc w:val="both"/>
        <w:rPr>
          <w:rFonts w:ascii="Arial" w:hAnsi="Arial" w:cs="Arial"/>
          <w:sz w:val="22"/>
          <w:szCs w:val="22"/>
          <w:u w:val="single"/>
          <w:lang w:val="hr-HR"/>
        </w:rPr>
      </w:pPr>
      <w:r w:rsidRPr="00C91F2F">
        <w:rPr>
          <w:rFonts w:ascii="Arial" w:hAnsi="Arial" w:cs="Arial"/>
          <w:sz w:val="22"/>
          <w:szCs w:val="22"/>
          <w:lang w:val="hr-HR"/>
        </w:rPr>
        <w:tab/>
        <w:t>Pri izradi financijskih planova za razdoblje 201</w:t>
      </w:r>
      <w:r w:rsidR="001426E8">
        <w:rPr>
          <w:rFonts w:ascii="Arial" w:hAnsi="Arial" w:cs="Arial"/>
          <w:sz w:val="22"/>
          <w:szCs w:val="22"/>
          <w:lang w:val="hr-HR"/>
        </w:rPr>
        <w:t>9</w:t>
      </w:r>
      <w:r w:rsidRPr="00C91F2F">
        <w:rPr>
          <w:rFonts w:ascii="Arial" w:hAnsi="Arial" w:cs="Arial"/>
          <w:sz w:val="22"/>
          <w:szCs w:val="22"/>
          <w:lang w:val="hr-HR"/>
        </w:rPr>
        <w:t>-20</w:t>
      </w:r>
      <w:r w:rsidR="001426E8">
        <w:rPr>
          <w:rFonts w:ascii="Arial" w:hAnsi="Arial" w:cs="Arial"/>
          <w:sz w:val="22"/>
          <w:szCs w:val="22"/>
          <w:lang w:val="hr-HR"/>
        </w:rPr>
        <w:t>21</w:t>
      </w:r>
      <w:r w:rsidRPr="00C91F2F">
        <w:rPr>
          <w:rFonts w:ascii="Arial" w:hAnsi="Arial" w:cs="Arial"/>
          <w:sz w:val="22"/>
          <w:szCs w:val="22"/>
          <w:lang w:val="hr-HR"/>
        </w:rPr>
        <w:t xml:space="preserve">. godine </w:t>
      </w:r>
      <w:r w:rsidRPr="00C91F2F">
        <w:rPr>
          <w:rFonts w:ascii="Arial" w:hAnsi="Arial" w:cs="Arial"/>
          <w:sz w:val="22"/>
          <w:szCs w:val="22"/>
          <w:u w:val="single"/>
          <w:lang w:val="hr-HR"/>
        </w:rPr>
        <w:t>potrebno je pridržavati se sljedećih uputa u vezi s visinom planiranih sredstava:</w:t>
      </w:r>
    </w:p>
    <w:p w14:paraId="0CC8BD63" w14:textId="77777777" w:rsidR="00BC0B7F" w:rsidRPr="00C91F2F" w:rsidRDefault="00BC0B7F" w:rsidP="00126235">
      <w:pPr>
        <w:jc w:val="both"/>
        <w:rPr>
          <w:rFonts w:ascii="Arial" w:hAnsi="Arial" w:cs="Arial"/>
          <w:sz w:val="22"/>
          <w:szCs w:val="22"/>
          <w:u w:val="single"/>
          <w:lang w:val="hr-HR"/>
        </w:rPr>
      </w:pPr>
    </w:p>
    <w:p w14:paraId="0C162FE6" w14:textId="77777777" w:rsidR="00BC0B7F" w:rsidRPr="00C91F2F" w:rsidRDefault="00BC0B7F" w:rsidP="00126235">
      <w:pPr>
        <w:jc w:val="both"/>
        <w:rPr>
          <w:rFonts w:ascii="Arial" w:hAnsi="Arial" w:cs="Arial"/>
          <w:sz w:val="22"/>
          <w:szCs w:val="22"/>
          <w:lang w:val="hr-HR"/>
        </w:rPr>
      </w:pPr>
    </w:p>
    <w:p w14:paraId="4A382F1F" w14:textId="77777777" w:rsidR="00BC0B7F" w:rsidRPr="00C91F2F" w:rsidRDefault="00BC0B7F" w:rsidP="00126235">
      <w:pPr>
        <w:jc w:val="both"/>
        <w:rPr>
          <w:rFonts w:ascii="Arial" w:hAnsi="Arial" w:cs="Arial"/>
          <w:sz w:val="22"/>
          <w:szCs w:val="22"/>
          <w:u w:val="single"/>
          <w:lang w:val="hr-HR"/>
        </w:rPr>
      </w:pPr>
      <w:r w:rsidRPr="00C91F2F">
        <w:rPr>
          <w:rFonts w:ascii="Arial" w:hAnsi="Arial" w:cs="Arial"/>
          <w:b/>
          <w:sz w:val="22"/>
          <w:szCs w:val="22"/>
          <w:u w:val="single"/>
          <w:lang w:val="hr-HR"/>
        </w:rPr>
        <w:t>Rashodi za zaposlene</w:t>
      </w:r>
      <w:r w:rsidRPr="00C91F2F">
        <w:rPr>
          <w:rFonts w:ascii="Arial" w:hAnsi="Arial" w:cs="Arial"/>
          <w:sz w:val="22"/>
          <w:szCs w:val="22"/>
          <w:u w:val="single"/>
          <w:lang w:val="hr-HR"/>
        </w:rPr>
        <w:t>:</w:t>
      </w:r>
    </w:p>
    <w:p w14:paraId="68748450" w14:textId="77777777" w:rsidR="00BC0B7F" w:rsidRPr="00C91F2F" w:rsidRDefault="00BC0B7F" w:rsidP="00126235">
      <w:pPr>
        <w:jc w:val="both"/>
        <w:rPr>
          <w:rFonts w:ascii="Arial" w:hAnsi="Arial" w:cs="Arial"/>
          <w:sz w:val="22"/>
          <w:szCs w:val="22"/>
          <w:u w:val="single"/>
          <w:lang w:val="hr-HR"/>
        </w:rPr>
      </w:pPr>
    </w:p>
    <w:p w14:paraId="5904D8E9" w14:textId="581BED58" w:rsidR="00BC0B7F" w:rsidRPr="00C91F2F" w:rsidRDefault="00BC0B7F" w:rsidP="00126235">
      <w:pPr>
        <w:jc w:val="both"/>
        <w:rPr>
          <w:rFonts w:ascii="Arial" w:hAnsi="Arial" w:cs="Arial"/>
          <w:color w:val="000000"/>
          <w:sz w:val="22"/>
          <w:szCs w:val="22"/>
          <w:lang w:val="hr-HR"/>
        </w:rPr>
      </w:pPr>
      <w:r w:rsidRPr="00C91F2F">
        <w:rPr>
          <w:rFonts w:ascii="Arial" w:hAnsi="Arial" w:cs="Arial"/>
          <w:color w:val="000000"/>
          <w:sz w:val="22"/>
          <w:szCs w:val="22"/>
          <w:lang w:val="hr-HR"/>
        </w:rPr>
        <w:t>-rashode za plaće za 201</w:t>
      </w:r>
      <w:r w:rsidR="001426E8">
        <w:rPr>
          <w:rFonts w:ascii="Arial" w:hAnsi="Arial" w:cs="Arial"/>
          <w:color w:val="000000"/>
          <w:sz w:val="22"/>
          <w:szCs w:val="22"/>
          <w:lang w:val="hr-HR"/>
        </w:rPr>
        <w:t>9</w:t>
      </w:r>
      <w:r w:rsidRPr="00C91F2F">
        <w:rPr>
          <w:rFonts w:ascii="Arial" w:hAnsi="Arial" w:cs="Arial"/>
          <w:color w:val="000000"/>
          <w:sz w:val="22"/>
          <w:szCs w:val="22"/>
          <w:lang w:val="hr-HR"/>
        </w:rPr>
        <w:t>., 20</w:t>
      </w:r>
      <w:r w:rsidR="001426E8">
        <w:rPr>
          <w:rFonts w:ascii="Arial" w:hAnsi="Arial" w:cs="Arial"/>
          <w:color w:val="000000"/>
          <w:sz w:val="22"/>
          <w:szCs w:val="22"/>
          <w:lang w:val="hr-HR"/>
        </w:rPr>
        <w:t>20</w:t>
      </w:r>
      <w:r w:rsidRPr="00C91F2F">
        <w:rPr>
          <w:rFonts w:ascii="Arial" w:hAnsi="Arial" w:cs="Arial"/>
          <w:color w:val="000000"/>
          <w:sz w:val="22"/>
          <w:szCs w:val="22"/>
          <w:lang w:val="hr-HR"/>
        </w:rPr>
        <w:t>. i 20</w:t>
      </w:r>
      <w:r w:rsidR="001426E8">
        <w:rPr>
          <w:rFonts w:ascii="Arial" w:hAnsi="Arial" w:cs="Arial"/>
          <w:color w:val="000000"/>
          <w:sz w:val="22"/>
          <w:szCs w:val="22"/>
          <w:lang w:val="hr-HR"/>
        </w:rPr>
        <w:t>21</w:t>
      </w:r>
      <w:r w:rsidRPr="00C91F2F">
        <w:rPr>
          <w:rFonts w:ascii="Arial" w:hAnsi="Arial" w:cs="Arial"/>
          <w:color w:val="000000"/>
          <w:sz w:val="22"/>
          <w:szCs w:val="22"/>
          <w:lang w:val="hr-HR"/>
        </w:rPr>
        <w:t>. god.  planirati na razini 201</w:t>
      </w:r>
      <w:r w:rsidR="001426E8">
        <w:rPr>
          <w:rFonts w:ascii="Arial" w:hAnsi="Arial" w:cs="Arial"/>
          <w:color w:val="000000"/>
          <w:sz w:val="22"/>
          <w:szCs w:val="22"/>
          <w:lang w:val="hr-HR"/>
        </w:rPr>
        <w:t>8</w:t>
      </w:r>
      <w:r w:rsidRPr="00C91F2F">
        <w:rPr>
          <w:rFonts w:ascii="Arial" w:hAnsi="Arial" w:cs="Arial"/>
          <w:color w:val="000000"/>
          <w:sz w:val="22"/>
          <w:szCs w:val="22"/>
          <w:lang w:val="hr-HR"/>
        </w:rPr>
        <w:t>. godine</w:t>
      </w:r>
    </w:p>
    <w:p w14:paraId="2A025968" w14:textId="4957F1D6" w:rsidR="00BC0B7F" w:rsidRPr="00C91F2F" w:rsidRDefault="00BC0B7F" w:rsidP="00126235">
      <w:pPr>
        <w:jc w:val="both"/>
        <w:rPr>
          <w:rFonts w:ascii="Arial" w:hAnsi="Arial" w:cs="Arial"/>
          <w:color w:val="000000"/>
          <w:sz w:val="22"/>
          <w:szCs w:val="22"/>
          <w:lang w:val="hr-HR"/>
        </w:rPr>
      </w:pPr>
      <w:r w:rsidRPr="00C91F2F">
        <w:rPr>
          <w:rFonts w:ascii="Arial" w:hAnsi="Arial" w:cs="Arial"/>
          <w:color w:val="000000"/>
          <w:sz w:val="22"/>
          <w:szCs w:val="22"/>
          <w:lang w:val="hr-HR"/>
        </w:rPr>
        <w:t>-u ostalim rashodima za zaposlene PLANIRATI sredstva za isplatu regresa i božićnice, a ostale rashode planirati prema odredbama kolektivnih ugovora</w:t>
      </w:r>
      <w:r w:rsidR="001426E8">
        <w:rPr>
          <w:rFonts w:ascii="Arial" w:hAnsi="Arial" w:cs="Arial"/>
          <w:color w:val="000000"/>
          <w:sz w:val="22"/>
          <w:szCs w:val="22"/>
          <w:lang w:val="hr-HR"/>
        </w:rPr>
        <w:t xml:space="preserve"> i zakona o radu</w:t>
      </w:r>
    </w:p>
    <w:p w14:paraId="372CC0CD" w14:textId="77777777" w:rsidR="00BC0B7F" w:rsidRPr="00C91F2F" w:rsidRDefault="00BC0B7F" w:rsidP="00126235">
      <w:pPr>
        <w:jc w:val="both"/>
        <w:rPr>
          <w:rFonts w:ascii="Arial" w:hAnsi="Arial" w:cs="Arial"/>
          <w:sz w:val="22"/>
          <w:szCs w:val="22"/>
          <w:lang w:val="hr-HR"/>
        </w:rPr>
      </w:pPr>
      <w:r w:rsidRPr="00C91F2F">
        <w:rPr>
          <w:rFonts w:ascii="Arial" w:hAnsi="Arial" w:cs="Arial"/>
          <w:color w:val="000000"/>
          <w:sz w:val="22"/>
          <w:szCs w:val="22"/>
          <w:lang w:val="hr-HR"/>
        </w:rPr>
        <w:t>-doprinose na plaće planirati prema važećim</w:t>
      </w:r>
      <w:r w:rsidRPr="00C91F2F">
        <w:rPr>
          <w:rFonts w:ascii="Arial" w:hAnsi="Arial" w:cs="Arial"/>
          <w:sz w:val="22"/>
          <w:szCs w:val="22"/>
          <w:lang w:val="hr-HR"/>
        </w:rPr>
        <w:t xml:space="preserve"> zakonskim odredbama.</w:t>
      </w:r>
    </w:p>
    <w:p w14:paraId="4AED4007" w14:textId="77777777" w:rsidR="00BC0B7F" w:rsidRPr="00C91F2F" w:rsidRDefault="00BC0B7F" w:rsidP="00126235">
      <w:pPr>
        <w:jc w:val="both"/>
        <w:rPr>
          <w:rFonts w:ascii="Arial" w:hAnsi="Arial" w:cs="Arial"/>
          <w:sz w:val="22"/>
          <w:szCs w:val="22"/>
          <w:lang w:val="hr-HR"/>
        </w:rPr>
      </w:pPr>
    </w:p>
    <w:p w14:paraId="0ABE384B" w14:textId="77777777" w:rsidR="00BC0B7F" w:rsidRPr="00C91F2F" w:rsidRDefault="00BC0B7F" w:rsidP="00126235">
      <w:pPr>
        <w:jc w:val="both"/>
        <w:rPr>
          <w:rFonts w:ascii="Arial" w:hAnsi="Arial" w:cs="Arial"/>
          <w:sz w:val="22"/>
          <w:szCs w:val="22"/>
          <w:lang w:val="hr-HR"/>
        </w:rPr>
      </w:pPr>
    </w:p>
    <w:p w14:paraId="25A74126" w14:textId="77777777" w:rsidR="0064018E" w:rsidRDefault="0064018E" w:rsidP="00126235">
      <w:pPr>
        <w:jc w:val="both"/>
        <w:rPr>
          <w:rFonts w:ascii="Arial" w:hAnsi="Arial" w:cs="Arial"/>
          <w:b/>
          <w:sz w:val="22"/>
          <w:szCs w:val="22"/>
          <w:u w:val="single"/>
          <w:lang w:val="hr-HR"/>
        </w:rPr>
      </w:pPr>
    </w:p>
    <w:p w14:paraId="3E82505D" w14:textId="429D3FD9" w:rsidR="00BC0B7F" w:rsidRPr="00C91F2F" w:rsidRDefault="00BC0B7F" w:rsidP="00126235">
      <w:pPr>
        <w:jc w:val="both"/>
        <w:rPr>
          <w:rFonts w:ascii="Arial" w:hAnsi="Arial" w:cs="Arial"/>
          <w:b/>
          <w:sz w:val="22"/>
          <w:szCs w:val="22"/>
          <w:u w:val="single"/>
          <w:lang w:val="hr-HR"/>
        </w:rPr>
      </w:pPr>
      <w:r w:rsidRPr="00C91F2F">
        <w:rPr>
          <w:rFonts w:ascii="Arial" w:hAnsi="Arial" w:cs="Arial"/>
          <w:b/>
          <w:sz w:val="22"/>
          <w:szCs w:val="22"/>
          <w:u w:val="single"/>
          <w:lang w:val="hr-HR"/>
        </w:rPr>
        <w:t>Materijalni rashodi:</w:t>
      </w:r>
    </w:p>
    <w:p w14:paraId="2851E5B0" w14:textId="77777777" w:rsidR="00BC0B7F" w:rsidRPr="00C91F2F" w:rsidRDefault="00BC0B7F" w:rsidP="00126235">
      <w:pPr>
        <w:jc w:val="both"/>
        <w:rPr>
          <w:rFonts w:ascii="Arial" w:hAnsi="Arial" w:cs="Arial"/>
          <w:b/>
          <w:sz w:val="22"/>
          <w:szCs w:val="22"/>
          <w:u w:val="single"/>
          <w:lang w:val="hr-HR"/>
        </w:rPr>
      </w:pPr>
    </w:p>
    <w:p w14:paraId="68E56BF9" w14:textId="3AAD11F7"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-materijalne rashode gradske uprave i ustanova za 201</w:t>
      </w:r>
      <w:r w:rsidR="001426E8">
        <w:rPr>
          <w:rFonts w:ascii="Arial" w:hAnsi="Arial" w:cs="Arial"/>
          <w:sz w:val="22"/>
          <w:szCs w:val="22"/>
          <w:lang w:val="hr-HR"/>
        </w:rPr>
        <w:t>9</w:t>
      </w:r>
      <w:r w:rsidRPr="00C91F2F">
        <w:rPr>
          <w:rFonts w:ascii="Arial" w:hAnsi="Arial" w:cs="Arial"/>
          <w:sz w:val="22"/>
          <w:szCs w:val="22"/>
          <w:lang w:val="hr-HR"/>
        </w:rPr>
        <w:t>.-20</w:t>
      </w:r>
      <w:r w:rsidR="001426E8">
        <w:rPr>
          <w:rFonts w:ascii="Arial" w:hAnsi="Arial" w:cs="Arial"/>
          <w:sz w:val="22"/>
          <w:szCs w:val="22"/>
          <w:lang w:val="hr-HR"/>
        </w:rPr>
        <w:t>21</w:t>
      </w:r>
      <w:r w:rsidRPr="00C91F2F">
        <w:rPr>
          <w:rFonts w:ascii="Arial" w:hAnsi="Arial" w:cs="Arial"/>
          <w:sz w:val="22"/>
          <w:szCs w:val="22"/>
          <w:lang w:val="hr-HR"/>
        </w:rPr>
        <w:t xml:space="preserve">. potrebno je </w:t>
      </w:r>
      <w:r w:rsidRPr="00C91F2F">
        <w:rPr>
          <w:rFonts w:ascii="Arial" w:hAnsi="Arial" w:cs="Arial"/>
          <w:sz w:val="22"/>
          <w:szCs w:val="22"/>
          <w:u w:val="single"/>
          <w:lang w:val="hr-HR"/>
        </w:rPr>
        <w:t>planirati na razini 201</w:t>
      </w:r>
      <w:r w:rsidR="001426E8">
        <w:rPr>
          <w:rFonts w:ascii="Arial" w:hAnsi="Arial" w:cs="Arial"/>
          <w:sz w:val="22"/>
          <w:szCs w:val="22"/>
          <w:u w:val="single"/>
          <w:lang w:val="hr-HR"/>
        </w:rPr>
        <w:t>8</w:t>
      </w:r>
      <w:r w:rsidRPr="00C91F2F">
        <w:rPr>
          <w:rFonts w:ascii="Arial" w:hAnsi="Arial" w:cs="Arial"/>
          <w:sz w:val="22"/>
          <w:szCs w:val="22"/>
          <w:u w:val="single"/>
          <w:lang w:val="hr-HR"/>
        </w:rPr>
        <w:t>. godine</w:t>
      </w:r>
    </w:p>
    <w:p w14:paraId="60040211" w14:textId="77777777" w:rsidR="00BC0B7F" w:rsidRPr="00C91F2F" w:rsidRDefault="00BC0B7F" w:rsidP="00126235">
      <w:pPr>
        <w:jc w:val="both"/>
        <w:rPr>
          <w:rFonts w:ascii="Arial" w:hAnsi="Arial" w:cs="Arial"/>
          <w:sz w:val="22"/>
          <w:szCs w:val="22"/>
          <w:u w:val="single"/>
          <w:lang w:val="hr-HR"/>
        </w:rPr>
      </w:pPr>
      <w:r w:rsidRPr="00C91F2F">
        <w:rPr>
          <w:rFonts w:ascii="Arial" w:hAnsi="Arial" w:cs="Arial"/>
          <w:sz w:val="22"/>
          <w:szCs w:val="22"/>
          <w:lang w:val="hr-HR"/>
        </w:rPr>
        <w:lastRenderedPageBreak/>
        <w:t xml:space="preserve">-naknade troškova zaposlenima (dnevnice za službeno putovanje u zemlji, naknade troškova korištenja automobila u službene svrhe, terenski dodatak i naknada za odvojeni život) planirati do neoporezivog iznosa naknada  navedenih člankom 12. i 14. Pravilnika o porezu na dohodak, odnosno prema kolektivnom ugovoru </w:t>
      </w:r>
    </w:p>
    <w:p w14:paraId="14D021BE" w14:textId="77777777"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 xml:space="preserve">-naknade predstavničkog i izvršnog tijela (naknade vijećnicima u Gradskom vijeću, te članovima upravnih vijeća ustanova i članovima nadzornih odbora u trgovačkim društvima) planirati </w:t>
      </w:r>
      <w:r w:rsidRPr="00C91F2F">
        <w:rPr>
          <w:rFonts w:ascii="Arial" w:hAnsi="Arial" w:cs="Arial"/>
          <w:sz w:val="22"/>
          <w:szCs w:val="22"/>
          <w:u w:val="single"/>
          <w:lang w:val="hr-HR"/>
        </w:rPr>
        <w:t>sukladno odlukama</w:t>
      </w:r>
      <w:r w:rsidRPr="00C91F2F">
        <w:rPr>
          <w:rFonts w:ascii="Arial" w:hAnsi="Arial" w:cs="Arial"/>
          <w:sz w:val="22"/>
          <w:szCs w:val="22"/>
          <w:lang w:val="hr-HR"/>
        </w:rPr>
        <w:t xml:space="preserve"> Gradskog vijeća o visini tih naknada.</w:t>
      </w:r>
    </w:p>
    <w:p w14:paraId="0FAB2827" w14:textId="77777777" w:rsidR="00BC0B7F" w:rsidRPr="00C91F2F" w:rsidRDefault="00BC0B7F" w:rsidP="00126235">
      <w:pPr>
        <w:jc w:val="both"/>
        <w:rPr>
          <w:rFonts w:ascii="Arial" w:hAnsi="Arial" w:cs="Arial"/>
          <w:sz w:val="22"/>
          <w:szCs w:val="22"/>
          <w:lang w:val="hr-HR"/>
        </w:rPr>
      </w:pPr>
    </w:p>
    <w:p w14:paraId="34302780" w14:textId="77777777" w:rsidR="00BC0B7F" w:rsidRPr="00C91F2F" w:rsidRDefault="00BC0B7F" w:rsidP="00126235">
      <w:pPr>
        <w:jc w:val="both"/>
        <w:rPr>
          <w:rFonts w:ascii="Arial" w:hAnsi="Arial" w:cs="Arial"/>
          <w:sz w:val="22"/>
          <w:szCs w:val="22"/>
          <w:u w:val="single"/>
          <w:lang w:val="hr-HR"/>
        </w:rPr>
      </w:pPr>
      <w:r w:rsidRPr="00C91F2F">
        <w:rPr>
          <w:rFonts w:ascii="Arial" w:hAnsi="Arial" w:cs="Arial"/>
          <w:b/>
          <w:sz w:val="22"/>
          <w:szCs w:val="22"/>
          <w:lang w:val="hr-HR"/>
        </w:rPr>
        <w:t>Financijske rashode</w:t>
      </w:r>
      <w:r w:rsidRPr="00C91F2F">
        <w:rPr>
          <w:rFonts w:ascii="Arial" w:hAnsi="Arial" w:cs="Arial"/>
          <w:sz w:val="22"/>
          <w:szCs w:val="22"/>
          <w:lang w:val="hr-HR"/>
        </w:rPr>
        <w:t xml:space="preserve"> planirati </w:t>
      </w:r>
      <w:r w:rsidRPr="00C91F2F">
        <w:rPr>
          <w:rFonts w:ascii="Arial" w:hAnsi="Arial" w:cs="Arial"/>
          <w:sz w:val="22"/>
          <w:szCs w:val="22"/>
          <w:u w:val="single"/>
          <w:lang w:val="hr-HR"/>
        </w:rPr>
        <w:t>prema preuzetim obvezama.</w:t>
      </w:r>
    </w:p>
    <w:p w14:paraId="36683058" w14:textId="77777777" w:rsidR="00BC0B7F" w:rsidRPr="00C91F2F" w:rsidRDefault="00BC0B7F" w:rsidP="00126235">
      <w:pPr>
        <w:jc w:val="both"/>
        <w:rPr>
          <w:rFonts w:ascii="Arial" w:hAnsi="Arial" w:cs="Arial"/>
          <w:b/>
          <w:sz w:val="22"/>
          <w:szCs w:val="22"/>
          <w:u w:val="single"/>
          <w:lang w:val="hr-HR"/>
        </w:rPr>
      </w:pPr>
    </w:p>
    <w:p w14:paraId="56136773" w14:textId="6970618D" w:rsidR="00BC0B7F" w:rsidRPr="00C91F2F" w:rsidRDefault="00BC0B7F" w:rsidP="00126235">
      <w:pPr>
        <w:jc w:val="both"/>
        <w:rPr>
          <w:rFonts w:ascii="Arial" w:hAnsi="Arial" w:cs="Arial"/>
          <w:sz w:val="22"/>
          <w:szCs w:val="22"/>
          <w:lang w:val="hr-HR"/>
        </w:rPr>
      </w:pPr>
      <w:r w:rsidRPr="00C91F2F">
        <w:rPr>
          <w:rFonts w:ascii="Arial" w:hAnsi="Arial" w:cs="Arial"/>
          <w:b/>
          <w:sz w:val="22"/>
          <w:szCs w:val="22"/>
          <w:lang w:val="hr-HR"/>
        </w:rPr>
        <w:t>Rashode za subvencije</w:t>
      </w:r>
      <w:r w:rsidRPr="00C91F2F">
        <w:rPr>
          <w:rFonts w:ascii="Arial" w:hAnsi="Arial" w:cs="Arial"/>
          <w:sz w:val="22"/>
          <w:szCs w:val="22"/>
          <w:lang w:val="hr-HR"/>
        </w:rPr>
        <w:t xml:space="preserve"> trgovačkim društvima  u javnom i izvan javnog sektora, te obrtnicima, malim i srednjim poduzetnicima planirati za 20</w:t>
      </w:r>
      <w:r w:rsidR="00EF4466">
        <w:rPr>
          <w:rFonts w:ascii="Arial" w:hAnsi="Arial" w:cs="Arial"/>
          <w:sz w:val="22"/>
          <w:szCs w:val="22"/>
          <w:lang w:val="hr-HR"/>
        </w:rPr>
        <w:t>19</w:t>
      </w:r>
      <w:r w:rsidRPr="00C91F2F">
        <w:rPr>
          <w:rFonts w:ascii="Arial" w:hAnsi="Arial" w:cs="Arial"/>
          <w:sz w:val="22"/>
          <w:szCs w:val="22"/>
          <w:lang w:val="hr-HR"/>
        </w:rPr>
        <w:t xml:space="preserve">., </w:t>
      </w:r>
      <w:r w:rsidR="00EF4466">
        <w:rPr>
          <w:rFonts w:ascii="Arial" w:hAnsi="Arial" w:cs="Arial"/>
          <w:sz w:val="22"/>
          <w:szCs w:val="22"/>
          <w:lang w:val="hr-HR"/>
        </w:rPr>
        <w:t>2020</w:t>
      </w:r>
      <w:r w:rsidRPr="00C91F2F">
        <w:rPr>
          <w:rFonts w:ascii="Arial" w:hAnsi="Arial" w:cs="Arial"/>
          <w:sz w:val="22"/>
          <w:szCs w:val="22"/>
          <w:lang w:val="hr-HR"/>
        </w:rPr>
        <w:t xml:space="preserve"> i 20</w:t>
      </w:r>
      <w:r w:rsidR="00EF4466">
        <w:rPr>
          <w:rFonts w:ascii="Arial" w:hAnsi="Arial" w:cs="Arial"/>
          <w:sz w:val="22"/>
          <w:szCs w:val="22"/>
          <w:lang w:val="hr-HR"/>
        </w:rPr>
        <w:t>2</w:t>
      </w:r>
      <w:r w:rsidRPr="00C91F2F">
        <w:rPr>
          <w:rFonts w:ascii="Arial" w:hAnsi="Arial" w:cs="Arial"/>
          <w:sz w:val="22"/>
          <w:szCs w:val="22"/>
          <w:lang w:val="hr-HR"/>
        </w:rPr>
        <w:t>1. god. na razini 201</w:t>
      </w:r>
      <w:r w:rsidR="00EF4466">
        <w:rPr>
          <w:rFonts w:ascii="Arial" w:hAnsi="Arial" w:cs="Arial"/>
          <w:sz w:val="22"/>
          <w:szCs w:val="22"/>
          <w:lang w:val="hr-HR"/>
        </w:rPr>
        <w:t>8</w:t>
      </w:r>
      <w:r w:rsidRPr="00C91F2F">
        <w:rPr>
          <w:rFonts w:ascii="Arial" w:hAnsi="Arial" w:cs="Arial"/>
          <w:sz w:val="22"/>
          <w:szCs w:val="22"/>
          <w:lang w:val="hr-HR"/>
        </w:rPr>
        <w:t>. godine</w:t>
      </w:r>
    </w:p>
    <w:p w14:paraId="41748B8E" w14:textId="77777777" w:rsidR="00BC0B7F" w:rsidRPr="00C91F2F" w:rsidRDefault="00BC0B7F" w:rsidP="00126235">
      <w:pPr>
        <w:jc w:val="both"/>
        <w:rPr>
          <w:rFonts w:ascii="Arial" w:hAnsi="Arial" w:cs="Arial"/>
          <w:sz w:val="22"/>
          <w:szCs w:val="22"/>
          <w:lang w:val="hr-HR"/>
        </w:rPr>
      </w:pPr>
    </w:p>
    <w:p w14:paraId="2F1AAC31" w14:textId="6995C689" w:rsidR="00BC0B7F" w:rsidRPr="00C91F2F" w:rsidRDefault="00BC0B7F" w:rsidP="00126235">
      <w:pPr>
        <w:jc w:val="both"/>
        <w:rPr>
          <w:rFonts w:ascii="Arial" w:hAnsi="Arial" w:cs="Arial"/>
          <w:sz w:val="22"/>
          <w:szCs w:val="22"/>
          <w:lang w:val="hr-HR"/>
        </w:rPr>
      </w:pPr>
      <w:r w:rsidRPr="00C91F2F">
        <w:rPr>
          <w:rFonts w:ascii="Arial" w:hAnsi="Arial" w:cs="Arial"/>
          <w:b/>
          <w:sz w:val="22"/>
          <w:szCs w:val="22"/>
          <w:lang w:val="hr-HR"/>
        </w:rPr>
        <w:t>Naknade građanima i kućanstvima</w:t>
      </w:r>
      <w:r w:rsidRPr="00C91F2F">
        <w:rPr>
          <w:rFonts w:ascii="Arial" w:hAnsi="Arial" w:cs="Arial"/>
          <w:sz w:val="22"/>
          <w:szCs w:val="22"/>
          <w:lang w:val="hr-HR"/>
        </w:rPr>
        <w:t xml:space="preserve"> </w:t>
      </w:r>
      <w:r w:rsidRPr="00C91F2F">
        <w:rPr>
          <w:rFonts w:ascii="Arial" w:hAnsi="Arial" w:cs="Arial"/>
          <w:sz w:val="22"/>
          <w:szCs w:val="22"/>
          <w:u w:val="single"/>
          <w:lang w:val="hr-HR"/>
        </w:rPr>
        <w:t>za 201</w:t>
      </w:r>
      <w:r w:rsidR="00EF4466">
        <w:rPr>
          <w:rFonts w:ascii="Arial" w:hAnsi="Arial" w:cs="Arial"/>
          <w:sz w:val="22"/>
          <w:szCs w:val="22"/>
          <w:u w:val="single"/>
          <w:lang w:val="hr-HR"/>
        </w:rPr>
        <w:t>9</w:t>
      </w:r>
      <w:r w:rsidRPr="00C91F2F">
        <w:rPr>
          <w:rFonts w:ascii="Arial" w:hAnsi="Arial" w:cs="Arial"/>
          <w:sz w:val="22"/>
          <w:szCs w:val="22"/>
          <w:u w:val="single"/>
          <w:lang w:val="hr-HR"/>
        </w:rPr>
        <w:t>-20</w:t>
      </w:r>
      <w:r w:rsidR="00EF4466">
        <w:rPr>
          <w:rFonts w:ascii="Arial" w:hAnsi="Arial" w:cs="Arial"/>
          <w:sz w:val="22"/>
          <w:szCs w:val="22"/>
          <w:u w:val="single"/>
          <w:lang w:val="hr-HR"/>
        </w:rPr>
        <w:t>21</w:t>
      </w:r>
      <w:r w:rsidRPr="00C91F2F">
        <w:rPr>
          <w:rFonts w:ascii="Arial" w:hAnsi="Arial" w:cs="Arial"/>
          <w:sz w:val="22"/>
          <w:szCs w:val="22"/>
          <w:u w:val="single"/>
          <w:lang w:val="hr-HR"/>
        </w:rPr>
        <w:t>. planirati na razini 201</w:t>
      </w:r>
      <w:r w:rsidR="00EF4466">
        <w:rPr>
          <w:rFonts w:ascii="Arial" w:hAnsi="Arial" w:cs="Arial"/>
          <w:sz w:val="22"/>
          <w:szCs w:val="22"/>
          <w:u w:val="single"/>
          <w:lang w:val="hr-HR"/>
        </w:rPr>
        <w:t>8</w:t>
      </w:r>
      <w:r w:rsidRPr="00C91F2F">
        <w:rPr>
          <w:rFonts w:ascii="Arial" w:hAnsi="Arial" w:cs="Arial"/>
          <w:sz w:val="22"/>
          <w:szCs w:val="22"/>
          <w:u w:val="single"/>
          <w:lang w:val="hr-HR"/>
        </w:rPr>
        <w:t>. god.</w:t>
      </w:r>
    </w:p>
    <w:p w14:paraId="2D4C92F8" w14:textId="77777777" w:rsidR="00BC0B7F" w:rsidRPr="00C91F2F" w:rsidRDefault="00BC0B7F" w:rsidP="00126235">
      <w:pPr>
        <w:jc w:val="both"/>
        <w:rPr>
          <w:rFonts w:ascii="Arial" w:hAnsi="Arial" w:cs="Arial"/>
          <w:sz w:val="22"/>
          <w:szCs w:val="22"/>
          <w:lang w:val="hr-HR"/>
        </w:rPr>
      </w:pPr>
    </w:p>
    <w:p w14:paraId="6DAEEC4A" w14:textId="77777777" w:rsidR="00BC0B7F" w:rsidRPr="00C91F2F" w:rsidRDefault="00BC0B7F" w:rsidP="00126235">
      <w:pPr>
        <w:jc w:val="both"/>
        <w:rPr>
          <w:rFonts w:ascii="Arial" w:hAnsi="Arial" w:cs="Arial"/>
          <w:b/>
          <w:sz w:val="22"/>
          <w:szCs w:val="22"/>
          <w:lang w:val="hr-HR"/>
        </w:rPr>
      </w:pPr>
      <w:r w:rsidRPr="00C91F2F">
        <w:rPr>
          <w:rFonts w:ascii="Arial" w:hAnsi="Arial" w:cs="Arial"/>
          <w:b/>
          <w:sz w:val="22"/>
          <w:szCs w:val="22"/>
          <w:lang w:val="hr-HR"/>
        </w:rPr>
        <w:t>Ostali rashodi</w:t>
      </w:r>
    </w:p>
    <w:p w14:paraId="24A26E19" w14:textId="26D6B1ED" w:rsidR="00BC0B7F" w:rsidRPr="00EF4466" w:rsidRDefault="00BC0B7F" w:rsidP="00EF4466">
      <w:pPr>
        <w:jc w:val="both"/>
        <w:rPr>
          <w:rFonts w:ascii="Arial" w:hAnsi="Arial" w:cs="Arial"/>
          <w:sz w:val="22"/>
          <w:szCs w:val="22"/>
          <w:lang w:val="hr-HR"/>
        </w:rPr>
      </w:pPr>
      <w:r w:rsidRPr="00EF4466">
        <w:rPr>
          <w:rFonts w:ascii="Arial" w:hAnsi="Arial" w:cs="Arial"/>
          <w:sz w:val="22"/>
          <w:szCs w:val="22"/>
          <w:lang w:val="hr-HR"/>
        </w:rPr>
        <w:t xml:space="preserve">-rashode za tekuće donacije (sportskim klubovima, udrugama građana, nacionalnim zajednicama i manjinama i dr. neprofitnim organizacijama) treba planirati </w:t>
      </w:r>
      <w:r w:rsidR="00EF4466" w:rsidRPr="00EF4466">
        <w:rPr>
          <w:rFonts w:ascii="Arial" w:hAnsi="Arial" w:cs="Arial"/>
          <w:sz w:val="22"/>
          <w:szCs w:val="22"/>
          <w:lang w:val="hr-HR"/>
        </w:rPr>
        <w:t>na razini tekuće godine</w:t>
      </w:r>
    </w:p>
    <w:p w14:paraId="06668509" w14:textId="77777777" w:rsidR="00BC0B7F" w:rsidRPr="00C91F2F" w:rsidRDefault="00BC0B7F" w:rsidP="00126235">
      <w:pPr>
        <w:jc w:val="both"/>
        <w:rPr>
          <w:rFonts w:ascii="Arial" w:hAnsi="Arial" w:cs="Arial"/>
          <w:sz w:val="22"/>
          <w:szCs w:val="22"/>
          <w:u w:val="single"/>
          <w:lang w:val="hr-HR"/>
        </w:rPr>
      </w:pPr>
    </w:p>
    <w:p w14:paraId="260A567B" w14:textId="757C809D"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 xml:space="preserve">-kapitalne pomoći (kapitalni prijenosi trgovačkim društvima u i izvan javnog sektora) </w:t>
      </w:r>
      <w:r w:rsidRPr="00C91F2F">
        <w:rPr>
          <w:rFonts w:ascii="Arial" w:hAnsi="Arial" w:cs="Arial"/>
          <w:sz w:val="22"/>
          <w:szCs w:val="22"/>
          <w:u w:val="single"/>
          <w:lang w:val="hr-HR"/>
        </w:rPr>
        <w:t>za 201</w:t>
      </w:r>
      <w:r w:rsidR="00EF4466">
        <w:rPr>
          <w:rFonts w:ascii="Arial" w:hAnsi="Arial" w:cs="Arial"/>
          <w:sz w:val="22"/>
          <w:szCs w:val="22"/>
          <w:u w:val="single"/>
          <w:lang w:val="hr-HR"/>
        </w:rPr>
        <w:t>9</w:t>
      </w:r>
      <w:r w:rsidRPr="00C91F2F">
        <w:rPr>
          <w:rFonts w:ascii="Arial" w:hAnsi="Arial" w:cs="Arial"/>
          <w:sz w:val="22"/>
          <w:szCs w:val="22"/>
          <w:u w:val="single"/>
          <w:lang w:val="hr-HR"/>
        </w:rPr>
        <w:t>., 20</w:t>
      </w:r>
      <w:r w:rsidR="00EF4466">
        <w:rPr>
          <w:rFonts w:ascii="Arial" w:hAnsi="Arial" w:cs="Arial"/>
          <w:sz w:val="22"/>
          <w:szCs w:val="22"/>
          <w:u w:val="single"/>
          <w:lang w:val="hr-HR"/>
        </w:rPr>
        <w:t>20</w:t>
      </w:r>
      <w:r w:rsidRPr="00C91F2F">
        <w:rPr>
          <w:rFonts w:ascii="Arial" w:hAnsi="Arial" w:cs="Arial"/>
          <w:sz w:val="22"/>
          <w:szCs w:val="22"/>
          <w:u w:val="single"/>
          <w:lang w:val="hr-HR"/>
        </w:rPr>
        <w:t>. i 20</w:t>
      </w:r>
      <w:r w:rsidR="00EF4466">
        <w:rPr>
          <w:rFonts w:ascii="Arial" w:hAnsi="Arial" w:cs="Arial"/>
          <w:sz w:val="22"/>
          <w:szCs w:val="22"/>
          <w:u w:val="single"/>
          <w:lang w:val="hr-HR"/>
        </w:rPr>
        <w:t>21</w:t>
      </w:r>
      <w:r w:rsidRPr="00C91F2F">
        <w:rPr>
          <w:rFonts w:ascii="Arial" w:hAnsi="Arial" w:cs="Arial"/>
          <w:sz w:val="22"/>
          <w:szCs w:val="22"/>
          <w:u w:val="single"/>
          <w:lang w:val="hr-HR"/>
        </w:rPr>
        <w:t>. treba planirati na razini 201</w:t>
      </w:r>
      <w:r w:rsidR="00EF4466">
        <w:rPr>
          <w:rFonts w:ascii="Arial" w:hAnsi="Arial" w:cs="Arial"/>
          <w:sz w:val="22"/>
          <w:szCs w:val="22"/>
          <w:u w:val="single"/>
          <w:lang w:val="hr-HR"/>
        </w:rPr>
        <w:t>8</w:t>
      </w:r>
      <w:r w:rsidRPr="00C91F2F">
        <w:rPr>
          <w:rFonts w:ascii="Arial" w:hAnsi="Arial" w:cs="Arial"/>
          <w:sz w:val="22"/>
          <w:szCs w:val="22"/>
          <w:lang w:val="hr-HR"/>
        </w:rPr>
        <w:t>.</w:t>
      </w:r>
    </w:p>
    <w:p w14:paraId="75A4669A" w14:textId="77777777"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 xml:space="preserve"> </w:t>
      </w:r>
    </w:p>
    <w:p w14:paraId="3F010B72" w14:textId="77777777" w:rsidR="00BC0B7F" w:rsidRPr="00C91F2F" w:rsidRDefault="00BC0B7F" w:rsidP="00126235">
      <w:pPr>
        <w:jc w:val="both"/>
        <w:rPr>
          <w:rFonts w:ascii="Arial" w:hAnsi="Arial" w:cs="Arial"/>
          <w:sz w:val="22"/>
          <w:szCs w:val="22"/>
          <w:lang w:val="hr-HR"/>
        </w:rPr>
      </w:pPr>
    </w:p>
    <w:p w14:paraId="2620E4AA" w14:textId="2C1C8B60" w:rsidR="00BC0B7F" w:rsidRPr="00C91F2F" w:rsidRDefault="00BC0B7F" w:rsidP="00126235">
      <w:pPr>
        <w:jc w:val="both"/>
        <w:rPr>
          <w:rFonts w:ascii="Arial" w:hAnsi="Arial" w:cs="Arial"/>
          <w:b/>
          <w:color w:val="000000" w:themeColor="text1"/>
          <w:sz w:val="22"/>
          <w:szCs w:val="22"/>
          <w:u w:val="single"/>
          <w:lang w:val="hr-HR"/>
        </w:rPr>
      </w:pPr>
      <w:r w:rsidRPr="00C91F2F">
        <w:rPr>
          <w:rFonts w:ascii="Arial" w:hAnsi="Arial" w:cs="Arial"/>
          <w:b/>
          <w:color w:val="000000" w:themeColor="text1"/>
          <w:sz w:val="22"/>
          <w:szCs w:val="22"/>
          <w:lang w:val="hr-HR"/>
        </w:rPr>
        <w:t xml:space="preserve">         </w:t>
      </w:r>
      <w:r w:rsidRPr="00C91F2F">
        <w:rPr>
          <w:rFonts w:ascii="Arial" w:hAnsi="Arial" w:cs="Arial"/>
          <w:b/>
          <w:color w:val="000000" w:themeColor="text1"/>
          <w:sz w:val="22"/>
          <w:szCs w:val="22"/>
          <w:u w:val="single"/>
          <w:lang w:val="hr-HR"/>
        </w:rPr>
        <w:t>U financijski plan za 20</w:t>
      </w:r>
      <w:r w:rsidR="00EF4466">
        <w:rPr>
          <w:rFonts w:ascii="Arial" w:hAnsi="Arial" w:cs="Arial"/>
          <w:b/>
          <w:color w:val="000000" w:themeColor="text1"/>
          <w:sz w:val="22"/>
          <w:szCs w:val="22"/>
          <w:u w:val="single"/>
          <w:lang w:val="hr-HR"/>
        </w:rPr>
        <w:t>19</w:t>
      </w:r>
      <w:r w:rsidRPr="00C91F2F">
        <w:rPr>
          <w:rFonts w:ascii="Arial" w:hAnsi="Arial" w:cs="Arial"/>
          <w:b/>
          <w:color w:val="000000" w:themeColor="text1"/>
          <w:sz w:val="22"/>
          <w:szCs w:val="22"/>
          <w:u w:val="single"/>
          <w:lang w:val="hr-HR"/>
        </w:rPr>
        <w:t>.-20</w:t>
      </w:r>
      <w:r w:rsidR="00EF4466">
        <w:rPr>
          <w:rFonts w:ascii="Arial" w:hAnsi="Arial" w:cs="Arial"/>
          <w:b/>
          <w:color w:val="000000" w:themeColor="text1"/>
          <w:sz w:val="22"/>
          <w:szCs w:val="22"/>
          <w:u w:val="single"/>
          <w:lang w:val="hr-HR"/>
        </w:rPr>
        <w:t>21</w:t>
      </w:r>
      <w:r w:rsidRPr="00C91F2F">
        <w:rPr>
          <w:rFonts w:ascii="Arial" w:hAnsi="Arial" w:cs="Arial"/>
          <w:b/>
          <w:color w:val="000000" w:themeColor="text1"/>
          <w:sz w:val="22"/>
          <w:szCs w:val="22"/>
          <w:u w:val="single"/>
          <w:lang w:val="hr-HR"/>
        </w:rPr>
        <w:t xml:space="preserve">. </w:t>
      </w:r>
      <w:r w:rsidR="001426E8">
        <w:rPr>
          <w:rFonts w:ascii="Arial" w:hAnsi="Arial" w:cs="Arial"/>
          <w:b/>
          <w:color w:val="000000" w:themeColor="text1"/>
          <w:sz w:val="22"/>
          <w:szCs w:val="22"/>
          <w:u w:val="single"/>
          <w:lang w:val="hr-HR"/>
        </w:rPr>
        <w:t xml:space="preserve">potrebno je </w:t>
      </w:r>
      <w:r w:rsidRPr="00C91F2F">
        <w:rPr>
          <w:rFonts w:ascii="Arial" w:hAnsi="Arial" w:cs="Arial"/>
          <w:b/>
          <w:color w:val="000000" w:themeColor="text1"/>
          <w:sz w:val="22"/>
          <w:szCs w:val="22"/>
          <w:u w:val="single"/>
          <w:lang w:val="hr-HR"/>
        </w:rPr>
        <w:t>obavezno uključiti i predviđeni MANJAK, odnosno VIŠAK prihoda, te s navedenim bilančnim kategorijama postići uravnoteženje.</w:t>
      </w:r>
    </w:p>
    <w:p w14:paraId="56F115D6" w14:textId="29D970F4" w:rsidR="00BC0B7F" w:rsidRPr="00C91F2F" w:rsidRDefault="00BC0B7F" w:rsidP="00126235">
      <w:pPr>
        <w:jc w:val="both"/>
        <w:rPr>
          <w:rFonts w:ascii="Arial" w:hAnsi="Arial" w:cs="Arial"/>
          <w:color w:val="000000" w:themeColor="text1"/>
          <w:sz w:val="22"/>
          <w:szCs w:val="22"/>
          <w:lang w:val="hr-HR"/>
        </w:rPr>
      </w:pPr>
      <w:r w:rsidRPr="00C91F2F">
        <w:rPr>
          <w:rFonts w:ascii="Arial" w:hAnsi="Arial" w:cs="Arial"/>
          <w:color w:val="000000" w:themeColor="text1"/>
          <w:sz w:val="22"/>
          <w:szCs w:val="22"/>
          <w:lang w:val="hr-HR"/>
        </w:rPr>
        <w:t xml:space="preserve">        Dakle, obrazac financijskog plana i nadalje sadrži tablicu u kojoj se procjenjuju  prihodi i primici za trogodišnje razdoblje i povezuju s izvorima financiranja, kao i rashodi i izdaci po programima, aktivnostima i projektima. U tablici je također potrebno prikazati i procijenjeni manjak ili višak za koje se očekuje da će biti iskazani s 31. prosincem 201</w:t>
      </w:r>
      <w:r w:rsidR="00EF4466">
        <w:rPr>
          <w:rFonts w:ascii="Arial" w:hAnsi="Arial" w:cs="Arial"/>
          <w:color w:val="000000" w:themeColor="text1"/>
          <w:sz w:val="22"/>
          <w:szCs w:val="22"/>
          <w:lang w:val="hr-HR"/>
        </w:rPr>
        <w:t>8</w:t>
      </w:r>
      <w:r w:rsidRPr="00C91F2F">
        <w:rPr>
          <w:rFonts w:ascii="Arial" w:hAnsi="Arial" w:cs="Arial"/>
          <w:color w:val="000000" w:themeColor="text1"/>
          <w:sz w:val="22"/>
          <w:szCs w:val="22"/>
          <w:lang w:val="hr-HR"/>
        </w:rPr>
        <w:t>. godine.</w:t>
      </w:r>
    </w:p>
    <w:p w14:paraId="36ED8D2F" w14:textId="77777777" w:rsidR="00BC0B7F" w:rsidRPr="00C91F2F" w:rsidRDefault="00BC0B7F" w:rsidP="00126235">
      <w:pPr>
        <w:jc w:val="both"/>
        <w:rPr>
          <w:rFonts w:ascii="Arial" w:hAnsi="Arial" w:cs="Arial"/>
          <w:sz w:val="22"/>
          <w:szCs w:val="22"/>
          <w:lang w:val="hr-HR"/>
        </w:rPr>
      </w:pPr>
    </w:p>
    <w:p w14:paraId="524E0590" w14:textId="77777777" w:rsidR="00BC0B7F" w:rsidRPr="00C91F2F" w:rsidRDefault="00BC0B7F" w:rsidP="00126235">
      <w:pPr>
        <w:jc w:val="both"/>
        <w:rPr>
          <w:rFonts w:ascii="Arial" w:hAnsi="Arial" w:cs="Arial"/>
          <w:sz w:val="22"/>
          <w:szCs w:val="22"/>
          <w:lang w:val="hr-HR"/>
        </w:rPr>
      </w:pPr>
    </w:p>
    <w:p w14:paraId="163835B7" w14:textId="77777777" w:rsidR="00BC0B7F" w:rsidRPr="00BF79A5" w:rsidRDefault="00BC0B7F" w:rsidP="00EF4466">
      <w:pPr>
        <w:pStyle w:val="Heading2"/>
        <w:rPr>
          <w:rFonts w:ascii="Arial" w:hAnsi="Arial" w:cs="Arial"/>
          <w:sz w:val="24"/>
          <w:szCs w:val="24"/>
        </w:rPr>
      </w:pPr>
      <w:bookmarkStart w:id="12" w:name="_Toc524064686"/>
      <w:r w:rsidRPr="00C91F2F">
        <w:t>3.4</w:t>
      </w:r>
      <w:r w:rsidRPr="00BF79A5">
        <w:rPr>
          <w:rFonts w:ascii="Arial" w:hAnsi="Arial" w:cs="Arial"/>
          <w:sz w:val="24"/>
          <w:szCs w:val="24"/>
        </w:rPr>
        <w:t>. Obrazloženje prijedloga Financijskog plana</w:t>
      </w:r>
      <w:bookmarkEnd w:id="12"/>
      <w:r w:rsidRPr="00BF79A5">
        <w:rPr>
          <w:rFonts w:ascii="Arial" w:hAnsi="Arial" w:cs="Arial"/>
          <w:sz w:val="24"/>
          <w:szCs w:val="24"/>
        </w:rPr>
        <w:t xml:space="preserve"> </w:t>
      </w:r>
    </w:p>
    <w:p w14:paraId="05715D24" w14:textId="77777777" w:rsidR="00BC0B7F" w:rsidRPr="00BF79A5" w:rsidRDefault="00BC0B7F" w:rsidP="00126235">
      <w:pPr>
        <w:jc w:val="both"/>
        <w:rPr>
          <w:rFonts w:ascii="Arial" w:hAnsi="Arial" w:cs="Arial"/>
          <w:b/>
          <w:lang w:val="hr-HR"/>
        </w:rPr>
      </w:pPr>
    </w:p>
    <w:p w14:paraId="690ECF45" w14:textId="77777777" w:rsidR="00BC0B7F" w:rsidRPr="00C91F2F" w:rsidRDefault="00BC0B7F" w:rsidP="00BF79A5">
      <w:pPr>
        <w:ind w:firstLine="708"/>
        <w:jc w:val="both"/>
        <w:rPr>
          <w:rFonts w:ascii="Arial" w:hAnsi="Arial" w:cs="Arial"/>
          <w:sz w:val="22"/>
          <w:szCs w:val="22"/>
          <w:lang w:val="hr-HR"/>
        </w:rPr>
      </w:pPr>
      <w:r w:rsidRPr="00C91F2F">
        <w:rPr>
          <w:rFonts w:ascii="Arial" w:hAnsi="Arial" w:cs="Arial"/>
          <w:sz w:val="22"/>
          <w:szCs w:val="22"/>
          <w:lang w:val="hr-HR"/>
        </w:rPr>
        <w:t xml:space="preserve">Sukladno članku 30. Zakona o proračunu proračunski korisnici su dužni uz prijedlog financijskog plana izraditi i dostaviti obrazloženje prijedloga financijskog plana. </w:t>
      </w:r>
    </w:p>
    <w:p w14:paraId="783275CF" w14:textId="77777777" w:rsidR="00BC0B7F" w:rsidRPr="00C91F2F" w:rsidRDefault="00BC0B7F" w:rsidP="00126235">
      <w:pPr>
        <w:jc w:val="both"/>
        <w:rPr>
          <w:rFonts w:ascii="Arial" w:hAnsi="Arial" w:cs="Arial"/>
          <w:sz w:val="22"/>
          <w:szCs w:val="22"/>
          <w:lang w:val="hr-HR"/>
        </w:rPr>
      </w:pPr>
    </w:p>
    <w:p w14:paraId="42DE8E0B" w14:textId="77777777"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Obrazloženje prijedloga financijskog plana sadrži:</w:t>
      </w:r>
    </w:p>
    <w:p w14:paraId="6EFC21F9" w14:textId="77777777" w:rsidR="00BC0B7F" w:rsidRPr="00C91F2F" w:rsidRDefault="00BC0B7F" w:rsidP="00126235">
      <w:pPr>
        <w:numPr>
          <w:ilvl w:val="0"/>
          <w:numId w:val="1"/>
        </w:numPr>
        <w:jc w:val="both"/>
        <w:rPr>
          <w:rFonts w:ascii="Arial" w:hAnsi="Arial" w:cs="Arial"/>
          <w:sz w:val="22"/>
          <w:szCs w:val="22"/>
          <w:lang w:val="hr-HR"/>
        </w:rPr>
      </w:pPr>
      <w:r w:rsidRPr="00C91F2F">
        <w:rPr>
          <w:rFonts w:ascii="Arial" w:hAnsi="Arial" w:cs="Arial"/>
          <w:sz w:val="22"/>
          <w:szCs w:val="22"/>
          <w:lang w:val="hr-HR"/>
        </w:rPr>
        <w:t>Sažetak djelokruga rada proračunskog korisnika,</w:t>
      </w:r>
    </w:p>
    <w:p w14:paraId="59B02F76" w14:textId="77777777" w:rsidR="00BC0B7F" w:rsidRPr="00C91F2F" w:rsidRDefault="00BC0B7F" w:rsidP="00126235">
      <w:pPr>
        <w:numPr>
          <w:ilvl w:val="0"/>
          <w:numId w:val="1"/>
        </w:numPr>
        <w:jc w:val="both"/>
        <w:rPr>
          <w:rFonts w:ascii="Arial" w:hAnsi="Arial" w:cs="Arial"/>
          <w:sz w:val="22"/>
          <w:szCs w:val="22"/>
          <w:lang w:val="hr-HR"/>
        </w:rPr>
      </w:pPr>
      <w:r w:rsidRPr="00C91F2F">
        <w:rPr>
          <w:rFonts w:ascii="Arial" w:hAnsi="Arial" w:cs="Arial"/>
          <w:sz w:val="22"/>
          <w:szCs w:val="22"/>
          <w:lang w:val="hr-HR"/>
        </w:rPr>
        <w:t>Obrazložene programe,</w:t>
      </w:r>
    </w:p>
    <w:p w14:paraId="5719B22F" w14:textId="77777777" w:rsidR="00BC0B7F" w:rsidRPr="00C91F2F" w:rsidRDefault="00BC0B7F" w:rsidP="00126235">
      <w:pPr>
        <w:numPr>
          <w:ilvl w:val="0"/>
          <w:numId w:val="1"/>
        </w:numPr>
        <w:jc w:val="both"/>
        <w:rPr>
          <w:rFonts w:ascii="Arial" w:hAnsi="Arial" w:cs="Arial"/>
          <w:sz w:val="22"/>
          <w:szCs w:val="22"/>
          <w:lang w:val="hr-HR"/>
        </w:rPr>
      </w:pPr>
      <w:r w:rsidRPr="00C91F2F">
        <w:rPr>
          <w:rFonts w:ascii="Arial" w:hAnsi="Arial" w:cs="Arial"/>
          <w:sz w:val="22"/>
          <w:szCs w:val="22"/>
          <w:lang w:val="hr-HR"/>
        </w:rPr>
        <w:t>Zakonske i druge podloge na kojima se zasnivaju programi,</w:t>
      </w:r>
    </w:p>
    <w:p w14:paraId="0FD599A2" w14:textId="77777777" w:rsidR="00BC0B7F" w:rsidRPr="00C91F2F" w:rsidRDefault="00BC0B7F" w:rsidP="00126235">
      <w:pPr>
        <w:numPr>
          <w:ilvl w:val="0"/>
          <w:numId w:val="1"/>
        </w:numPr>
        <w:jc w:val="both"/>
        <w:rPr>
          <w:rFonts w:ascii="Arial" w:hAnsi="Arial" w:cs="Arial"/>
          <w:sz w:val="22"/>
          <w:szCs w:val="22"/>
          <w:lang w:val="hr-HR"/>
        </w:rPr>
      </w:pPr>
      <w:r w:rsidRPr="00C91F2F">
        <w:rPr>
          <w:rFonts w:ascii="Arial" w:hAnsi="Arial" w:cs="Arial"/>
          <w:sz w:val="22"/>
          <w:szCs w:val="22"/>
          <w:lang w:val="hr-HR"/>
        </w:rPr>
        <w:t>Usklađene ciljeve, strategiju i programe s dokumentima dugoročnog razvoja,</w:t>
      </w:r>
    </w:p>
    <w:p w14:paraId="10738630" w14:textId="77777777" w:rsidR="00BC0B7F" w:rsidRPr="00C91F2F" w:rsidRDefault="00BC0B7F" w:rsidP="00126235">
      <w:pPr>
        <w:numPr>
          <w:ilvl w:val="0"/>
          <w:numId w:val="1"/>
        </w:numPr>
        <w:jc w:val="both"/>
        <w:rPr>
          <w:rFonts w:ascii="Arial" w:hAnsi="Arial" w:cs="Arial"/>
          <w:sz w:val="22"/>
          <w:szCs w:val="22"/>
          <w:lang w:val="hr-HR"/>
        </w:rPr>
      </w:pPr>
      <w:r w:rsidRPr="00C91F2F">
        <w:rPr>
          <w:rFonts w:ascii="Arial" w:hAnsi="Arial" w:cs="Arial"/>
          <w:sz w:val="22"/>
          <w:szCs w:val="22"/>
          <w:lang w:val="hr-HR"/>
        </w:rPr>
        <w:t>Ishodište i pokazatelje na kojima se zasnivaju izračuni i ocjene potrebnih sredstava za provođenje programa,</w:t>
      </w:r>
    </w:p>
    <w:p w14:paraId="3AEFAAF7" w14:textId="77777777" w:rsidR="00BC0B7F" w:rsidRPr="00C91F2F" w:rsidRDefault="00BC0B7F" w:rsidP="00126235">
      <w:pPr>
        <w:numPr>
          <w:ilvl w:val="0"/>
          <w:numId w:val="1"/>
        </w:numPr>
        <w:jc w:val="both"/>
        <w:rPr>
          <w:rFonts w:ascii="Arial" w:hAnsi="Arial" w:cs="Arial"/>
          <w:sz w:val="22"/>
          <w:szCs w:val="22"/>
          <w:lang w:val="hr-HR"/>
        </w:rPr>
      </w:pPr>
      <w:r w:rsidRPr="00C91F2F">
        <w:rPr>
          <w:rFonts w:ascii="Arial" w:hAnsi="Arial" w:cs="Arial"/>
          <w:sz w:val="22"/>
          <w:szCs w:val="22"/>
          <w:lang w:val="hr-HR"/>
        </w:rPr>
        <w:t xml:space="preserve">Izvještaj o postignutim ciljevima i rezultatima programa temeljenim na pokazateljima uspješnosti iz nadležnosti proračunskog korisnika u prethodnoj godini, </w:t>
      </w:r>
    </w:p>
    <w:p w14:paraId="177EA32B" w14:textId="77777777" w:rsidR="00BC0B7F" w:rsidRPr="00C91F2F" w:rsidRDefault="00BC0B7F" w:rsidP="00126235">
      <w:pPr>
        <w:numPr>
          <w:ilvl w:val="0"/>
          <w:numId w:val="1"/>
        </w:numPr>
        <w:jc w:val="both"/>
        <w:rPr>
          <w:rFonts w:ascii="Arial" w:hAnsi="Arial" w:cs="Arial"/>
          <w:sz w:val="22"/>
          <w:szCs w:val="22"/>
          <w:lang w:val="hr-HR"/>
        </w:rPr>
      </w:pPr>
      <w:r w:rsidRPr="00C91F2F">
        <w:rPr>
          <w:rFonts w:ascii="Arial" w:hAnsi="Arial" w:cs="Arial"/>
          <w:sz w:val="22"/>
          <w:szCs w:val="22"/>
          <w:lang w:val="hr-HR"/>
        </w:rPr>
        <w:t>Ostala obrazloženja i dokumentaciju.</w:t>
      </w:r>
    </w:p>
    <w:p w14:paraId="70466F80" w14:textId="77777777" w:rsidR="00BC0B7F" w:rsidRPr="00C91F2F" w:rsidRDefault="00BC0B7F" w:rsidP="00126235">
      <w:pPr>
        <w:jc w:val="both"/>
        <w:rPr>
          <w:rFonts w:ascii="Arial" w:hAnsi="Arial" w:cs="Arial"/>
          <w:sz w:val="22"/>
          <w:szCs w:val="22"/>
          <w:lang w:val="hr-HR"/>
        </w:rPr>
      </w:pPr>
    </w:p>
    <w:p w14:paraId="59307B42" w14:textId="46971CA5" w:rsidR="00BC0B7F" w:rsidRDefault="00BC0B7F" w:rsidP="00126235">
      <w:pPr>
        <w:jc w:val="both"/>
        <w:rPr>
          <w:rFonts w:ascii="Arial" w:hAnsi="Arial" w:cs="Arial"/>
          <w:b/>
          <w:sz w:val="22"/>
          <w:szCs w:val="22"/>
          <w:lang w:val="hr-HR"/>
        </w:rPr>
      </w:pPr>
      <w:r w:rsidRPr="00C91F2F">
        <w:rPr>
          <w:rFonts w:ascii="Arial" w:hAnsi="Arial" w:cs="Arial"/>
          <w:sz w:val="22"/>
          <w:szCs w:val="22"/>
          <w:lang w:val="hr-HR"/>
        </w:rPr>
        <w:t xml:space="preserve">Budući da se financijski plan usvaja za trogodišnje razdoblje, važno je kroz obrazloženje postići da proračunski dokumenti pažljivo objašnjavaju, od godine do godine, kako su procjene proračunskih stavki i višegodišnje procjene povezane s višegodišnjim procjenama iz prethodne godine. Dakle, </w:t>
      </w:r>
      <w:r w:rsidRPr="00C91F2F">
        <w:rPr>
          <w:rFonts w:ascii="Arial" w:hAnsi="Arial" w:cs="Arial"/>
          <w:b/>
          <w:sz w:val="22"/>
          <w:szCs w:val="22"/>
          <w:lang w:val="hr-HR"/>
        </w:rPr>
        <w:t xml:space="preserve">obavezno treba obrazložiti odstupanja prijedloga </w:t>
      </w:r>
      <w:r w:rsidRPr="00C91F2F">
        <w:rPr>
          <w:rFonts w:ascii="Arial" w:hAnsi="Arial" w:cs="Arial"/>
          <w:b/>
          <w:sz w:val="22"/>
          <w:szCs w:val="22"/>
          <w:lang w:val="hr-HR"/>
        </w:rPr>
        <w:lastRenderedPageBreak/>
        <w:t>financijskog plana za 201</w:t>
      </w:r>
      <w:r w:rsidR="00BF79A5">
        <w:rPr>
          <w:rFonts w:ascii="Arial" w:hAnsi="Arial" w:cs="Arial"/>
          <w:b/>
          <w:sz w:val="22"/>
          <w:szCs w:val="22"/>
          <w:lang w:val="hr-HR"/>
        </w:rPr>
        <w:t>9</w:t>
      </w:r>
      <w:r w:rsidRPr="00C91F2F">
        <w:rPr>
          <w:rFonts w:ascii="Arial" w:hAnsi="Arial" w:cs="Arial"/>
          <w:b/>
          <w:sz w:val="22"/>
          <w:szCs w:val="22"/>
          <w:lang w:val="hr-HR"/>
        </w:rPr>
        <w:t>. i projekcije za 20</w:t>
      </w:r>
      <w:r w:rsidR="00BF79A5">
        <w:rPr>
          <w:rFonts w:ascii="Arial" w:hAnsi="Arial" w:cs="Arial"/>
          <w:b/>
          <w:sz w:val="22"/>
          <w:szCs w:val="22"/>
          <w:lang w:val="hr-HR"/>
        </w:rPr>
        <w:t>20</w:t>
      </w:r>
      <w:r w:rsidRPr="00C91F2F">
        <w:rPr>
          <w:rFonts w:ascii="Arial" w:hAnsi="Arial" w:cs="Arial"/>
          <w:b/>
          <w:sz w:val="22"/>
          <w:szCs w:val="22"/>
          <w:lang w:val="hr-HR"/>
        </w:rPr>
        <w:t>. godinu od onog što je prethodne godine projicirano za 201</w:t>
      </w:r>
      <w:r w:rsidR="00BF79A5">
        <w:rPr>
          <w:rFonts w:ascii="Arial" w:hAnsi="Arial" w:cs="Arial"/>
          <w:b/>
          <w:sz w:val="22"/>
          <w:szCs w:val="22"/>
          <w:lang w:val="hr-HR"/>
        </w:rPr>
        <w:t>9</w:t>
      </w:r>
      <w:r w:rsidRPr="00C91F2F">
        <w:rPr>
          <w:rFonts w:ascii="Arial" w:hAnsi="Arial" w:cs="Arial"/>
          <w:b/>
          <w:sz w:val="22"/>
          <w:szCs w:val="22"/>
          <w:lang w:val="hr-HR"/>
        </w:rPr>
        <w:t>. i 20</w:t>
      </w:r>
      <w:r w:rsidR="00BF79A5">
        <w:rPr>
          <w:rFonts w:ascii="Arial" w:hAnsi="Arial" w:cs="Arial"/>
          <w:b/>
          <w:sz w:val="22"/>
          <w:szCs w:val="22"/>
          <w:lang w:val="hr-HR"/>
        </w:rPr>
        <w:t>20</w:t>
      </w:r>
      <w:r w:rsidRPr="00C91F2F">
        <w:rPr>
          <w:rFonts w:ascii="Arial" w:hAnsi="Arial" w:cs="Arial"/>
          <w:b/>
          <w:sz w:val="22"/>
          <w:szCs w:val="22"/>
          <w:lang w:val="hr-HR"/>
        </w:rPr>
        <w:t>. godinu, navodeći razloge odstupanja.</w:t>
      </w:r>
    </w:p>
    <w:p w14:paraId="2E32BFC8" w14:textId="77777777" w:rsidR="00BF79A5" w:rsidRPr="00C91F2F" w:rsidRDefault="00BF79A5" w:rsidP="00126235">
      <w:pPr>
        <w:jc w:val="both"/>
        <w:rPr>
          <w:rFonts w:ascii="Arial" w:hAnsi="Arial" w:cs="Arial"/>
          <w:b/>
          <w:sz w:val="22"/>
          <w:szCs w:val="22"/>
          <w:lang w:val="hr-HR"/>
        </w:rPr>
      </w:pPr>
    </w:p>
    <w:p w14:paraId="33F57343" w14:textId="29C836B4" w:rsidR="00BC0B7F" w:rsidRDefault="00BC0B7F" w:rsidP="00126235">
      <w:pPr>
        <w:jc w:val="both"/>
        <w:rPr>
          <w:rFonts w:ascii="Arial" w:hAnsi="Arial" w:cs="Arial"/>
          <w:b/>
          <w:color w:val="000000" w:themeColor="text1"/>
          <w:sz w:val="22"/>
          <w:szCs w:val="22"/>
          <w:lang w:val="hr-HR"/>
        </w:rPr>
      </w:pPr>
      <w:r w:rsidRPr="00C91F2F">
        <w:rPr>
          <w:rFonts w:ascii="Arial" w:hAnsi="Arial" w:cs="Arial"/>
          <w:color w:val="000000" w:themeColor="text1"/>
          <w:sz w:val="22"/>
          <w:szCs w:val="22"/>
          <w:lang w:val="hr-HR"/>
        </w:rPr>
        <w:t xml:space="preserve">U cilju predstavljanja svog djelokruga rada predstavničkom tijelu i široj javnosti </w:t>
      </w:r>
      <w:r w:rsidRPr="00C91F2F">
        <w:rPr>
          <w:rFonts w:ascii="Arial" w:hAnsi="Arial" w:cs="Arial"/>
          <w:b/>
          <w:color w:val="000000" w:themeColor="text1"/>
          <w:sz w:val="22"/>
          <w:szCs w:val="22"/>
          <w:lang w:val="hr-HR"/>
        </w:rPr>
        <w:t>proračunski korisnik treba izraditi prikaz djelokruga rada, predstaviti svoju organizacijsku strukturu (shematski prikaz) i dati kratki opis osnovnih zadaća radi kojih je osnovan.</w:t>
      </w:r>
    </w:p>
    <w:p w14:paraId="00E75AE8" w14:textId="77777777" w:rsidR="00BF79A5" w:rsidRPr="00BF79A5" w:rsidRDefault="00BF79A5" w:rsidP="00126235">
      <w:pPr>
        <w:jc w:val="both"/>
        <w:rPr>
          <w:rFonts w:ascii="Arial" w:hAnsi="Arial" w:cs="Arial"/>
          <w:sz w:val="22"/>
          <w:szCs w:val="22"/>
          <w:lang w:val="hr-HR"/>
        </w:rPr>
      </w:pPr>
    </w:p>
    <w:p w14:paraId="6A539479" w14:textId="1333951F" w:rsidR="00BC0B7F" w:rsidRDefault="00BC0B7F" w:rsidP="00126235">
      <w:pPr>
        <w:jc w:val="both"/>
        <w:rPr>
          <w:rFonts w:ascii="Arial" w:hAnsi="Arial" w:cs="Arial"/>
          <w:sz w:val="22"/>
          <w:szCs w:val="22"/>
          <w:lang w:val="hr-HR"/>
        </w:rPr>
      </w:pPr>
      <w:r w:rsidRPr="00C91F2F">
        <w:rPr>
          <w:rFonts w:ascii="Arial" w:hAnsi="Arial" w:cs="Arial"/>
          <w:sz w:val="22"/>
          <w:szCs w:val="22"/>
          <w:lang w:val="hr-HR"/>
        </w:rPr>
        <w:t>Prikaz nadalje treba sadržavati naziv programa, opis programa  (opći i posebni ciljevi), zakonsku osnovu za uvođenje programa, potrebna sredstva za provođenje programa, pokazatelje uspješnosti  provođenja programa, te skraćeni brojčani i/ili grafički prikaz financijskog plana.</w:t>
      </w:r>
    </w:p>
    <w:p w14:paraId="3CEC83EE" w14:textId="77777777" w:rsidR="00BF79A5" w:rsidRPr="00C91F2F" w:rsidRDefault="00BF79A5" w:rsidP="00126235">
      <w:pPr>
        <w:jc w:val="both"/>
        <w:rPr>
          <w:rFonts w:ascii="Arial" w:hAnsi="Arial" w:cs="Arial"/>
          <w:sz w:val="22"/>
          <w:szCs w:val="22"/>
          <w:lang w:val="hr-HR"/>
        </w:rPr>
      </w:pPr>
    </w:p>
    <w:p w14:paraId="2373DC92" w14:textId="5BCBEC66" w:rsidR="00BC0B7F" w:rsidRDefault="00BC0B7F" w:rsidP="00126235">
      <w:pPr>
        <w:jc w:val="both"/>
        <w:rPr>
          <w:rFonts w:ascii="Arial" w:hAnsi="Arial" w:cs="Arial"/>
          <w:sz w:val="22"/>
          <w:szCs w:val="22"/>
          <w:lang w:val="hr-HR"/>
        </w:rPr>
      </w:pPr>
      <w:r w:rsidRPr="00C91F2F">
        <w:rPr>
          <w:rFonts w:ascii="Arial" w:hAnsi="Arial" w:cs="Arial"/>
          <w:sz w:val="22"/>
          <w:szCs w:val="22"/>
          <w:lang w:val="hr-HR"/>
        </w:rPr>
        <w:t>U okviru procjene potrebnih sredstava potrebno je navesti ishodište i pokazatelje na kojima se zasnivaju izračuni i ocjene potrebnih sredstava za provođenje programa, odnosno aktivnosti/projekta.</w:t>
      </w:r>
    </w:p>
    <w:p w14:paraId="3938DFDE" w14:textId="77777777" w:rsidR="00BF79A5" w:rsidRPr="00C91F2F" w:rsidRDefault="00BF79A5" w:rsidP="00126235">
      <w:pPr>
        <w:jc w:val="both"/>
        <w:rPr>
          <w:rFonts w:ascii="Arial" w:hAnsi="Arial" w:cs="Arial"/>
          <w:sz w:val="22"/>
          <w:szCs w:val="22"/>
          <w:lang w:val="hr-HR"/>
        </w:rPr>
      </w:pPr>
    </w:p>
    <w:p w14:paraId="2EE1951F" w14:textId="1F790041" w:rsidR="00BC0B7F" w:rsidRDefault="00BC0B7F" w:rsidP="00126235">
      <w:pPr>
        <w:jc w:val="both"/>
        <w:rPr>
          <w:rFonts w:ascii="Arial" w:hAnsi="Arial" w:cs="Arial"/>
          <w:sz w:val="22"/>
          <w:szCs w:val="22"/>
          <w:lang w:val="hr-HR"/>
        </w:rPr>
      </w:pPr>
      <w:r w:rsidRPr="00C91F2F">
        <w:rPr>
          <w:rFonts w:ascii="Arial" w:hAnsi="Arial" w:cs="Arial"/>
          <w:sz w:val="22"/>
          <w:szCs w:val="22"/>
          <w:lang w:val="hr-HR"/>
        </w:rPr>
        <w:t>Proračunski korisnici moraju dati projekcije i obrazloženje kretanja ključnih varijabli za izračun potrebnih sredstava.</w:t>
      </w:r>
    </w:p>
    <w:p w14:paraId="000B90B7" w14:textId="77777777" w:rsidR="00BF79A5" w:rsidRPr="00C91F2F" w:rsidRDefault="00BF79A5" w:rsidP="00126235">
      <w:pPr>
        <w:jc w:val="both"/>
        <w:rPr>
          <w:rFonts w:ascii="Arial" w:hAnsi="Arial" w:cs="Arial"/>
          <w:sz w:val="22"/>
          <w:szCs w:val="22"/>
          <w:lang w:val="hr-HR"/>
        </w:rPr>
      </w:pPr>
    </w:p>
    <w:p w14:paraId="1F229610" w14:textId="307AD03B" w:rsidR="00BC0B7F" w:rsidRPr="00C91F2F" w:rsidRDefault="00BC0B7F" w:rsidP="00126235">
      <w:pPr>
        <w:jc w:val="both"/>
        <w:rPr>
          <w:rFonts w:ascii="Arial" w:hAnsi="Arial" w:cs="Arial"/>
          <w:sz w:val="22"/>
          <w:szCs w:val="22"/>
          <w:lang w:val="hr-HR"/>
        </w:rPr>
      </w:pPr>
      <w:r w:rsidRPr="00C91F2F">
        <w:rPr>
          <w:rFonts w:ascii="Arial" w:hAnsi="Arial" w:cs="Arial"/>
          <w:b/>
          <w:color w:val="000000" w:themeColor="text1"/>
          <w:sz w:val="22"/>
          <w:szCs w:val="22"/>
          <w:u w:val="single"/>
          <w:lang w:val="hr-HR"/>
        </w:rPr>
        <w:t>Prilikom izrade obrazloženja naglasak je potrebno na ciljeve koji se programima namjeravaju postići i pokazatelje uspješnosti realizacije tih ciljeva.</w:t>
      </w:r>
      <w:r w:rsidRPr="00C91F2F">
        <w:rPr>
          <w:rFonts w:ascii="Arial" w:hAnsi="Arial" w:cs="Arial"/>
          <w:b/>
          <w:color w:val="000000" w:themeColor="text1"/>
          <w:sz w:val="22"/>
          <w:szCs w:val="22"/>
          <w:lang w:val="hr-HR"/>
        </w:rPr>
        <w:t xml:space="preserve"> </w:t>
      </w:r>
      <w:r w:rsidRPr="00C91F2F">
        <w:rPr>
          <w:rFonts w:ascii="Arial" w:hAnsi="Arial" w:cs="Arial"/>
          <w:color w:val="000000" w:themeColor="text1"/>
          <w:sz w:val="22"/>
          <w:szCs w:val="22"/>
          <w:lang w:val="hr-HR"/>
        </w:rPr>
        <w:t xml:space="preserve">Obrazloženje cilja nekog programa mora odgovoriti na pitanja: što se </w:t>
      </w:r>
      <w:r w:rsidRPr="00C91F2F">
        <w:rPr>
          <w:rFonts w:ascii="Arial" w:hAnsi="Arial" w:cs="Arial"/>
          <w:sz w:val="22"/>
          <w:szCs w:val="22"/>
          <w:lang w:val="hr-HR"/>
        </w:rPr>
        <w:t>programom želi postići, kako se nastoji realizirati program i tko je korisnik ili primatelj usluge.</w:t>
      </w:r>
    </w:p>
    <w:p w14:paraId="0CE3A873" w14:textId="77777777" w:rsidR="00BC0B7F" w:rsidRPr="00C91F2F" w:rsidRDefault="00BC0B7F" w:rsidP="00126235">
      <w:pPr>
        <w:jc w:val="both"/>
        <w:rPr>
          <w:rFonts w:ascii="Arial" w:hAnsi="Arial" w:cs="Arial"/>
          <w:sz w:val="22"/>
          <w:szCs w:val="22"/>
          <w:lang w:val="hr-HR"/>
        </w:rPr>
      </w:pPr>
    </w:p>
    <w:p w14:paraId="14C205F1" w14:textId="77777777" w:rsidR="00BC0B7F" w:rsidRPr="00C91F2F" w:rsidRDefault="00BC0B7F" w:rsidP="00126235">
      <w:pPr>
        <w:jc w:val="both"/>
        <w:rPr>
          <w:rFonts w:ascii="Arial" w:hAnsi="Arial" w:cs="Arial"/>
          <w:sz w:val="22"/>
          <w:szCs w:val="22"/>
          <w:lang w:val="hr-HR"/>
        </w:rPr>
      </w:pPr>
    </w:p>
    <w:p w14:paraId="726AB0EF" w14:textId="122C7219" w:rsidR="00BC0B7F" w:rsidRPr="00C91F2F" w:rsidRDefault="00BC0B7F" w:rsidP="00126235">
      <w:pPr>
        <w:jc w:val="both"/>
        <w:rPr>
          <w:rFonts w:ascii="Arial" w:hAnsi="Arial" w:cs="Arial"/>
          <w:sz w:val="22"/>
          <w:szCs w:val="22"/>
          <w:lang w:val="hr-HR"/>
        </w:rPr>
      </w:pPr>
      <w:r w:rsidRPr="00C91F2F">
        <w:rPr>
          <w:rFonts w:ascii="Arial" w:hAnsi="Arial" w:cs="Arial"/>
          <w:sz w:val="22"/>
          <w:szCs w:val="22"/>
          <w:lang w:val="hr-HR"/>
        </w:rPr>
        <w:t xml:space="preserve">Dakle, kako bi se pratilo ostvarenje ciljeva programa za trogodišnje razdoblje potrebno je </w:t>
      </w:r>
      <w:r w:rsidRPr="00C91F2F">
        <w:rPr>
          <w:rFonts w:ascii="Arial" w:hAnsi="Arial" w:cs="Arial"/>
          <w:b/>
          <w:sz w:val="22"/>
          <w:szCs w:val="22"/>
          <w:u w:val="single"/>
          <w:lang w:val="hr-HR"/>
        </w:rPr>
        <w:t>definirati pokazatelje uspješnosti</w:t>
      </w:r>
      <w:r w:rsidRPr="00C91F2F">
        <w:rPr>
          <w:rFonts w:ascii="Arial" w:hAnsi="Arial" w:cs="Arial"/>
          <w:sz w:val="22"/>
          <w:szCs w:val="22"/>
          <w:u w:val="single"/>
          <w:lang w:val="hr-HR"/>
        </w:rPr>
        <w:t>.</w:t>
      </w:r>
      <w:r w:rsidRPr="00C91F2F">
        <w:rPr>
          <w:rFonts w:ascii="Arial" w:hAnsi="Arial" w:cs="Arial"/>
          <w:sz w:val="22"/>
          <w:szCs w:val="22"/>
          <w:lang w:val="hr-HR"/>
        </w:rPr>
        <w:t xml:space="preserve"> Dobri pokazatelji uspješnosti moraju biti: specifični (da zaista mjere ono što treba mjeriti), mjerljivi (u pogledu kvalitete i količine), dostupni (u okviru prihvatljivih troškova), relevantni (u odnosu na definirani cilj) i vremenski određeni (da se definirani ciljevi izvrše u zadanom vremenskom roku).</w:t>
      </w:r>
    </w:p>
    <w:p w14:paraId="0212BE7C" w14:textId="77777777" w:rsidR="00BC0B7F" w:rsidRPr="00C91F2F" w:rsidRDefault="00BC0B7F" w:rsidP="00126235">
      <w:pPr>
        <w:jc w:val="both"/>
        <w:rPr>
          <w:rFonts w:ascii="Arial" w:hAnsi="Arial" w:cs="Arial"/>
          <w:sz w:val="22"/>
          <w:szCs w:val="22"/>
          <w:lang w:val="hr-HR"/>
        </w:rPr>
      </w:pPr>
    </w:p>
    <w:p w14:paraId="24223FB0" w14:textId="77777777" w:rsidR="00BC0B7F" w:rsidRPr="00C91F2F" w:rsidRDefault="00BC0B7F" w:rsidP="00126235">
      <w:pPr>
        <w:jc w:val="both"/>
        <w:rPr>
          <w:rFonts w:ascii="Arial" w:hAnsi="Arial" w:cs="Arial"/>
          <w:sz w:val="22"/>
          <w:szCs w:val="22"/>
          <w:lang w:val="hr-HR"/>
        </w:rPr>
      </w:pPr>
    </w:p>
    <w:p w14:paraId="50F215F6" w14:textId="77777777" w:rsidR="00BC0B7F" w:rsidRPr="00C91F2F" w:rsidRDefault="00BC0B7F" w:rsidP="00126235">
      <w:pPr>
        <w:jc w:val="both"/>
        <w:rPr>
          <w:rFonts w:ascii="Arial" w:hAnsi="Arial" w:cs="Arial"/>
          <w:b/>
          <w:sz w:val="22"/>
          <w:szCs w:val="22"/>
          <w:lang w:val="hr-HR"/>
        </w:rPr>
      </w:pPr>
    </w:p>
    <w:p w14:paraId="724152BC" w14:textId="77777777" w:rsidR="00BC0B7F" w:rsidRPr="00BF79A5" w:rsidRDefault="00BC0B7F" w:rsidP="00BF79A5">
      <w:pPr>
        <w:pStyle w:val="Heading2"/>
        <w:rPr>
          <w:rFonts w:ascii="Arial" w:hAnsi="Arial" w:cs="Arial"/>
          <w:sz w:val="24"/>
          <w:szCs w:val="24"/>
        </w:rPr>
      </w:pPr>
      <w:bookmarkStart w:id="13" w:name="_Toc524064687"/>
      <w:r w:rsidRPr="00BF79A5">
        <w:rPr>
          <w:rFonts w:ascii="Arial" w:hAnsi="Arial" w:cs="Arial"/>
          <w:sz w:val="24"/>
          <w:szCs w:val="24"/>
        </w:rPr>
        <w:t>3.5. Plan razvojnih programa</w:t>
      </w:r>
      <w:bookmarkEnd w:id="13"/>
    </w:p>
    <w:p w14:paraId="4F0FE45E" w14:textId="77777777" w:rsidR="00BC0B7F" w:rsidRPr="00C91F2F" w:rsidRDefault="00BC0B7F" w:rsidP="00126235">
      <w:pPr>
        <w:jc w:val="both"/>
        <w:rPr>
          <w:rFonts w:ascii="Arial" w:hAnsi="Arial" w:cs="Arial"/>
          <w:color w:val="000000" w:themeColor="text1"/>
          <w:sz w:val="22"/>
          <w:szCs w:val="22"/>
          <w:lang w:val="hr-HR"/>
        </w:rPr>
      </w:pPr>
    </w:p>
    <w:p w14:paraId="2FB8BD8C" w14:textId="190E468C" w:rsidR="00BC0B7F" w:rsidRPr="00C91F2F" w:rsidRDefault="00BC0B7F" w:rsidP="00BF79A5">
      <w:pPr>
        <w:ind w:firstLine="708"/>
        <w:jc w:val="both"/>
        <w:rPr>
          <w:rFonts w:ascii="Arial" w:hAnsi="Arial" w:cs="Arial"/>
          <w:color w:val="000000" w:themeColor="text1"/>
          <w:sz w:val="22"/>
          <w:szCs w:val="22"/>
          <w:lang w:val="hr-HR"/>
        </w:rPr>
      </w:pPr>
      <w:r w:rsidRPr="00C91F2F">
        <w:rPr>
          <w:rFonts w:ascii="Arial" w:hAnsi="Arial" w:cs="Arial"/>
          <w:color w:val="000000" w:themeColor="text1"/>
          <w:sz w:val="22"/>
          <w:szCs w:val="22"/>
          <w:lang w:val="hr-HR"/>
        </w:rPr>
        <w:t xml:space="preserve">Plan razvojnih programa Grada Malog Lošinja </w:t>
      </w:r>
      <w:r w:rsidR="000145B1">
        <w:rPr>
          <w:rFonts w:ascii="Arial" w:hAnsi="Arial" w:cs="Arial"/>
          <w:color w:val="000000" w:themeColor="text1"/>
          <w:sz w:val="22"/>
          <w:szCs w:val="22"/>
          <w:lang w:val="hr-HR"/>
        </w:rPr>
        <w:t>predstavlja</w:t>
      </w:r>
      <w:r w:rsidR="00430E09">
        <w:rPr>
          <w:rFonts w:ascii="Arial" w:hAnsi="Arial" w:cs="Arial"/>
          <w:color w:val="000000" w:themeColor="text1"/>
          <w:sz w:val="22"/>
          <w:szCs w:val="22"/>
          <w:lang w:val="hr-HR"/>
        </w:rPr>
        <w:t xml:space="preserve"> strateško-planski dokument stvarajući dobru pretpostavku za povezivanje svih strateških dokumenata Grada sa proračunskim planiranjem. Plan</w:t>
      </w:r>
      <w:r w:rsidRPr="00C91F2F">
        <w:rPr>
          <w:rFonts w:ascii="Arial" w:hAnsi="Arial" w:cs="Arial"/>
          <w:color w:val="000000" w:themeColor="text1"/>
          <w:sz w:val="22"/>
          <w:szCs w:val="22"/>
          <w:lang w:val="hr-HR"/>
        </w:rPr>
        <w:t xml:space="preserve"> razvojnih programa </w:t>
      </w:r>
      <w:r w:rsidR="00430E09">
        <w:rPr>
          <w:rFonts w:ascii="Arial" w:hAnsi="Arial" w:cs="Arial"/>
          <w:color w:val="000000" w:themeColor="text1"/>
          <w:sz w:val="22"/>
          <w:szCs w:val="22"/>
          <w:lang w:val="hr-HR"/>
        </w:rPr>
        <w:t>doprinosi</w:t>
      </w:r>
      <w:r w:rsidRPr="00C91F2F">
        <w:rPr>
          <w:rFonts w:ascii="Arial" w:hAnsi="Arial" w:cs="Arial"/>
          <w:color w:val="000000" w:themeColor="text1"/>
          <w:sz w:val="22"/>
          <w:szCs w:val="22"/>
          <w:lang w:val="hr-HR"/>
        </w:rPr>
        <w:t xml:space="preserve"> razvoju Grada Malog Lošinja, povećanju ili održavanju imovine Grada, ima karakter dugoročnog ulaganja i izvediv</w:t>
      </w:r>
      <w:r w:rsidR="00430E09">
        <w:rPr>
          <w:rFonts w:ascii="Arial" w:hAnsi="Arial" w:cs="Arial"/>
          <w:color w:val="000000" w:themeColor="text1"/>
          <w:sz w:val="22"/>
          <w:szCs w:val="22"/>
          <w:lang w:val="hr-HR"/>
        </w:rPr>
        <w:t xml:space="preserve"> je</w:t>
      </w:r>
      <w:r w:rsidRPr="00C91F2F">
        <w:rPr>
          <w:rFonts w:ascii="Arial" w:hAnsi="Arial" w:cs="Arial"/>
          <w:color w:val="000000" w:themeColor="text1"/>
          <w:sz w:val="22"/>
          <w:szCs w:val="22"/>
          <w:lang w:val="hr-HR"/>
        </w:rPr>
        <w:t xml:space="preserve"> po određenoj dinamici.</w:t>
      </w:r>
    </w:p>
    <w:p w14:paraId="1330652A" w14:textId="77777777" w:rsidR="00430E09" w:rsidRDefault="00430E09" w:rsidP="00126235">
      <w:pPr>
        <w:jc w:val="both"/>
        <w:rPr>
          <w:rFonts w:ascii="Arial" w:hAnsi="Arial" w:cs="Arial"/>
          <w:color w:val="000000" w:themeColor="text1"/>
          <w:sz w:val="22"/>
          <w:szCs w:val="22"/>
          <w:lang w:val="hr-HR"/>
        </w:rPr>
      </w:pPr>
    </w:p>
    <w:p w14:paraId="5D4C5DB4" w14:textId="76D50BD9" w:rsidR="00BC0B7F" w:rsidRPr="00C91F2F" w:rsidRDefault="00BC0B7F" w:rsidP="00126235">
      <w:pPr>
        <w:jc w:val="both"/>
        <w:rPr>
          <w:rFonts w:ascii="Arial" w:hAnsi="Arial" w:cs="Arial"/>
          <w:color w:val="000000" w:themeColor="text1"/>
          <w:sz w:val="22"/>
          <w:szCs w:val="22"/>
          <w:lang w:val="hr-HR"/>
        </w:rPr>
      </w:pPr>
      <w:r w:rsidRPr="00C91F2F">
        <w:rPr>
          <w:rFonts w:ascii="Arial" w:hAnsi="Arial" w:cs="Arial"/>
          <w:color w:val="000000" w:themeColor="text1"/>
          <w:sz w:val="22"/>
          <w:szCs w:val="22"/>
          <w:lang w:val="hr-HR"/>
        </w:rPr>
        <w:t>Plan razvojnih programa obuhvaća planiranje rashoda za investicije i kapitalne pomoći za razdoblje 20</w:t>
      </w:r>
      <w:r w:rsidR="00F750BE">
        <w:rPr>
          <w:rFonts w:ascii="Arial" w:hAnsi="Arial" w:cs="Arial"/>
          <w:color w:val="000000" w:themeColor="text1"/>
          <w:sz w:val="22"/>
          <w:szCs w:val="22"/>
          <w:lang w:val="hr-HR"/>
        </w:rPr>
        <w:t>19</w:t>
      </w:r>
      <w:r w:rsidRPr="00C91F2F">
        <w:rPr>
          <w:rFonts w:ascii="Arial" w:hAnsi="Arial" w:cs="Arial"/>
          <w:color w:val="000000" w:themeColor="text1"/>
          <w:sz w:val="22"/>
          <w:szCs w:val="22"/>
          <w:lang w:val="hr-HR"/>
        </w:rPr>
        <w:t>-20</w:t>
      </w:r>
      <w:r w:rsidR="00F750BE">
        <w:rPr>
          <w:rFonts w:ascii="Arial" w:hAnsi="Arial" w:cs="Arial"/>
          <w:color w:val="000000" w:themeColor="text1"/>
          <w:sz w:val="22"/>
          <w:szCs w:val="22"/>
          <w:lang w:val="hr-HR"/>
        </w:rPr>
        <w:t>21</w:t>
      </w:r>
      <w:r w:rsidRPr="00C91F2F">
        <w:rPr>
          <w:rFonts w:ascii="Arial" w:hAnsi="Arial" w:cs="Arial"/>
          <w:color w:val="000000" w:themeColor="text1"/>
          <w:sz w:val="22"/>
          <w:szCs w:val="22"/>
          <w:lang w:val="hr-HR"/>
        </w:rPr>
        <w:t>., koji su razrađeni:</w:t>
      </w:r>
    </w:p>
    <w:p w14:paraId="55B3A4EC" w14:textId="77777777" w:rsidR="00BC0B7F" w:rsidRPr="00C91F2F" w:rsidRDefault="00BC0B7F" w:rsidP="00126235">
      <w:pPr>
        <w:jc w:val="both"/>
        <w:rPr>
          <w:rFonts w:ascii="Arial" w:hAnsi="Arial" w:cs="Arial"/>
          <w:color w:val="000000" w:themeColor="text1"/>
          <w:sz w:val="22"/>
          <w:szCs w:val="22"/>
          <w:lang w:val="hr-HR"/>
        </w:rPr>
      </w:pPr>
      <w:r w:rsidRPr="00C91F2F">
        <w:rPr>
          <w:rFonts w:ascii="Arial" w:hAnsi="Arial" w:cs="Arial"/>
          <w:color w:val="000000" w:themeColor="text1"/>
          <w:sz w:val="22"/>
          <w:szCs w:val="22"/>
          <w:lang w:val="hr-HR"/>
        </w:rPr>
        <w:tab/>
      </w:r>
      <w:r w:rsidRPr="00C91F2F">
        <w:rPr>
          <w:rFonts w:ascii="Arial" w:hAnsi="Arial" w:cs="Arial"/>
          <w:color w:val="000000" w:themeColor="text1"/>
          <w:sz w:val="22"/>
          <w:szCs w:val="22"/>
          <w:lang w:val="hr-HR"/>
        </w:rPr>
        <w:tab/>
        <w:t xml:space="preserve"> -po pojedinim programima,</w:t>
      </w:r>
    </w:p>
    <w:p w14:paraId="67CAC61A" w14:textId="77777777" w:rsidR="00BC0B7F" w:rsidRPr="00C91F2F" w:rsidRDefault="00BC0B7F" w:rsidP="00126235">
      <w:pPr>
        <w:ind w:left="1440"/>
        <w:jc w:val="both"/>
        <w:rPr>
          <w:rFonts w:ascii="Arial" w:hAnsi="Arial" w:cs="Arial"/>
          <w:color w:val="000000" w:themeColor="text1"/>
          <w:sz w:val="22"/>
          <w:szCs w:val="22"/>
          <w:lang w:val="hr-HR"/>
        </w:rPr>
      </w:pPr>
      <w:r w:rsidRPr="00C91F2F">
        <w:rPr>
          <w:rFonts w:ascii="Arial" w:hAnsi="Arial" w:cs="Arial"/>
          <w:color w:val="000000" w:themeColor="text1"/>
          <w:sz w:val="22"/>
          <w:szCs w:val="22"/>
          <w:lang w:val="hr-HR"/>
        </w:rPr>
        <w:t>-po godinama kako će teretiti proračun,</w:t>
      </w:r>
    </w:p>
    <w:p w14:paraId="691EC183" w14:textId="77777777" w:rsidR="00BC0B7F" w:rsidRPr="00C91F2F" w:rsidRDefault="00BC0B7F" w:rsidP="00126235">
      <w:pPr>
        <w:ind w:left="1440"/>
        <w:jc w:val="both"/>
        <w:rPr>
          <w:rFonts w:ascii="Arial" w:hAnsi="Arial" w:cs="Arial"/>
          <w:color w:val="000000" w:themeColor="text1"/>
          <w:sz w:val="22"/>
          <w:szCs w:val="22"/>
          <w:lang w:val="hr-HR"/>
        </w:rPr>
      </w:pPr>
      <w:r w:rsidRPr="00C91F2F">
        <w:rPr>
          <w:rFonts w:ascii="Arial" w:hAnsi="Arial" w:cs="Arial"/>
          <w:color w:val="000000" w:themeColor="text1"/>
          <w:sz w:val="22"/>
          <w:szCs w:val="22"/>
          <w:lang w:val="hr-HR"/>
        </w:rPr>
        <w:t>-po izvorima financiranja za cjelovitu izvedbu programa  (sredstva proračuna, sredstva državnog i županijskog proračuna, sredstva trgovačkih društava).</w:t>
      </w:r>
    </w:p>
    <w:p w14:paraId="5BF2B846" w14:textId="77777777" w:rsidR="00BC0B7F" w:rsidRPr="00C91F2F" w:rsidRDefault="00BC0B7F" w:rsidP="00126235">
      <w:pPr>
        <w:ind w:left="1440"/>
        <w:jc w:val="both"/>
        <w:rPr>
          <w:rFonts w:ascii="Arial" w:hAnsi="Arial" w:cs="Arial"/>
          <w:color w:val="000000" w:themeColor="text1"/>
          <w:sz w:val="22"/>
          <w:szCs w:val="22"/>
          <w:lang w:val="hr-HR"/>
        </w:rPr>
      </w:pPr>
    </w:p>
    <w:p w14:paraId="09942EAC" w14:textId="77777777" w:rsidR="00BC0B7F" w:rsidRPr="00C91F2F" w:rsidRDefault="00BC0B7F" w:rsidP="00126235">
      <w:pPr>
        <w:jc w:val="both"/>
        <w:rPr>
          <w:rFonts w:ascii="Arial" w:hAnsi="Arial" w:cs="Arial"/>
          <w:color w:val="000000" w:themeColor="text1"/>
          <w:sz w:val="22"/>
          <w:szCs w:val="22"/>
          <w:lang w:val="hr-HR"/>
        </w:rPr>
      </w:pPr>
      <w:r w:rsidRPr="00C91F2F">
        <w:rPr>
          <w:rFonts w:ascii="Arial" w:hAnsi="Arial" w:cs="Arial"/>
          <w:color w:val="000000" w:themeColor="text1"/>
          <w:sz w:val="22"/>
          <w:szCs w:val="22"/>
          <w:lang w:val="hr-HR"/>
        </w:rPr>
        <w:tab/>
      </w:r>
    </w:p>
    <w:p w14:paraId="14CF3CC7" w14:textId="5AC88ECE" w:rsidR="00BC0B7F" w:rsidRPr="00C91F2F" w:rsidRDefault="00430E09" w:rsidP="00126235">
      <w:pPr>
        <w:jc w:val="both"/>
        <w:rPr>
          <w:rFonts w:ascii="Arial" w:hAnsi="Arial" w:cs="Arial"/>
          <w:color w:val="000000" w:themeColor="text1"/>
          <w:sz w:val="22"/>
          <w:szCs w:val="22"/>
          <w:lang w:val="hr-HR"/>
        </w:rPr>
      </w:pPr>
      <w:r>
        <w:rPr>
          <w:rFonts w:ascii="Arial" w:hAnsi="Arial" w:cs="Arial"/>
          <w:color w:val="000000" w:themeColor="text1"/>
          <w:sz w:val="22"/>
          <w:szCs w:val="22"/>
          <w:lang w:val="hr-HR"/>
        </w:rPr>
        <w:t xml:space="preserve">Izmjenama i dopunama Zakona o proračunu (NN RH, br. 136/12 i 15/15) ukinuta je obveza proračunskih korisnika da izrađuju </w:t>
      </w:r>
      <w:r w:rsidR="00BC0B7F" w:rsidRPr="00C91F2F">
        <w:rPr>
          <w:rFonts w:ascii="Arial" w:hAnsi="Arial" w:cs="Arial"/>
          <w:color w:val="000000" w:themeColor="text1"/>
          <w:sz w:val="22"/>
          <w:szCs w:val="22"/>
          <w:lang w:val="hr-HR"/>
        </w:rPr>
        <w:t>Plan razvojnih programa</w:t>
      </w:r>
      <w:r>
        <w:rPr>
          <w:rFonts w:ascii="Arial" w:hAnsi="Arial" w:cs="Arial"/>
          <w:color w:val="000000" w:themeColor="text1"/>
          <w:sz w:val="22"/>
          <w:szCs w:val="22"/>
          <w:lang w:val="hr-HR"/>
        </w:rPr>
        <w:t>, a njihovi razvojni projekti biti će uključeni u Plan razvojnih programa njihovih osnivača.</w:t>
      </w:r>
    </w:p>
    <w:p w14:paraId="211900F2" w14:textId="5745FCDC" w:rsidR="00430E09" w:rsidRDefault="00430E09" w:rsidP="00126235">
      <w:pPr>
        <w:jc w:val="both"/>
        <w:rPr>
          <w:rFonts w:ascii="Arial" w:hAnsi="Arial" w:cs="Arial"/>
          <w:color w:val="FF0000"/>
          <w:sz w:val="22"/>
          <w:szCs w:val="22"/>
          <w:lang w:val="hr-HR"/>
        </w:rPr>
      </w:pPr>
    </w:p>
    <w:p w14:paraId="33025F8F" w14:textId="77777777" w:rsidR="00430E09" w:rsidRPr="00C91F2F" w:rsidRDefault="00430E09" w:rsidP="00126235">
      <w:pPr>
        <w:jc w:val="both"/>
        <w:rPr>
          <w:rFonts w:ascii="Arial" w:hAnsi="Arial" w:cs="Arial"/>
          <w:color w:val="FF0000"/>
          <w:sz w:val="22"/>
          <w:szCs w:val="22"/>
          <w:lang w:val="hr-HR"/>
        </w:rPr>
      </w:pPr>
    </w:p>
    <w:p w14:paraId="70F64CA1" w14:textId="2C4FD251" w:rsidR="00BC0B7F" w:rsidRPr="00430E09" w:rsidRDefault="00BC0B7F" w:rsidP="00430E09">
      <w:pPr>
        <w:pStyle w:val="Heading1"/>
        <w:numPr>
          <w:ilvl w:val="0"/>
          <w:numId w:val="7"/>
        </w:numPr>
        <w:rPr>
          <w:rFonts w:ascii="Arial" w:hAnsi="Arial" w:cs="Arial"/>
          <w:b/>
          <w:color w:val="auto"/>
          <w:sz w:val="24"/>
          <w:szCs w:val="24"/>
          <w:lang w:val="hr-HR"/>
        </w:rPr>
      </w:pPr>
      <w:bookmarkStart w:id="14" w:name="_Toc524064688"/>
      <w:r w:rsidRPr="00430E09">
        <w:rPr>
          <w:rFonts w:ascii="Arial" w:hAnsi="Arial" w:cs="Arial"/>
          <w:b/>
          <w:color w:val="auto"/>
          <w:sz w:val="24"/>
          <w:szCs w:val="24"/>
          <w:lang w:val="hr-HR"/>
        </w:rPr>
        <w:lastRenderedPageBreak/>
        <w:t>UPUTA O NAČINU PRAĆENJA OSTVARIVANJA I TROŠENJA VLASTITIH I NAMJENSKIH PRIHODA I PRIMITAKA PRORAČUNSKIH KORISNIKA GRADA MALOG LOŠINJ</w:t>
      </w:r>
      <w:bookmarkEnd w:id="14"/>
    </w:p>
    <w:p w14:paraId="33E6B4C0" w14:textId="77777777" w:rsidR="00BC0B7F" w:rsidRPr="00C91F2F" w:rsidRDefault="00BC0B7F" w:rsidP="00126235">
      <w:pPr>
        <w:jc w:val="both"/>
        <w:rPr>
          <w:rFonts w:ascii="Arial" w:hAnsi="Arial" w:cs="Arial"/>
          <w:b/>
          <w:color w:val="000000" w:themeColor="text1"/>
          <w:sz w:val="22"/>
          <w:szCs w:val="22"/>
          <w:lang w:val="hr-HR"/>
        </w:rPr>
      </w:pPr>
    </w:p>
    <w:p w14:paraId="7FA96773" w14:textId="3C000F5B" w:rsidR="00BC0B7F" w:rsidRPr="00C91F2F" w:rsidRDefault="00BC0B7F" w:rsidP="00126235">
      <w:pPr>
        <w:suppressAutoHyphens w:val="0"/>
        <w:jc w:val="both"/>
        <w:rPr>
          <w:rFonts w:ascii="Arial" w:eastAsia="Times New Roman" w:hAnsi="Arial" w:cs="Arial"/>
          <w:sz w:val="22"/>
          <w:szCs w:val="22"/>
          <w:lang w:val="hr-HR" w:eastAsia="hr-HR"/>
        </w:rPr>
      </w:pPr>
      <w:r w:rsidRPr="00C91F2F">
        <w:rPr>
          <w:rFonts w:ascii="Arial" w:eastAsia="Times New Roman" w:hAnsi="Arial" w:cs="Arial"/>
          <w:sz w:val="22"/>
          <w:szCs w:val="22"/>
          <w:lang w:val="hr-HR" w:eastAsia="hr-HR"/>
        </w:rPr>
        <w:t xml:space="preserve">           Člankom 48. Zakona o proračunu propisana je obveza uplate namjenskih prihoda i primitaka koje ostvare proračunski korisnici jedinica lokalne i područne (regionalne) samouprave u lokalni proračun. Namjenski prihodi i primici jesu pomoći, donacije, prihodi za posebne namjene, prihodi od prodaje ili zamjene imovine u vlasništvu jedinica lokalne i područne (regionalne) samouprave, naknade s naslova osiguranja i namjenski primici od zaduživanja i prodaje dionica i udjela. Nadalje, članak 52. Zakona utvrđuje obvezu uplate vlastitih prihoda proračunskih korisnika u proračun jedinice lokalne i područne (regionalne) samouprave.</w:t>
      </w:r>
    </w:p>
    <w:p w14:paraId="20F2B54C" w14:textId="77777777" w:rsidR="00BC0B7F" w:rsidRPr="00C91F2F" w:rsidRDefault="00BC0B7F" w:rsidP="00126235">
      <w:pPr>
        <w:suppressAutoHyphens w:val="0"/>
        <w:jc w:val="both"/>
        <w:rPr>
          <w:rFonts w:ascii="Arial" w:eastAsia="Times New Roman" w:hAnsi="Arial" w:cs="Arial"/>
          <w:sz w:val="22"/>
          <w:szCs w:val="22"/>
          <w:lang w:val="hr-HR" w:eastAsia="hr-HR"/>
        </w:rPr>
      </w:pPr>
      <w:r w:rsidRPr="00C91F2F">
        <w:rPr>
          <w:rFonts w:ascii="Arial" w:eastAsia="Times New Roman" w:hAnsi="Arial" w:cs="Arial"/>
          <w:sz w:val="22"/>
          <w:szCs w:val="22"/>
          <w:lang w:val="hr-HR" w:eastAsia="hr-HR"/>
        </w:rPr>
        <w:t xml:space="preserve">         </w:t>
      </w:r>
    </w:p>
    <w:p w14:paraId="764ECC8B" w14:textId="3DF448AC" w:rsidR="00BC0B7F" w:rsidRPr="00C91F2F" w:rsidRDefault="00BC0B7F" w:rsidP="00126235">
      <w:pPr>
        <w:suppressAutoHyphens w:val="0"/>
        <w:jc w:val="both"/>
        <w:rPr>
          <w:rFonts w:ascii="Arial" w:eastAsia="Times New Roman" w:hAnsi="Arial" w:cs="Arial"/>
          <w:sz w:val="22"/>
          <w:szCs w:val="22"/>
          <w:lang w:val="hr-HR" w:eastAsia="hr-HR"/>
        </w:rPr>
      </w:pPr>
      <w:r w:rsidRPr="00C91F2F">
        <w:rPr>
          <w:rFonts w:ascii="Arial" w:eastAsia="Times New Roman" w:hAnsi="Arial" w:cs="Arial"/>
          <w:sz w:val="22"/>
          <w:szCs w:val="22"/>
          <w:lang w:val="hr-HR" w:eastAsia="hr-HR"/>
        </w:rPr>
        <w:t>Odlukom o izvršavanju proračuna jedinice lokalne i područne (regionalne) samouprave moguće je propisati izuzeće od obveze uplate namjenskih prihoda i primitaka te vlastitih prihoda u proračun, ako lokalna jedinica nije izgradila informacijske preduvjete za praćenje prihoda svojih korisnika i izvršavanje rashoda iz tih izvora.</w:t>
      </w:r>
    </w:p>
    <w:p w14:paraId="4809E828" w14:textId="77777777" w:rsidR="00BC0B7F" w:rsidRPr="00C91F2F" w:rsidRDefault="00BC0B7F" w:rsidP="00126235">
      <w:pPr>
        <w:suppressAutoHyphens w:val="0"/>
        <w:jc w:val="both"/>
        <w:rPr>
          <w:rFonts w:ascii="Arial" w:eastAsia="Times New Roman" w:hAnsi="Arial" w:cs="Arial"/>
          <w:sz w:val="22"/>
          <w:szCs w:val="22"/>
          <w:lang w:val="hr-HR" w:eastAsia="hr-HR"/>
        </w:rPr>
      </w:pPr>
    </w:p>
    <w:p w14:paraId="3F1C2385" w14:textId="2228A4AB" w:rsidR="00BC0B7F" w:rsidRDefault="00BC0B7F" w:rsidP="00126235">
      <w:pPr>
        <w:suppressAutoHyphens w:val="0"/>
        <w:jc w:val="both"/>
        <w:rPr>
          <w:rFonts w:ascii="Arial" w:eastAsia="Times New Roman" w:hAnsi="Arial" w:cs="Arial"/>
          <w:b/>
          <w:sz w:val="22"/>
          <w:szCs w:val="22"/>
          <w:u w:val="single"/>
          <w:lang w:val="hr-HR" w:eastAsia="hr-HR"/>
        </w:rPr>
      </w:pPr>
      <w:r w:rsidRPr="00C91F2F">
        <w:rPr>
          <w:rFonts w:ascii="Arial" w:eastAsia="Times New Roman" w:hAnsi="Arial" w:cs="Arial"/>
          <w:sz w:val="22"/>
          <w:szCs w:val="22"/>
          <w:lang w:val="hr-HR" w:eastAsia="hr-HR"/>
        </w:rPr>
        <w:t>Kao i prethodne godine Odlukom o izvršavanju proračuna Grada Malog Lošinja za 201</w:t>
      </w:r>
      <w:r w:rsidR="00430E09">
        <w:rPr>
          <w:rFonts w:ascii="Arial" w:eastAsia="Times New Roman" w:hAnsi="Arial" w:cs="Arial"/>
          <w:sz w:val="22"/>
          <w:szCs w:val="22"/>
          <w:lang w:val="hr-HR" w:eastAsia="hr-HR"/>
        </w:rPr>
        <w:t>9</w:t>
      </w:r>
      <w:r w:rsidRPr="00C91F2F">
        <w:rPr>
          <w:rFonts w:ascii="Arial" w:eastAsia="Times New Roman" w:hAnsi="Arial" w:cs="Arial"/>
          <w:sz w:val="22"/>
          <w:szCs w:val="22"/>
          <w:lang w:val="hr-HR" w:eastAsia="hr-HR"/>
        </w:rPr>
        <w:t>. godinu bit će propisano izuzeće od obveze uplate namjenskih prihoda i primitaka te vlastitih prihoda u proračun Grada. Međutim, izuzeće od uplate vlastitih i namjenskih prihoda i primitaka proračunskih korisnika u proračun JLP</w:t>
      </w:r>
      <w:r w:rsidR="00430E09">
        <w:rPr>
          <w:rFonts w:ascii="Arial" w:eastAsia="Times New Roman" w:hAnsi="Arial" w:cs="Arial"/>
          <w:sz w:val="22"/>
          <w:szCs w:val="22"/>
          <w:lang w:val="hr-HR" w:eastAsia="hr-HR"/>
        </w:rPr>
        <w:t>(R)</w:t>
      </w:r>
      <w:r w:rsidRPr="00C91F2F">
        <w:rPr>
          <w:rFonts w:ascii="Arial" w:eastAsia="Times New Roman" w:hAnsi="Arial" w:cs="Arial"/>
          <w:sz w:val="22"/>
          <w:szCs w:val="22"/>
          <w:lang w:val="hr-HR" w:eastAsia="hr-HR"/>
        </w:rPr>
        <w:t>S ne isključuje obvezu njihova planiranja u financijskom planu PK-a i proračunu JLP</w:t>
      </w:r>
      <w:r w:rsidR="00430E09">
        <w:rPr>
          <w:rFonts w:ascii="Arial" w:eastAsia="Times New Roman" w:hAnsi="Arial" w:cs="Arial"/>
          <w:sz w:val="22"/>
          <w:szCs w:val="22"/>
          <w:lang w:val="hr-HR" w:eastAsia="hr-HR"/>
        </w:rPr>
        <w:t>(R)</w:t>
      </w:r>
      <w:r w:rsidRPr="00C91F2F">
        <w:rPr>
          <w:rFonts w:ascii="Arial" w:eastAsia="Times New Roman" w:hAnsi="Arial" w:cs="Arial"/>
          <w:sz w:val="22"/>
          <w:szCs w:val="22"/>
          <w:lang w:val="hr-HR" w:eastAsia="hr-HR"/>
        </w:rPr>
        <w:t xml:space="preserve">S, s tim da je potrebno osigurati izvještajno praćenje ostvarivanja navedenih prihoda i primitaka, kao i njihova trošenja stoga je </w:t>
      </w:r>
      <w:r w:rsidRPr="00C91F2F">
        <w:rPr>
          <w:rFonts w:ascii="Arial" w:eastAsia="Times New Roman" w:hAnsi="Arial" w:cs="Arial"/>
          <w:b/>
          <w:sz w:val="22"/>
          <w:szCs w:val="22"/>
          <w:u w:val="single"/>
          <w:lang w:val="hr-HR" w:eastAsia="hr-HR"/>
        </w:rPr>
        <w:t>u financijske planove PK-a za 201</w:t>
      </w:r>
      <w:r w:rsidR="00430E09">
        <w:rPr>
          <w:rFonts w:ascii="Arial" w:eastAsia="Times New Roman" w:hAnsi="Arial" w:cs="Arial"/>
          <w:b/>
          <w:sz w:val="22"/>
          <w:szCs w:val="22"/>
          <w:u w:val="single"/>
          <w:lang w:val="hr-HR" w:eastAsia="hr-HR"/>
        </w:rPr>
        <w:t>9</w:t>
      </w:r>
      <w:r w:rsidRPr="00C91F2F">
        <w:rPr>
          <w:rFonts w:ascii="Arial" w:eastAsia="Times New Roman" w:hAnsi="Arial" w:cs="Arial"/>
          <w:b/>
          <w:sz w:val="22"/>
          <w:szCs w:val="22"/>
          <w:u w:val="single"/>
          <w:lang w:val="hr-HR" w:eastAsia="hr-HR"/>
        </w:rPr>
        <w:t>. i projekcije 20</w:t>
      </w:r>
      <w:r w:rsidR="00430E09">
        <w:rPr>
          <w:rFonts w:ascii="Arial" w:eastAsia="Times New Roman" w:hAnsi="Arial" w:cs="Arial"/>
          <w:b/>
          <w:sz w:val="22"/>
          <w:szCs w:val="22"/>
          <w:u w:val="single"/>
          <w:lang w:val="hr-HR" w:eastAsia="hr-HR"/>
        </w:rPr>
        <w:t>20</w:t>
      </w:r>
      <w:r w:rsidRPr="00C91F2F">
        <w:rPr>
          <w:rFonts w:ascii="Arial" w:eastAsia="Times New Roman" w:hAnsi="Arial" w:cs="Arial"/>
          <w:b/>
          <w:sz w:val="22"/>
          <w:szCs w:val="22"/>
          <w:u w:val="single"/>
          <w:lang w:val="hr-HR" w:eastAsia="hr-HR"/>
        </w:rPr>
        <w:t>-20</w:t>
      </w:r>
      <w:r w:rsidR="00430E09">
        <w:rPr>
          <w:rFonts w:ascii="Arial" w:eastAsia="Times New Roman" w:hAnsi="Arial" w:cs="Arial"/>
          <w:b/>
          <w:sz w:val="22"/>
          <w:szCs w:val="22"/>
          <w:u w:val="single"/>
          <w:lang w:val="hr-HR" w:eastAsia="hr-HR"/>
        </w:rPr>
        <w:t>21</w:t>
      </w:r>
      <w:r w:rsidRPr="00C91F2F">
        <w:rPr>
          <w:rFonts w:ascii="Arial" w:eastAsia="Times New Roman" w:hAnsi="Arial" w:cs="Arial"/>
          <w:b/>
          <w:sz w:val="22"/>
          <w:szCs w:val="22"/>
          <w:u w:val="single"/>
          <w:lang w:val="hr-HR" w:eastAsia="hr-HR"/>
        </w:rPr>
        <w:t>. godine obavezno je uključivanje vlastitih i namjenskih prihoda i primitaka svih proračunskih korisnika u Proračun Grada Malog Lošinja za 201</w:t>
      </w:r>
      <w:r w:rsidR="00506EA0">
        <w:rPr>
          <w:rFonts w:ascii="Arial" w:eastAsia="Times New Roman" w:hAnsi="Arial" w:cs="Arial"/>
          <w:b/>
          <w:sz w:val="22"/>
          <w:szCs w:val="22"/>
          <w:u w:val="single"/>
          <w:lang w:val="hr-HR" w:eastAsia="hr-HR"/>
        </w:rPr>
        <w:t>9</w:t>
      </w:r>
      <w:r w:rsidRPr="00C91F2F">
        <w:rPr>
          <w:rFonts w:ascii="Arial" w:eastAsia="Times New Roman" w:hAnsi="Arial" w:cs="Arial"/>
          <w:b/>
          <w:sz w:val="22"/>
          <w:szCs w:val="22"/>
          <w:u w:val="single"/>
          <w:lang w:val="hr-HR" w:eastAsia="hr-HR"/>
        </w:rPr>
        <w:t>. god. i u Projekciju GML za razdoblje 20</w:t>
      </w:r>
      <w:r w:rsidR="00506EA0">
        <w:rPr>
          <w:rFonts w:ascii="Arial" w:eastAsia="Times New Roman" w:hAnsi="Arial" w:cs="Arial"/>
          <w:b/>
          <w:sz w:val="22"/>
          <w:szCs w:val="22"/>
          <w:u w:val="single"/>
          <w:lang w:val="hr-HR" w:eastAsia="hr-HR"/>
        </w:rPr>
        <w:t>20</w:t>
      </w:r>
      <w:r w:rsidRPr="00C91F2F">
        <w:rPr>
          <w:rFonts w:ascii="Arial" w:eastAsia="Times New Roman" w:hAnsi="Arial" w:cs="Arial"/>
          <w:b/>
          <w:sz w:val="22"/>
          <w:szCs w:val="22"/>
          <w:u w:val="single"/>
          <w:lang w:val="hr-HR" w:eastAsia="hr-HR"/>
        </w:rPr>
        <w:t>-20</w:t>
      </w:r>
      <w:r w:rsidR="00506EA0">
        <w:rPr>
          <w:rFonts w:ascii="Arial" w:eastAsia="Times New Roman" w:hAnsi="Arial" w:cs="Arial"/>
          <w:b/>
          <w:sz w:val="22"/>
          <w:szCs w:val="22"/>
          <w:u w:val="single"/>
          <w:lang w:val="hr-HR" w:eastAsia="hr-HR"/>
        </w:rPr>
        <w:t>21</w:t>
      </w:r>
      <w:r w:rsidRPr="00C91F2F">
        <w:rPr>
          <w:rFonts w:ascii="Arial" w:eastAsia="Times New Roman" w:hAnsi="Arial" w:cs="Arial"/>
          <w:b/>
          <w:sz w:val="22"/>
          <w:szCs w:val="22"/>
          <w:u w:val="single"/>
          <w:lang w:val="hr-HR" w:eastAsia="hr-HR"/>
        </w:rPr>
        <w:t>. godine.</w:t>
      </w:r>
    </w:p>
    <w:p w14:paraId="0C41E966" w14:textId="77777777" w:rsidR="00506EA0" w:rsidRPr="00C91F2F" w:rsidRDefault="00506EA0" w:rsidP="00126235">
      <w:pPr>
        <w:suppressAutoHyphens w:val="0"/>
        <w:jc w:val="both"/>
        <w:rPr>
          <w:rFonts w:ascii="Arial" w:eastAsia="Times New Roman" w:hAnsi="Arial" w:cs="Arial"/>
          <w:b/>
          <w:sz w:val="22"/>
          <w:szCs w:val="22"/>
          <w:u w:val="single"/>
          <w:lang w:val="hr-HR" w:eastAsia="hr-HR"/>
        </w:rPr>
      </w:pPr>
    </w:p>
    <w:p w14:paraId="358B68C1" w14:textId="117AB058" w:rsidR="00BC0B7F" w:rsidRPr="00C91F2F" w:rsidRDefault="00BC0B7F" w:rsidP="00126235">
      <w:pPr>
        <w:suppressAutoHyphens w:val="0"/>
        <w:jc w:val="both"/>
        <w:rPr>
          <w:rFonts w:ascii="Arial" w:hAnsi="Arial" w:cs="Arial"/>
          <w:b/>
          <w:color w:val="000000" w:themeColor="text1"/>
          <w:sz w:val="22"/>
          <w:szCs w:val="22"/>
          <w:lang w:val="hr-HR"/>
        </w:rPr>
      </w:pPr>
      <w:r w:rsidRPr="00C91F2F">
        <w:rPr>
          <w:rFonts w:ascii="Arial" w:eastAsia="Times New Roman" w:hAnsi="Arial" w:cs="Arial"/>
          <w:sz w:val="22"/>
          <w:szCs w:val="22"/>
          <w:lang w:val="hr-HR" w:eastAsia="hr-HR"/>
        </w:rPr>
        <w:t>S obzirom na to da Grad Mali Lošinj još uvijek nema uvedenu kompletnu riznicu neće moći kroz istu pratiti ostvarivanje i trošenje ove vrste prihoda, stoga će i u 201</w:t>
      </w:r>
      <w:r w:rsidR="00506EA0">
        <w:rPr>
          <w:rFonts w:ascii="Arial" w:eastAsia="Times New Roman" w:hAnsi="Arial" w:cs="Arial"/>
          <w:sz w:val="22"/>
          <w:szCs w:val="22"/>
          <w:lang w:val="hr-HR" w:eastAsia="hr-HR"/>
        </w:rPr>
        <w:t>9</w:t>
      </w:r>
      <w:r w:rsidRPr="00C91F2F">
        <w:rPr>
          <w:rFonts w:ascii="Arial" w:eastAsia="Times New Roman" w:hAnsi="Arial" w:cs="Arial"/>
          <w:sz w:val="22"/>
          <w:szCs w:val="22"/>
          <w:lang w:val="hr-HR" w:eastAsia="hr-HR"/>
        </w:rPr>
        <w:t xml:space="preserve">. godini biti na snazi </w:t>
      </w:r>
      <w:r w:rsidRPr="00C91F2F">
        <w:rPr>
          <w:rFonts w:ascii="Arial" w:eastAsia="Times New Roman" w:hAnsi="Arial" w:cs="Arial"/>
          <w:b/>
          <w:sz w:val="22"/>
          <w:szCs w:val="22"/>
          <w:u w:val="single"/>
          <w:lang w:val="hr-HR" w:eastAsia="hr-HR"/>
        </w:rPr>
        <w:t xml:space="preserve"> OB</w:t>
      </w:r>
      <w:r w:rsidR="00506EA0">
        <w:rPr>
          <w:rFonts w:ascii="Arial" w:eastAsia="Times New Roman" w:hAnsi="Arial" w:cs="Arial"/>
          <w:b/>
          <w:sz w:val="22"/>
          <w:szCs w:val="22"/>
          <w:u w:val="single"/>
          <w:lang w:val="hr-HR" w:eastAsia="hr-HR"/>
        </w:rPr>
        <w:t>A</w:t>
      </w:r>
      <w:r w:rsidRPr="00C91F2F">
        <w:rPr>
          <w:rFonts w:ascii="Arial" w:eastAsia="Times New Roman" w:hAnsi="Arial" w:cs="Arial"/>
          <w:b/>
          <w:sz w:val="22"/>
          <w:szCs w:val="22"/>
          <w:u w:val="single"/>
          <w:lang w:val="hr-HR" w:eastAsia="hr-HR"/>
        </w:rPr>
        <w:t>VEZA svim proračunskim korisnicima da kvartalno Grad izvještavaju o ostvarenim vlastitim i namjenskim prihodima i primicima, kao i o načinu njihova trošenja.</w:t>
      </w:r>
      <w:r w:rsidRPr="00C91F2F">
        <w:rPr>
          <w:rFonts w:ascii="Arial" w:eastAsia="Times New Roman" w:hAnsi="Arial" w:cs="Arial"/>
          <w:sz w:val="22"/>
          <w:szCs w:val="22"/>
          <w:lang w:val="hr-HR" w:eastAsia="hr-HR"/>
        </w:rPr>
        <w:t xml:space="preserve"> Navedenu obavezu Grad je propisao još 2012. godine Naputkom o dostavi izvještaja PK-a Grada Malog Lošinja, KLASA: 400-08/12-01/08, URBROJ: 2213/01-02-12-1 od 18.04.2012. godine u kojem je propisana obveza izrade ovog izvješća, i to: godišnje, polugodišnje i kvartalno, te su kao rokovi za dostavu izvješća propisani 15.02. (za godišnje izvješće), a za polugodišnje i kvartalna izvješća propisana je dostava u roku od 10 dana po isteku izvještajnog razdoblja. </w:t>
      </w:r>
    </w:p>
    <w:p w14:paraId="403E79DF" w14:textId="77777777" w:rsidR="00BC0B7F" w:rsidRPr="00C91F2F" w:rsidRDefault="00BC0B7F" w:rsidP="00126235">
      <w:pPr>
        <w:jc w:val="both"/>
        <w:rPr>
          <w:rFonts w:ascii="Arial" w:hAnsi="Arial" w:cs="Arial"/>
          <w:b/>
          <w:color w:val="000000" w:themeColor="text1"/>
          <w:sz w:val="22"/>
          <w:szCs w:val="22"/>
          <w:lang w:val="hr-HR"/>
        </w:rPr>
      </w:pPr>
    </w:p>
    <w:p w14:paraId="37D63DF9" w14:textId="77777777" w:rsidR="00BC0B7F" w:rsidRPr="00C91F2F" w:rsidRDefault="00BC0B7F" w:rsidP="00126235">
      <w:pPr>
        <w:jc w:val="both"/>
        <w:rPr>
          <w:rFonts w:ascii="Arial" w:hAnsi="Arial" w:cs="Arial"/>
          <w:sz w:val="22"/>
          <w:szCs w:val="22"/>
          <w:lang w:val="hr-HR"/>
        </w:rPr>
      </w:pPr>
    </w:p>
    <w:p w14:paraId="31144AC1" w14:textId="4273153D" w:rsidR="00BC0B7F" w:rsidRPr="00506EA0" w:rsidRDefault="00BC0B7F" w:rsidP="00506EA0">
      <w:pPr>
        <w:pStyle w:val="Heading1"/>
        <w:numPr>
          <w:ilvl w:val="0"/>
          <w:numId w:val="7"/>
        </w:numPr>
        <w:rPr>
          <w:rFonts w:ascii="Arial" w:hAnsi="Arial" w:cs="Arial"/>
          <w:b/>
          <w:color w:val="auto"/>
          <w:sz w:val="24"/>
          <w:szCs w:val="24"/>
          <w:lang w:val="hr-HR"/>
        </w:rPr>
      </w:pPr>
      <w:bookmarkStart w:id="15" w:name="_Toc524064689"/>
      <w:r w:rsidRPr="00506EA0">
        <w:rPr>
          <w:rFonts w:ascii="Arial" w:hAnsi="Arial" w:cs="Arial"/>
          <w:b/>
          <w:color w:val="auto"/>
          <w:sz w:val="24"/>
          <w:szCs w:val="24"/>
          <w:lang w:val="hr-HR"/>
        </w:rPr>
        <w:t>OBVEZE SUDIONIKA I TERMINSKI PLAN ZA IZRADU PRIJEDLOGA FINANCIJSKIH PLANOVA PRORAČUNSKIH KORISNIKA</w:t>
      </w:r>
      <w:bookmarkEnd w:id="15"/>
    </w:p>
    <w:p w14:paraId="7284AB06" w14:textId="77777777" w:rsidR="00BC0B7F" w:rsidRPr="00C91F2F" w:rsidRDefault="00BC0B7F" w:rsidP="00126235">
      <w:pPr>
        <w:pStyle w:val="ListParagraph"/>
        <w:jc w:val="both"/>
        <w:rPr>
          <w:rFonts w:ascii="Arial" w:hAnsi="Arial" w:cs="Arial"/>
          <w:b/>
          <w:sz w:val="22"/>
          <w:szCs w:val="22"/>
          <w:lang w:val="hr-HR"/>
        </w:rPr>
      </w:pPr>
    </w:p>
    <w:tbl>
      <w:tblPr>
        <w:tblStyle w:val="TableGrid"/>
        <w:tblW w:w="8347" w:type="dxa"/>
        <w:tblInd w:w="720" w:type="dxa"/>
        <w:tblLook w:val="04A0" w:firstRow="1" w:lastRow="0" w:firstColumn="1" w:lastColumn="0" w:noHBand="0" w:noVBand="1"/>
      </w:tblPr>
      <w:tblGrid>
        <w:gridCol w:w="693"/>
        <w:gridCol w:w="1984"/>
        <w:gridCol w:w="3828"/>
        <w:gridCol w:w="1773"/>
        <w:gridCol w:w="69"/>
      </w:tblGrid>
      <w:tr w:rsidR="00BC0B7F" w:rsidRPr="00C91F2F" w14:paraId="050D6902" w14:textId="77777777" w:rsidTr="00FD0B8D">
        <w:trPr>
          <w:gridAfter w:val="1"/>
          <w:wAfter w:w="69" w:type="dxa"/>
        </w:trPr>
        <w:tc>
          <w:tcPr>
            <w:tcW w:w="693" w:type="dxa"/>
          </w:tcPr>
          <w:p w14:paraId="66A1E802" w14:textId="77777777" w:rsidR="00BC0B7F" w:rsidRPr="00C91F2F" w:rsidRDefault="00BC0B7F" w:rsidP="00126235">
            <w:pPr>
              <w:pStyle w:val="ListParagraph"/>
              <w:ind w:left="0"/>
              <w:jc w:val="both"/>
              <w:rPr>
                <w:rFonts w:ascii="Arial" w:hAnsi="Arial" w:cs="Arial"/>
                <w:sz w:val="22"/>
                <w:szCs w:val="22"/>
                <w:lang w:val="hr-HR"/>
              </w:rPr>
            </w:pPr>
            <w:r w:rsidRPr="00C91F2F">
              <w:rPr>
                <w:rFonts w:ascii="Arial" w:hAnsi="Arial" w:cs="Arial"/>
                <w:sz w:val="22"/>
                <w:szCs w:val="22"/>
                <w:lang w:val="hr-HR"/>
              </w:rPr>
              <w:t>Red. br.</w:t>
            </w:r>
          </w:p>
        </w:tc>
        <w:tc>
          <w:tcPr>
            <w:tcW w:w="1984" w:type="dxa"/>
          </w:tcPr>
          <w:p w14:paraId="6C4E850B" w14:textId="77777777" w:rsidR="00BC0B7F" w:rsidRPr="00C91F2F" w:rsidRDefault="00BC0B7F" w:rsidP="00126235">
            <w:pPr>
              <w:pStyle w:val="ListParagraph"/>
              <w:ind w:left="0"/>
              <w:jc w:val="both"/>
              <w:rPr>
                <w:rFonts w:ascii="Arial" w:hAnsi="Arial" w:cs="Arial"/>
                <w:sz w:val="22"/>
                <w:szCs w:val="22"/>
                <w:lang w:val="hr-HR"/>
              </w:rPr>
            </w:pPr>
            <w:r w:rsidRPr="00C91F2F">
              <w:rPr>
                <w:rFonts w:ascii="Arial" w:hAnsi="Arial" w:cs="Arial"/>
                <w:sz w:val="22"/>
                <w:szCs w:val="22"/>
                <w:lang w:val="hr-HR"/>
              </w:rPr>
              <w:t>Izvršitelj</w:t>
            </w:r>
          </w:p>
        </w:tc>
        <w:tc>
          <w:tcPr>
            <w:tcW w:w="3828" w:type="dxa"/>
          </w:tcPr>
          <w:p w14:paraId="1B52DB8D" w14:textId="77777777" w:rsidR="00BC0B7F" w:rsidRPr="00C91F2F" w:rsidRDefault="00BC0B7F" w:rsidP="00126235">
            <w:pPr>
              <w:pStyle w:val="ListParagraph"/>
              <w:ind w:left="0"/>
              <w:jc w:val="both"/>
              <w:rPr>
                <w:rFonts w:ascii="Arial" w:hAnsi="Arial" w:cs="Arial"/>
                <w:sz w:val="22"/>
                <w:szCs w:val="22"/>
                <w:lang w:val="hr-HR"/>
              </w:rPr>
            </w:pPr>
            <w:r w:rsidRPr="00C91F2F">
              <w:rPr>
                <w:rFonts w:ascii="Arial" w:hAnsi="Arial" w:cs="Arial"/>
                <w:sz w:val="22"/>
                <w:szCs w:val="22"/>
                <w:lang w:val="hr-HR"/>
              </w:rPr>
              <w:t>Zadatak</w:t>
            </w:r>
          </w:p>
        </w:tc>
        <w:tc>
          <w:tcPr>
            <w:tcW w:w="1773" w:type="dxa"/>
          </w:tcPr>
          <w:p w14:paraId="54BD8112" w14:textId="77777777" w:rsidR="00BC0B7F" w:rsidRPr="00C91F2F" w:rsidRDefault="00BC0B7F" w:rsidP="00126235">
            <w:pPr>
              <w:pStyle w:val="ListParagraph"/>
              <w:ind w:left="0"/>
              <w:jc w:val="both"/>
              <w:rPr>
                <w:rFonts w:ascii="Arial" w:hAnsi="Arial" w:cs="Arial"/>
                <w:sz w:val="22"/>
                <w:szCs w:val="22"/>
                <w:lang w:val="hr-HR"/>
              </w:rPr>
            </w:pPr>
            <w:r w:rsidRPr="00C91F2F">
              <w:rPr>
                <w:rFonts w:ascii="Arial" w:hAnsi="Arial" w:cs="Arial"/>
                <w:sz w:val="22"/>
                <w:szCs w:val="22"/>
                <w:lang w:val="hr-HR"/>
              </w:rPr>
              <w:t>Rok</w:t>
            </w:r>
          </w:p>
        </w:tc>
      </w:tr>
      <w:tr w:rsidR="00BC0B7F" w:rsidRPr="00C91F2F" w14:paraId="4292CF54" w14:textId="77777777" w:rsidTr="00FD0B8D">
        <w:trPr>
          <w:gridAfter w:val="1"/>
          <w:wAfter w:w="69" w:type="dxa"/>
        </w:trPr>
        <w:tc>
          <w:tcPr>
            <w:tcW w:w="693" w:type="dxa"/>
          </w:tcPr>
          <w:p w14:paraId="6E82208E"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1.</w:t>
            </w:r>
          </w:p>
        </w:tc>
        <w:tc>
          <w:tcPr>
            <w:tcW w:w="1984" w:type="dxa"/>
          </w:tcPr>
          <w:p w14:paraId="1127D595" w14:textId="77777777" w:rsidR="00BC0B7F" w:rsidRPr="00C91F2F" w:rsidRDefault="00BC0B7F" w:rsidP="00506EA0">
            <w:pPr>
              <w:pStyle w:val="ListParagraph"/>
              <w:ind w:left="0"/>
              <w:rPr>
                <w:rFonts w:ascii="Arial" w:hAnsi="Arial" w:cs="Arial"/>
                <w:sz w:val="20"/>
                <w:szCs w:val="20"/>
                <w:lang w:val="hr-HR"/>
              </w:rPr>
            </w:pPr>
          </w:p>
          <w:p w14:paraId="4039817B" w14:textId="61B643A9" w:rsidR="00BC0B7F" w:rsidRPr="00C91F2F" w:rsidRDefault="00506EA0" w:rsidP="00506EA0">
            <w:pPr>
              <w:pStyle w:val="ListParagraph"/>
              <w:ind w:left="0"/>
              <w:rPr>
                <w:rFonts w:ascii="Arial" w:hAnsi="Arial" w:cs="Arial"/>
                <w:sz w:val="20"/>
                <w:szCs w:val="20"/>
                <w:lang w:val="hr-HR"/>
              </w:rPr>
            </w:pPr>
            <w:r>
              <w:rPr>
                <w:rFonts w:ascii="Arial" w:hAnsi="Arial" w:cs="Arial"/>
                <w:sz w:val="20"/>
                <w:szCs w:val="20"/>
                <w:lang w:val="hr-HR"/>
              </w:rPr>
              <w:t>Odsjek za proračun, financije, javnu nabavu i EU projekte</w:t>
            </w:r>
          </w:p>
        </w:tc>
        <w:tc>
          <w:tcPr>
            <w:tcW w:w="3828" w:type="dxa"/>
          </w:tcPr>
          <w:p w14:paraId="7929290B"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-sastavlja Upute za izradu proračuna i dostavlja ih proračunskim korisnicima</w:t>
            </w:r>
          </w:p>
          <w:p w14:paraId="3B187146"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-objavljuje Upute na web-stranicama Grada</w:t>
            </w:r>
          </w:p>
        </w:tc>
        <w:tc>
          <w:tcPr>
            <w:tcW w:w="1773" w:type="dxa"/>
          </w:tcPr>
          <w:p w14:paraId="33BE6206" w14:textId="77777777" w:rsidR="00BC0B7F" w:rsidRPr="00C91F2F" w:rsidRDefault="00BC0B7F" w:rsidP="00126235">
            <w:pPr>
              <w:pStyle w:val="ListParagraph"/>
              <w:ind w:left="0"/>
              <w:jc w:val="both"/>
              <w:rPr>
                <w:rFonts w:ascii="Arial" w:hAnsi="Arial" w:cs="Arial"/>
                <w:sz w:val="20"/>
                <w:szCs w:val="20"/>
                <w:lang w:val="hr-HR"/>
              </w:rPr>
            </w:pPr>
          </w:p>
          <w:p w14:paraId="29C3409F" w14:textId="25305BE6" w:rsidR="00BC0B7F" w:rsidRPr="00C91F2F" w:rsidRDefault="0064018E" w:rsidP="00F750BE">
            <w:pPr>
              <w:pStyle w:val="ListParagraph"/>
              <w:ind w:left="0"/>
              <w:jc w:val="both"/>
              <w:rPr>
                <w:rFonts w:ascii="Arial" w:hAnsi="Arial" w:cs="Arial"/>
                <w:sz w:val="20"/>
                <w:szCs w:val="20"/>
                <w:lang w:val="hr-HR"/>
              </w:rPr>
            </w:pPr>
            <w:r>
              <w:rPr>
                <w:rFonts w:ascii="Arial" w:hAnsi="Arial" w:cs="Arial"/>
                <w:sz w:val="20"/>
                <w:szCs w:val="20"/>
                <w:lang w:val="hr-HR"/>
              </w:rPr>
              <w:t>1</w:t>
            </w:r>
            <w:r w:rsidR="00F750BE">
              <w:rPr>
                <w:rFonts w:ascii="Arial" w:hAnsi="Arial" w:cs="Arial"/>
                <w:sz w:val="20"/>
                <w:szCs w:val="20"/>
                <w:lang w:val="hr-HR"/>
              </w:rPr>
              <w:t>1</w:t>
            </w:r>
            <w:r w:rsidR="00BC0B7F" w:rsidRPr="00C91F2F">
              <w:rPr>
                <w:rFonts w:ascii="Arial" w:hAnsi="Arial" w:cs="Arial"/>
                <w:sz w:val="20"/>
                <w:szCs w:val="20"/>
                <w:lang w:val="hr-HR"/>
              </w:rPr>
              <w:t>.0</w:t>
            </w:r>
            <w:r w:rsidR="00506EA0">
              <w:rPr>
                <w:rFonts w:ascii="Arial" w:hAnsi="Arial" w:cs="Arial"/>
                <w:sz w:val="20"/>
                <w:szCs w:val="20"/>
                <w:lang w:val="hr-HR"/>
              </w:rPr>
              <w:t>9</w:t>
            </w:r>
            <w:r w:rsidR="00BC0B7F" w:rsidRPr="00C91F2F">
              <w:rPr>
                <w:rFonts w:ascii="Arial" w:hAnsi="Arial" w:cs="Arial"/>
                <w:sz w:val="20"/>
                <w:szCs w:val="20"/>
                <w:lang w:val="hr-HR"/>
              </w:rPr>
              <w:t>.201</w:t>
            </w:r>
            <w:r w:rsidR="00506EA0">
              <w:rPr>
                <w:rFonts w:ascii="Arial" w:hAnsi="Arial" w:cs="Arial"/>
                <w:sz w:val="20"/>
                <w:szCs w:val="20"/>
                <w:lang w:val="hr-HR"/>
              </w:rPr>
              <w:t>8</w:t>
            </w:r>
            <w:r w:rsidR="00BC0B7F" w:rsidRPr="00C91F2F">
              <w:rPr>
                <w:rFonts w:ascii="Arial" w:hAnsi="Arial" w:cs="Arial"/>
                <w:sz w:val="20"/>
                <w:szCs w:val="20"/>
                <w:lang w:val="hr-HR"/>
              </w:rPr>
              <w:t>.</w:t>
            </w:r>
          </w:p>
        </w:tc>
      </w:tr>
      <w:tr w:rsidR="00BC0B7F" w:rsidRPr="00C91F2F" w14:paraId="797C1DE1" w14:textId="77777777" w:rsidTr="00FD0B8D">
        <w:trPr>
          <w:gridAfter w:val="1"/>
          <w:wAfter w:w="69" w:type="dxa"/>
        </w:trPr>
        <w:tc>
          <w:tcPr>
            <w:tcW w:w="693" w:type="dxa"/>
          </w:tcPr>
          <w:p w14:paraId="1528B2DE"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2.</w:t>
            </w:r>
          </w:p>
        </w:tc>
        <w:tc>
          <w:tcPr>
            <w:tcW w:w="1984" w:type="dxa"/>
          </w:tcPr>
          <w:p w14:paraId="5562B0F6" w14:textId="53672179" w:rsidR="00BC0B7F" w:rsidRPr="00C91F2F" w:rsidRDefault="00506EA0" w:rsidP="00506EA0">
            <w:pPr>
              <w:pStyle w:val="ListParagraph"/>
              <w:ind w:left="0"/>
              <w:rPr>
                <w:rFonts w:ascii="Arial" w:hAnsi="Arial" w:cs="Arial"/>
                <w:sz w:val="20"/>
                <w:szCs w:val="20"/>
                <w:lang w:val="hr-HR"/>
              </w:rPr>
            </w:pPr>
            <w:r>
              <w:rPr>
                <w:rFonts w:ascii="Arial" w:hAnsi="Arial" w:cs="Arial"/>
                <w:sz w:val="20"/>
                <w:szCs w:val="20"/>
                <w:lang w:val="hr-HR"/>
              </w:rPr>
              <w:t xml:space="preserve">Odsjek za proračun, financije, javnu nabavu i EU </w:t>
            </w:r>
            <w:r>
              <w:rPr>
                <w:rFonts w:ascii="Arial" w:hAnsi="Arial" w:cs="Arial"/>
                <w:sz w:val="20"/>
                <w:szCs w:val="20"/>
                <w:lang w:val="hr-HR"/>
              </w:rPr>
              <w:lastRenderedPageBreak/>
              <w:t>projekte</w:t>
            </w:r>
          </w:p>
        </w:tc>
        <w:tc>
          <w:tcPr>
            <w:tcW w:w="3828" w:type="dxa"/>
          </w:tcPr>
          <w:p w14:paraId="462B9DB1"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lastRenderedPageBreak/>
              <w:t>-na web-stranici Grada objavljuje poziv građanima za sudjelovanje u kreiranju proračuna</w:t>
            </w:r>
          </w:p>
        </w:tc>
        <w:tc>
          <w:tcPr>
            <w:tcW w:w="1773" w:type="dxa"/>
          </w:tcPr>
          <w:p w14:paraId="124D5E5A" w14:textId="77777777" w:rsidR="00BC0B7F" w:rsidRPr="00C91F2F" w:rsidRDefault="00BC0B7F" w:rsidP="00126235">
            <w:pPr>
              <w:pStyle w:val="ListParagraph"/>
              <w:ind w:left="0"/>
              <w:jc w:val="both"/>
              <w:rPr>
                <w:rFonts w:ascii="Arial" w:hAnsi="Arial" w:cs="Arial"/>
                <w:sz w:val="20"/>
                <w:szCs w:val="20"/>
                <w:lang w:val="hr-HR"/>
              </w:rPr>
            </w:pPr>
          </w:p>
          <w:p w14:paraId="3D296E60" w14:textId="510F1E54" w:rsidR="00BC0B7F" w:rsidRPr="00C91F2F" w:rsidRDefault="008C4813" w:rsidP="00126235">
            <w:pPr>
              <w:pStyle w:val="ListParagraph"/>
              <w:ind w:left="0"/>
              <w:jc w:val="both"/>
              <w:rPr>
                <w:rFonts w:ascii="Arial" w:hAnsi="Arial" w:cs="Arial"/>
                <w:sz w:val="20"/>
                <w:szCs w:val="20"/>
                <w:lang w:val="hr-HR"/>
              </w:rPr>
            </w:pPr>
            <w:r>
              <w:rPr>
                <w:rFonts w:ascii="Arial" w:hAnsi="Arial" w:cs="Arial"/>
                <w:sz w:val="20"/>
                <w:szCs w:val="20"/>
                <w:lang w:val="hr-HR"/>
              </w:rPr>
              <w:t>13</w:t>
            </w:r>
            <w:r w:rsidR="00506EA0">
              <w:rPr>
                <w:rFonts w:ascii="Arial" w:hAnsi="Arial" w:cs="Arial"/>
                <w:sz w:val="20"/>
                <w:szCs w:val="20"/>
                <w:lang w:val="hr-HR"/>
              </w:rPr>
              <w:t>.</w:t>
            </w:r>
            <w:r w:rsidR="00BC0B7F" w:rsidRPr="00C91F2F">
              <w:rPr>
                <w:rFonts w:ascii="Arial" w:hAnsi="Arial" w:cs="Arial"/>
                <w:sz w:val="20"/>
                <w:szCs w:val="20"/>
                <w:lang w:val="hr-HR"/>
              </w:rPr>
              <w:t>0</w:t>
            </w:r>
            <w:r w:rsidR="00506EA0">
              <w:rPr>
                <w:rFonts w:ascii="Arial" w:hAnsi="Arial" w:cs="Arial"/>
                <w:sz w:val="20"/>
                <w:szCs w:val="20"/>
                <w:lang w:val="hr-HR"/>
              </w:rPr>
              <w:t>9</w:t>
            </w:r>
            <w:r w:rsidR="00BC0B7F" w:rsidRPr="00C91F2F">
              <w:rPr>
                <w:rFonts w:ascii="Arial" w:hAnsi="Arial" w:cs="Arial"/>
                <w:sz w:val="20"/>
                <w:szCs w:val="20"/>
                <w:lang w:val="hr-HR"/>
              </w:rPr>
              <w:t>.201</w:t>
            </w:r>
            <w:r w:rsidR="00506EA0">
              <w:rPr>
                <w:rFonts w:ascii="Arial" w:hAnsi="Arial" w:cs="Arial"/>
                <w:sz w:val="20"/>
                <w:szCs w:val="20"/>
                <w:lang w:val="hr-HR"/>
              </w:rPr>
              <w:t>8</w:t>
            </w:r>
            <w:r w:rsidR="00BC0B7F" w:rsidRPr="00C91F2F">
              <w:rPr>
                <w:rFonts w:ascii="Arial" w:hAnsi="Arial" w:cs="Arial"/>
                <w:sz w:val="20"/>
                <w:szCs w:val="20"/>
                <w:lang w:val="hr-HR"/>
              </w:rPr>
              <w:t>.</w:t>
            </w:r>
          </w:p>
        </w:tc>
      </w:tr>
      <w:tr w:rsidR="00BC0B7F" w:rsidRPr="00C91F2F" w14:paraId="4C4106CB" w14:textId="77777777" w:rsidTr="00FD0B8D">
        <w:trPr>
          <w:gridAfter w:val="1"/>
          <w:wAfter w:w="69" w:type="dxa"/>
        </w:trPr>
        <w:tc>
          <w:tcPr>
            <w:tcW w:w="693" w:type="dxa"/>
          </w:tcPr>
          <w:p w14:paraId="29934C1B" w14:textId="77777777" w:rsidR="00BC0B7F" w:rsidRPr="00C91F2F" w:rsidRDefault="00BC0B7F" w:rsidP="00126235">
            <w:pPr>
              <w:pStyle w:val="ListParagraph"/>
              <w:ind w:left="0"/>
              <w:jc w:val="both"/>
              <w:rPr>
                <w:rFonts w:ascii="Arial" w:hAnsi="Arial" w:cs="Arial"/>
                <w:b/>
                <w:sz w:val="20"/>
                <w:szCs w:val="20"/>
                <w:lang w:val="hr-HR"/>
              </w:rPr>
            </w:pPr>
            <w:r w:rsidRPr="00C91F2F">
              <w:rPr>
                <w:rFonts w:ascii="Arial" w:hAnsi="Arial" w:cs="Arial"/>
                <w:b/>
                <w:sz w:val="20"/>
                <w:szCs w:val="20"/>
                <w:lang w:val="hr-HR"/>
              </w:rPr>
              <w:t>3.</w:t>
            </w:r>
          </w:p>
        </w:tc>
        <w:tc>
          <w:tcPr>
            <w:tcW w:w="1984" w:type="dxa"/>
          </w:tcPr>
          <w:p w14:paraId="12DB7BF5" w14:textId="77777777" w:rsidR="00BC0B7F" w:rsidRPr="00C91F2F" w:rsidRDefault="00BC0B7F" w:rsidP="00126235">
            <w:pPr>
              <w:pStyle w:val="ListParagraph"/>
              <w:ind w:left="0"/>
              <w:jc w:val="both"/>
              <w:rPr>
                <w:rFonts w:ascii="Arial" w:hAnsi="Arial" w:cs="Arial"/>
                <w:b/>
                <w:sz w:val="20"/>
                <w:szCs w:val="20"/>
                <w:lang w:val="hr-HR"/>
              </w:rPr>
            </w:pPr>
          </w:p>
          <w:p w14:paraId="092F18CF" w14:textId="77777777" w:rsidR="00BC0B7F" w:rsidRPr="00C91F2F" w:rsidRDefault="00BC0B7F" w:rsidP="00126235">
            <w:pPr>
              <w:pStyle w:val="ListParagraph"/>
              <w:ind w:left="0"/>
              <w:jc w:val="both"/>
              <w:rPr>
                <w:rFonts w:ascii="Arial" w:hAnsi="Arial" w:cs="Arial"/>
                <w:b/>
                <w:sz w:val="20"/>
                <w:szCs w:val="20"/>
                <w:lang w:val="hr-HR"/>
              </w:rPr>
            </w:pPr>
            <w:r w:rsidRPr="00C91F2F">
              <w:rPr>
                <w:rFonts w:ascii="Arial" w:hAnsi="Arial" w:cs="Arial"/>
                <w:b/>
                <w:sz w:val="20"/>
                <w:szCs w:val="20"/>
                <w:lang w:val="hr-HR"/>
              </w:rPr>
              <w:t>Proračunski korisnici</w:t>
            </w:r>
          </w:p>
        </w:tc>
        <w:tc>
          <w:tcPr>
            <w:tcW w:w="3828" w:type="dxa"/>
          </w:tcPr>
          <w:p w14:paraId="6ED77684" w14:textId="3A6D959D" w:rsidR="00BC0B7F" w:rsidRPr="00C91F2F" w:rsidRDefault="00BC0B7F" w:rsidP="00126235">
            <w:pPr>
              <w:pStyle w:val="ListParagraph"/>
              <w:ind w:left="0"/>
              <w:jc w:val="both"/>
              <w:rPr>
                <w:rFonts w:ascii="Arial" w:hAnsi="Arial" w:cs="Arial"/>
                <w:b/>
                <w:sz w:val="20"/>
                <w:szCs w:val="20"/>
                <w:lang w:val="hr-HR"/>
              </w:rPr>
            </w:pPr>
            <w:r w:rsidRPr="00C91F2F">
              <w:rPr>
                <w:rFonts w:ascii="Arial" w:hAnsi="Arial" w:cs="Arial"/>
                <w:b/>
                <w:sz w:val="20"/>
                <w:szCs w:val="20"/>
                <w:lang w:val="hr-HR"/>
              </w:rPr>
              <w:t xml:space="preserve">-dostavljaju prijedloge financijskih planova </w:t>
            </w:r>
            <w:r w:rsidR="00FD0B8D">
              <w:rPr>
                <w:rFonts w:ascii="Arial" w:hAnsi="Arial" w:cs="Arial"/>
                <w:b/>
                <w:sz w:val="20"/>
                <w:szCs w:val="20"/>
                <w:lang w:val="hr-HR"/>
              </w:rPr>
              <w:t>Odsjeku za proračun, financije, javnu nabavu i EU projekte</w:t>
            </w:r>
          </w:p>
        </w:tc>
        <w:tc>
          <w:tcPr>
            <w:tcW w:w="1773" w:type="dxa"/>
          </w:tcPr>
          <w:p w14:paraId="5AEAA46E" w14:textId="77777777" w:rsidR="00BC0B7F" w:rsidRPr="00C91F2F" w:rsidRDefault="00BC0B7F" w:rsidP="00126235">
            <w:pPr>
              <w:pStyle w:val="ListParagraph"/>
              <w:ind w:left="0"/>
              <w:jc w:val="both"/>
              <w:rPr>
                <w:rFonts w:ascii="Arial" w:hAnsi="Arial" w:cs="Arial"/>
                <w:b/>
                <w:sz w:val="20"/>
                <w:szCs w:val="20"/>
                <w:lang w:val="hr-HR"/>
              </w:rPr>
            </w:pPr>
          </w:p>
          <w:p w14:paraId="76B3012D" w14:textId="6D9C57EB" w:rsidR="00BC0B7F" w:rsidRPr="00C91F2F" w:rsidRDefault="00506EA0" w:rsidP="00126235">
            <w:pPr>
              <w:pStyle w:val="ListParagraph"/>
              <w:ind w:left="0"/>
              <w:jc w:val="both"/>
              <w:rPr>
                <w:rFonts w:ascii="Arial" w:hAnsi="Arial" w:cs="Arial"/>
                <w:b/>
                <w:sz w:val="20"/>
                <w:szCs w:val="20"/>
                <w:lang w:val="hr-HR"/>
              </w:rPr>
            </w:pPr>
            <w:r>
              <w:rPr>
                <w:rFonts w:ascii="Arial" w:hAnsi="Arial" w:cs="Arial"/>
                <w:b/>
                <w:sz w:val="20"/>
                <w:szCs w:val="20"/>
                <w:lang w:val="hr-HR"/>
              </w:rPr>
              <w:t>25</w:t>
            </w:r>
            <w:r w:rsidR="00BC0B7F" w:rsidRPr="00C91F2F">
              <w:rPr>
                <w:rFonts w:ascii="Arial" w:hAnsi="Arial" w:cs="Arial"/>
                <w:b/>
                <w:sz w:val="20"/>
                <w:szCs w:val="20"/>
                <w:lang w:val="hr-HR"/>
              </w:rPr>
              <w:t>.09.201</w:t>
            </w:r>
            <w:r>
              <w:rPr>
                <w:rFonts w:ascii="Arial" w:hAnsi="Arial" w:cs="Arial"/>
                <w:b/>
                <w:sz w:val="20"/>
                <w:szCs w:val="20"/>
                <w:lang w:val="hr-HR"/>
              </w:rPr>
              <w:t>8</w:t>
            </w:r>
            <w:r w:rsidR="00BC0B7F" w:rsidRPr="00C91F2F">
              <w:rPr>
                <w:rFonts w:ascii="Arial" w:hAnsi="Arial" w:cs="Arial"/>
                <w:b/>
                <w:sz w:val="20"/>
                <w:szCs w:val="20"/>
                <w:lang w:val="hr-HR"/>
              </w:rPr>
              <w:t>.</w:t>
            </w:r>
          </w:p>
        </w:tc>
      </w:tr>
      <w:tr w:rsidR="00BC0B7F" w:rsidRPr="00C91F2F" w14:paraId="59BD0651" w14:textId="77777777" w:rsidTr="00FD0B8D">
        <w:tc>
          <w:tcPr>
            <w:tcW w:w="693" w:type="dxa"/>
          </w:tcPr>
          <w:p w14:paraId="75AE85DD" w14:textId="77777777" w:rsidR="00BC0B7F" w:rsidRPr="00C91F2F" w:rsidRDefault="00BC0B7F" w:rsidP="00126235">
            <w:pPr>
              <w:pStyle w:val="ListParagraph"/>
              <w:ind w:left="0"/>
              <w:jc w:val="both"/>
              <w:rPr>
                <w:rFonts w:ascii="Arial" w:hAnsi="Arial" w:cs="Arial"/>
                <w:b/>
                <w:sz w:val="20"/>
                <w:szCs w:val="20"/>
                <w:lang w:val="hr-HR"/>
              </w:rPr>
            </w:pPr>
            <w:r w:rsidRPr="00C91F2F">
              <w:rPr>
                <w:rFonts w:ascii="Arial" w:hAnsi="Arial" w:cs="Arial"/>
                <w:b/>
                <w:sz w:val="20"/>
                <w:szCs w:val="20"/>
                <w:lang w:val="hr-HR"/>
              </w:rPr>
              <w:t>4.</w:t>
            </w:r>
          </w:p>
        </w:tc>
        <w:tc>
          <w:tcPr>
            <w:tcW w:w="1984" w:type="dxa"/>
          </w:tcPr>
          <w:p w14:paraId="4352739C" w14:textId="77777777" w:rsidR="00BC0B7F" w:rsidRPr="00C91F2F" w:rsidRDefault="00BC0B7F" w:rsidP="00126235">
            <w:pPr>
              <w:pStyle w:val="ListParagraph"/>
              <w:ind w:left="0"/>
              <w:jc w:val="both"/>
              <w:rPr>
                <w:rFonts w:ascii="Arial" w:hAnsi="Arial" w:cs="Arial"/>
                <w:b/>
                <w:sz w:val="20"/>
                <w:szCs w:val="20"/>
                <w:lang w:val="hr-HR"/>
              </w:rPr>
            </w:pPr>
          </w:p>
          <w:p w14:paraId="4D29F91E" w14:textId="50EFF73F" w:rsidR="00BC0B7F" w:rsidRPr="00C91F2F" w:rsidRDefault="00FD0B8D" w:rsidP="00126235">
            <w:pPr>
              <w:pStyle w:val="ListParagraph"/>
              <w:ind w:left="0"/>
              <w:jc w:val="both"/>
              <w:rPr>
                <w:rFonts w:ascii="Arial" w:hAnsi="Arial" w:cs="Arial"/>
                <w:b/>
                <w:sz w:val="20"/>
                <w:szCs w:val="20"/>
                <w:lang w:val="hr-HR"/>
              </w:rPr>
            </w:pPr>
            <w:r>
              <w:rPr>
                <w:rFonts w:ascii="Arial" w:hAnsi="Arial" w:cs="Arial"/>
                <w:b/>
                <w:sz w:val="20"/>
                <w:szCs w:val="20"/>
                <w:lang w:val="hr-HR"/>
              </w:rPr>
              <w:t>Odsjeci unutar JUO</w:t>
            </w:r>
          </w:p>
        </w:tc>
        <w:tc>
          <w:tcPr>
            <w:tcW w:w="3828" w:type="dxa"/>
          </w:tcPr>
          <w:p w14:paraId="5E46DEBF" w14:textId="76D90FDF" w:rsidR="00BC0B7F" w:rsidRPr="00C91F2F" w:rsidRDefault="00BC0B7F" w:rsidP="00126235">
            <w:pPr>
              <w:pStyle w:val="ListParagraph"/>
              <w:ind w:left="0"/>
              <w:jc w:val="both"/>
              <w:rPr>
                <w:rFonts w:ascii="Arial" w:hAnsi="Arial" w:cs="Arial"/>
                <w:b/>
                <w:sz w:val="20"/>
                <w:szCs w:val="20"/>
                <w:lang w:val="hr-HR"/>
              </w:rPr>
            </w:pPr>
            <w:r w:rsidRPr="00C91F2F">
              <w:rPr>
                <w:rFonts w:ascii="Arial" w:hAnsi="Arial" w:cs="Arial"/>
                <w:b/>
                <w:sz w:val="20"/>
                <w:szCs w:val="20"/>
                <w:lang w:val="hr-HR"/>
              </w:rPr>
              <w:t xml:space="preserve">-dostavljaju prijedloge financijskih planova </w:t>
            </w:r>
            <w:r w:rsidR="00FD0B8D">
              <w:rPr>
                <w:rFonts w:ascii="Arial" w:hAnsi="Arial" w:cs="Arial"/>
                <w:b/>
                <w:sz w:val="20"/>
                <w:szCs w:val="20"/>
                <w:lang w:val="hr-HR"/>
              </w:rPr>
              <w:t>odsjeku za proračun, financije, javnu nabavu i EU projekte</w:t>
            </w:r>
          </w:p>
        </w:tc>
        <w:tc>
          <w:tcPr>
            <w:tcW w:w="1842" w:type="dxa"/>
            <w:gridSpan w:val="2"/>
          </w:tcPr>
          <w:p w14:paraId="5FDC1FF9" w14:textId="77777777" w:rsidR="00BC0B7F" w:rsidRPr="00C91F2F" w:rsidRDefault="00BC0B7F" w:rsidP="00126235">
            <w:pPr>
              <w:pStyle w:val="ListParagraph"/>
              <w:ind w:left="0"/>
              <w:jc w:val="both"/>
              <w:rPr>
                <w:rFonts w:ascii="Arial" w:hAnsi="Arial" w:cs="Arial"/>
                <w:b/>
                <w:sz w:val="20"/>
                <w:szCs w:val="20"/>
                <w:lang w:val="hr-HR"/>
              </w:rPr>
            </w:pPr>
          </w:p>
          <w:p w14:paraId="1AC38474" w14:textId="764D1190" w:rsidR="00BC0B7F" w:rsidRPr="00C91F2F" w:rsidRDefault="00506EA0" w:rsidP="00126235">
            <w:pPr>
              <w:pStyle w:val="ListParagraph"/>
              <w:ind w:left="0"/>
              <w:jc w:val="both"/>
              <w:rPr>
                <w:rFonts w:ascii="Arial" w:hAnsi="Arial" w:cs="Arial"/>
                <w:b/>
                <w:sz w:val="20"/>
                <w:szCs w:val="20"/>
                <w:lang w:val="hr-HR"/>
              </w:rPr>
            </w:pPr>
            <w:r>
              <w:rPr>
                <w:rFonts w:ascii="Arial" w:hAnsi="Arial" w:cs="Arial"/>
                <w:b/>
                <w:sz w:val="20"/>
                <w:szCs w:val="20"/>
                <w:lang w:val="hr-HR"/>
              </w:rPr>
              <w:t>25</w:t>
            </w:r>
            <w:r w:rsidR="00BC0B7F" w:rsidRPr="00C91F2F">
              <w:rPr>
                <w:rFonts w:ascii="Arial" w:hAnsi="Arial" w:cs="Arial"/>
                <w:b/>
                <w:sz w:val="20"/>
                <w:szCs w:val="20"/>
                <w:lang w:val="hr-HR"/>
              </w:rPr>
              <w:t>.09.201</w:t>
            </w:r>
            <w:r>
              <w:rPr>
                <w:rFonts w:ascii="Arial" w:hAnsi="Arial" w:cs="Arial"/>
                <w:b/>
                <w:sz w:val="20"/>
                <w:szCs w:val="20"/>
                <w:lang w:val="hr-HR"/>
              </w:rPr>
              <w:t>8</w:t>
            </w:r>
            <w:r w:rsidR="00BC0B7F" w:rsidRPr="00C91F2F">
              <w:rPr>
                <w:rFonts w:ascii="Arial" w:hAnsi="Arial" w:cs="Arial"/>
                <w:b/>
                <w:sz w:val="20"/>
                <w:szCs w:val="20"/>
                <w:lang w:val="hr-HR"/>
              </w:rPr>
              <w:t>.</w:t>
            </w:r>
          </w:p>
        </w:tc>
      </w:tr>
      <w:tr w:rsidR="00BC0B7F" w:rsidRPr="00C91F2F" w14:paraId="469E51E1" w14:textId="77777777" w:rsidTr="00FD0B8D">
        <w:trPr>
          <w:gridAfter w:val="1"/>
          <w:wAfter w:w="69" w:type="dxa"/>
        </w:trPr>
        <w:tc>
          <w:tcPr>
            <w:tcW w:w="693" w:type="dxa"/>
          </w:tcPr>
          <w:p w14:paraId="43A849C3"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5.</w:t>
            </w:r>
          </w:p>
        </w:tc>
        <w:tc>
          <w:tcPr>
            <w:tcW w:w="1984" w:type="dxa"/>
          </w:tcPr>
          <w:p w14:paraId="2A228CBE" w14:textId="109DC349" w:rsidR="00BC0B7F" w:rsidRPr="00C91F2F" w:rsidRDefault="00506EA0" w:rsidP="00506EA0">
            <w:pPr>
              <w:pStyle w:val="ListParagraph"/>
              <w:ind w:left="0"/>
              <w:rPr>
                <w:rFonts w:ascii="Arial" w:hAnsi="Arial" w:cs="Arial"/>
                <w:sz w:val="20"/>
                <w:szCs w:val="20"/>
                <w:lang w:val="hr-HR"/>
              </w:rPr>
            </w:pPr>
            <w:r>
              <w:rPr>
                <w:rFonts w:ascii="Arial" w:hAnsi="Arial" w:cs="Arial"/>
                <w:sz w:val="20"/>
                <w:szCs w:val="20"/>
                <w:lang w:val="hr-HR"/>
              </w:rPr>
              <w:t>Odsjek za proračun, financije, javnu nabavu i EU projekte</w:t>
            </w:r>
          </w:p>
        </w:tc>
        <w:tc>
          <w:tcPr>
            <w:tcW w:w="3828" w:type="dxa"/>
          </w:tcPr>
          <w:p w14:paraId="0A7E12C5" w14:textId="53BC53FC"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-izrađuje nacrt proračuna za 2017. i projekciju za 2018-2019. god., te ih dostavlja gradonačelni</w:t>
            </w:r>
            <w:r w:rsidR="00FD0B8D">
              <w:rPr>
                <w:rFonts w:ascii="Arial" w:hAnsi="Arial" w:cs="Arial"/>
                <w:sz w:val="20"/>
                <w:szCs w:val="20"/>
                <w:lang w:val="hr-HR"/>
              </w:rPr>
              <w:t>ci</w:t>
            </w:r>
          </w:p>
        </w:tc>
        <w:tc>
          <w:tcPr>
            <w:tcW w:w="1773" w:type="dxa"/>
          </w:tcPr>
          <w:p w14:paraId="21A2B675" w14:textId="77777777" w:rsidR="00BC0B7F" w:rsidRPr="00C91F2F" w:rsidRDefault="00BC0B7F" w:rsidP="00126235">
            <w:pPr>
              <w:pStyle w:val="ListParagraph"/>
              <w:ind w:left="0"/>
              <w:jc w:val="both"/>
              <w:rPr>
                <w:rFonts w:ascii="Arial" w:hAnsi="Arial" w:cs="Arial"/>
                <w:sz w:val="20"/>
                <w:szCs w:val="20"/>
                <w:lang w:val="hr-HR"/>
              </w:rPr>
            </w:pPr>
          </w:p>
          <w:p w14:paraId="7A3E6464" w14:textId="09283684"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15.10.201</w:t>
            </w:r>
            <w:r w:rsidR="00506EA0">
              <w:rPr>
                <w:rFonts w:ascii="Arial" w:hAnsi="Arial" w:cs="Arial"/>
                <w:sz w:val="20"/>
                <w:szCs w:val="20"/>
                <w:lang w:val="hr-HR"/>
              </w:rPr>
              <w:t>8</w:t>
            </w:r>
            <w:r w:rsidRPr="00C91F2F">
              <w:rPr>
                <w:rFonts w:ascii="Arial" w:hAnsi="Arial" w:cs="Arial"/>
                <w:sz w:val="20"/>
                <w:szCs w:val="20"/>
                <w:lang w:val="hr-HR"/>
              </w:rPr>
              <w:t>.</w:t>
            </w:r>
          </w:p>
        </w:tc>
      </w:tr>
      <w:tr w:rsidR="00BC0B7F" w:rsidRPr="00C91F2F" w14:paraId="6AE5AD6F" w14:textId="77777777" w:rsidTr="00FD0B8D">
        <w:trPr>
          <w:gridAfter w:val="1"/>
          <w:wAfter w:w="69" w:type="dxa"/>
        </w:trPr>
        <w:tc>
          <w:tcPr>
            <w:tcW w:w="693" w:type="dxa"/>
          </w:tcPr>
          <w:p w14:paraId="42B800D3"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6.</w:t>
            </w:r>
          </w:p>
        </w:tc>
        <w:tc>
          <w:tcPr>
            <w:tcW w:w="1984" w:type="dxa"/>
          </w:tcPr>
          <w:p w14:paraId="2804818F" w14:textId="77777777" w:rsidR="00BC0B7F" w:rsidRPr="00C91F2F" w:rsidRDefault="00BC0B7F" w:rsidP="00126235">
            <w:pPr>
              <w:pStyle w:val="ListParagraph"/>
              <w:ind w:left="0"/>
              <w:jc w:val="both"/>
              <w:rPr>
                <w:rFonts w:ascii="Arial" w:hAnsi="Arial" w:cs="Arial"/>
                <w:sz w:val="20"/>
                <w:szCs w:val="20"/>
                <w:lang w:val="hr-HR"/>
              </w:rPr>
            </w:pPr>
          </w:p>
          <w:p w14:paraId="4FEB1BCC" w14:textId="166CE33C"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Gradonačelni</w:t>
            </w:r>
            <w:r w:rsidR="00506EA0">
              <w:rPr>
                <w:rFonts w:ascii="Arial" w:hAnsi="Arial" w:cs="Arial"/>
                <w:sz w:val="20"/>
                <w:szCs w:val="20"/>
                <w:lang w:val="hr-HR"/>
              </w:rPr>
              <w:t>ca</w:t>
            </w:r>
          </w:p>
        </w:tc>
        <w:tc>
          <w:tcPr>
            <w:tcW w:w="3828" w:type="dxa"/>
          </w:tcPr>
          <w:p w14:paraId="09963A94"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-utvrđuje prijedlog proračuna i projekcija, te ih dostavlja Gradskom vijeću na donošenje</w:t>
            </w:r>
          </w:p>
          <w:p w14:paraId="6351EE98"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-objavljuje prijedlog proračuna i projekcija na web-stranici grada</w:t>
            </w:r>
          </w:p>
        </w:tc>
        <w:tc>
          <w:tcPr>
            <w:tcW w:w="1773" w:type="dxa"/>
          </w:tcPr>
          <w:p w14:paraId="593B2B36" w14:textId="77777777" w:rsidR="00BC0B7F" w:rsidRPr="00C91F2F" w:rsidRDefault="00BC0B7F" w:rsidP="00126235">
            <w:pPr>
              <w:pStyle w:val="ListParagraph"/>
              <w:ind w:left="0"/>
              <w:jc w:val="both"/>
              <w:rPr>
                <w:rFonts w:ascii="Arial" w:hAnsi="Arial" w:cs="Arial"/>
                <w:sz w:val="20"/>
                <w:szCs w:val="20"/>
                <w:lang w:val="hr-HR"/>
              </w:rPr>
            </w:pPr>
          </w:p>
          <w:p w14:paraId="4DF5A955" w14:textId="77777777" w:rsidR="00BC0B7F" w:rsidRPr="00C91F2F" w:rsidRDefault="00BC0B7F" w:rsidP="00126235">
            <w:pPr>
              <w:pStyle w:val="ListParagraph"/>
              <w:ind w:left="0"/>
              <w:jc w:val="both"/>
              <w:rPr>
                <w:rFonts w:ascii="Arial" w:hAnsi="Arial" w:cs="Arial"/>
                <w:sz w:val="20"/>
                <w:szCs w:val="20"/>
                <w:lang w:val="hr-HR"/>
              </w:rPr>
            </w:pPr>
          </w:p>
          <w:p w14:paraId="646DFF3D" w14:textId="7223A810"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15.11.201</w:t>
            </w:r>
            <w:r w:rsidR="00506EA0">
              <w:rPr>
                <w:rFonts w:ascii="Arial" w:hAnsi="Arial" w:cs="Arial"/>
                <w:sz w:val="20"/>
                <w:szCs w:val="20"/>
                <w:lang w:val="hr-HR"/>
              </w:rPr>
              <w:t>8</w:t>
            </w:r>
            <w:r w:rsidRPr="00C91F2F">
              <w:rPr>
                <w:rFonts w:ascii="Arial" w:hAnsi="Arial" w:cs="Arial"/>
                <w:sz w:val="20"/>
                <w:szCs w:val="20"/>
                <w:lang w:val="hr-HR"/>
              </w:rPr>
              <w:t>.</w:t>
            </w:r>
          </w:p>
        </w:tc>
      </w:tr>
      <w:tr w:rsidR="00BC0B7F" w:rsidRPr="00C91F2F" w14:paraId="3ACBB69B" w14:textId="77777777" w:rsidTr="00FD0B8D">
        <w:trPr>
          <w:gridAfter w:val="1"/>
          <w:wAfter w:w="69" w:type="dxa"/>
        </w:trPr>
        <w:tc>
          <w:tcPr>
            <w:tcW w:w="693" w:type="dxa"/>
          </w:tcPr>
          <w:p w14:paraId="083B7935"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7.</w:t>
            </w:r>
          </w:p>
        </w:tc>
        <w:tc>
          <w:tcPr>
            <w:tcW w:w="1984" w:type="dxa"/>
          </w:tcPr>
          <w:p w14:paraId="6CA59FB9" w14:textId="77777777" w:rsidR="00BC0B7F" w:rsidRPr="00C91F2F" w:rsidRDefault="00BC0B7F" w:rsidP="00126235">
            <w:pPr>
              <w:pStyle w:val="ListParagraph"/>
              <w:ind w:left="0"/>
              <w:jc w:val="both"/>
              <w:rPr>
                <w:rFonts w:ascii="Arial" w:hAnsi="Arial" w:cs="Arial"/>
                <w:sz w:val="20"/>
                <w:szCs w:val="20"/>
                <w:lang w:val="hr-HR"/>
              </w:rPr>
            </w:pPr>
          </w:p>
          <w:p w14:paraId="28ED6243"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Gradsko vijeće</w:t>
            </w:r>
          </w:p>
        </w:tc>
        <w:tc>
          <w:tcPr>
            <w:tcW w:w="3828" w:type="dxa"/>
          </w:tcPr>
          <w:p w14:paraId="35DF671A" w14:textId="77777777" w:rsidR="00BC0B7F" w:rsidRPr="00C91F2F" w:rsidRDefault="00BC0B7F" w:rsidP="00126235">
            <w:pPr>
              <w:pStyle w:val="ListParagraph"/>
              <w:ind w:left="0"/>
              <w:jc w:val="both"/>
              <w:rPr>
                <w:rFonts w:ascii="Arial" w:hAnsi="Arial" w:cs="Arial"/>
                <w:sz w:val="20"/>
                <w:szCs w:val="20"/>
                <w:lang w:val="hr-HR"/>
              </w:rPr>
            </w:pPr>
          </w:p>
          <w:p w14:paraId="56832437"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-donosi proračun, projekcije i odluku o izvršavanju proračuna</w:t>
            </w:r>
          </w:p>
        </w:tc>
        <w:tc>
          <w:tcPr>
            <w:tcW w:w="1773" w:type="dxa"/>
          </w:tcPr>
          <w:p w14:paraId="00112EAC" w14:textId="77777777" w:rsidR="00BC0B7F" w:rsidRPr="00C91F2F" w:rsidRDefault="00BC0B7F" w:rsidP="00126235">
            <w:pPr>
              <w:pStyle w:val="ListParagraph"/>
              <w:ind w:left="0"/>
              <w:jc w:val="both"/>
              <w:rPr>
                <w:rFonts w:ascii="Arial" w:hAnsi="Arial" w:cs="Arial"/>
                <w:sz w:val="20"/>
                <w:szCs w:val="20"/>
                <w:lang w:val="hr-HR"/>
              </w:rPr>
            </w:pPr>
          </w:p>
          <w:p w14:paraId="2E38240C" w14:textId="7EF0824E"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najkasnije do 31.12.201</w:t>
            </w:r>
            <w:r w:rsidR="00506EA0">
              <w:rPr>
                <w:rFonts w:ascii="Arial" w:hAnsi="Arial" w:cs="Arial"/>
                <w:sz w:val="20"/>
                <w:szCs w:val="20"/>
                <w:lang w:val="hr-HR"/>
              </w:rPr>
              <w:t>8</w:t>
            </w:r>
            <w:r w:rsidRPr="00C91F2F">
              <w:rPr>
                <w:rFonts w:ascii="Arial" w:hAnsi="Arial" w:cs="Arial"/>
                <w:sz w:val="20"/>
                <w:szCs w:val="20"/>
                <w:lang w:val="hr-HR"/>
              </w:rPr>
              <w:t>.</w:t>
            </w:r>
          </w:p>
        </w:tc>
      </w:tr>
      <w:tr w:rsidR="00BC0B7F" w:rsidRPr="00C91F2F" w14:paraId="3D6C6064" w14:textId="77777777" w:rsidTr="00FD0B8D">
        <w:trPr>
          <w:gridAfter w:val="1"/>
          <w:wAfter w:w="69" w:type="dxa"/>
        </w:trPr>
        <w:tc>
          <w:tcPr>
            <w:tcW w:w="693" w:type="dxa"/>
          </w:tcPr>
          <w:p w14:paraId="34291C0B"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8.</w:t>
            </w:r>
          </w:p>
        </w:tc>
        <w:tc>
          <w:tcPr>
            <w:tcW w:w="1984" w:type="dxa"/>
          </w:tcPr>
          <w:p w14:paraId="2825B3A1" w14:textId="3BBEE73B" w:rsidR="00BC0B7F" w:rsidRPr="00C91F2F" w:rsidRDefault="00F750BE" w:rsidP="00126235">
            <w:pPr>
              <w:pStyle w:val="ListParagraph"/>
              <w:ind w:left="0"/>
              <w:jc w:val="both"/>
              <w:rPr>
                <w:rFonts w:ascii="Arial" w:hAnsi="Arial" w:cs="Arial"/>
                <w:sz w:val="20"/>
                <w:szCs w:val="20"/>
                <w:lang w:val="hr-HR"/>
              </w:rPr>
            </w:pPr>
            <w:r>
              <w:rPr>
                <w:rFonts w:ascii="Arial" w:hAnsi="Arial" w:cs="Arial"/>
                <w:sz w:val="20"/>
                <w:szCs w:val="20"/>
                <w:lang w:val="hr-HR"/>
              </w:rPr>
              <w:t>Ured gradonačelnika</w:t>
            </w:r>
          </w:p>
        </w:tc>
        <w:tc>
          <w:tcPr>
            <w:tcW w:w="3828" w:type="dxa"/>
          </w:tcPr>
          <w:p w14:paraId="4968F4F7" w14:textId="77777777" w:rsidR="00BC0B7F" w:rsidRPr="00C91F2F" w:rsidRDefault="00BC0B7F" w:rsidP="00126235">
            <w:pPr>
              <w:pStyle w:val="ListParagraph"/>
              <w:ind w:left="0"/>
              <w:jc w:val="both"/>
              <w:rPr>
                <w:rFonts w:ascii="Arial" w:hAnsi="Arial" w:cs="Arial"/>
                <w:sz w:val="20"/>
                <w:szCs w:val="20"/>
                <w:lang w:val="hr-HR"/>
              </w:rPr>
            </w:pPr>
          </w:p>
          <w:p w14:paraId="5A8A7A86"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-dostavlja proračun, projekcije i odluku u Službene novine PGŽ radi objave</w:t>
            </w:r>
          </w:p>
        </w:tc>
        <w:tc>
          <w:tcPr>
            <w:tcW w:w="1773" w:type="dxa"/>
          </w:tcPr>
          <w:p w14:paraId="0D8B5BDF" w14:textId="77777777" w:rsidR="00BC0B7F" w:rsidRPr="00C91F2F" w:rsidRDefault="00BC0B7F" w:rsidP="00126235">
            <w:pPr>
              <w:pStyle w:val="ListParagraph"/>
              <w:ind w:left="0"/>
              <w:jc w:val="both"/>
              <w:rPr>
                <w:rFonts w:ascii="Arial" w:hAnsi="Arial" w:cs="Arial"/>
                <w:sz w:val="20"/>
                <w:szCs w:val="20"/>
                <w:lang w:val="hr-HR"/>
              </w:rPr>
            </w:pPr>
          </w:p>
          <w:p w14:paraId="365030C9" w14:textId="5423B7CF"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najkasnije do 31.12.201</w:t>
            </w:r>
            <w:r w:rsidR="00506EA0">
              <w:rPr>
                <w:rFonts w:ascii="Arial" w:hAnsi="Arial" w:cs="Arial"/>
                <w:sz w:val="20"/>
                <w:szCs w:val="20"/>
                <w:lang w:val="hr-HR"/>
              </w:rPr>
              <w:t>8</w:t>
            </w:r>
            <w:r w:rsidRPr="00C91F2F">
              <w:rPr>
                <w:rFonts w:ascii="Arial" w:hAnsi="Arial" w:cs="Arial"/>
                <w:sz w:val="20"/>
                <w:szCs w:val="20"/>
                <w:lang w:val="hr-HR"/>
              </w:rPr>
              <w:t>.</w:t>
            </w:r>
          </w:p>
        </w:tc>
      </w:tr>
      <w:tr w:rsidR="00BC0B7F" w:rsidRPr="00C91F2F" w14:paraId="753030B5" w14:textId="77777777" w:rsidTr="00FD0B8D">
        <w:trPr>
          <w:gridAfter w:val="1"/>
          <w:wAfter w:w="69" w:type="dxa"/>
        </w:trPr>
        <w:tc>
          <w:tcPr>
            <w:tcW w:w="693" w:type="dxa"/>
          </w:tcPr>
          <w:p w14:paraId="01BAC036"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9.</w:t>
            </w:r>
          </w:p>
        </w:tc>
        <w:tc>
          <w:tcPr>
            <w:tcW w:w="1984" w:type="dxa"/>
          </w:tcPr>
          <w:p w14:paraId="746C8FF6" w14:textId="42476810" w:rsidR="00BC0B7F" w:rsidRPr="00C91F2F" w:rsidRDefault="00F750BE" w:rsidP="00126235">
            <w:pPr>
              <w:pStyle w:val="ListParagraph"/>
              <w:ind w:left="0"/>
              <w:jc w:val="both"/>
              <w:rPr>
                <w:rFonts w:ascii="Arial" w:hAnsi="Arial" w:cs="Arial"/>
                <w:sz w:val="20"/>
                <w:szCs w:val="20"/>
                <w:lang w:val="hr-HR"/>
              </w:rPr>
            </w:pPr>
            <w:r>
              <w:rPr>
                <w:rFonts w:ascii="Arial" w:hAnsi="Arial" w:cs="Arial"/>
                <w:sz w:val="20"/>
                <w:szCs w:val="20"/>
                <w:lang w:val="hr-HR"/>
              </w:rPr>
              <w:t>Ured gradonačelnika</w:t>
            </w:r>
          </w:p>
        </w:tc>
        <w:tc>
          <w:tcPr>
            <w:tcW w:w="3828" w:type="dxa"/>
          </w:tcPr>
          <w:p w14:paraId="03DBC0FE" w14:textId="77777777" w:rsidR="00BC0B7F" w:rsidRPr="00C91F2F" w:rsidRDefault="00BC0B7F" w:rsidP="00126235">
            <w:pPr>
              <w:pStyle w:val="ListParagraph"/>
              <w:ind w:left="0"/>
              <w:jc w:val="both"/>
              <w:rPr>
                <w:rFonts w:ascii="Arial" w:hAnsi="Arial" w:cs="Arial"/>
                <w:sz w:val="20"/>
                <w:szCs w:val="20"/>
                <w:lang w:val="hr-HR"/>
              </w:rPr>
            </w:pPr>
          </w:p>
          <w:p w14:paraId="2087749E"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-dostavlja proračun, projekcije i odluku Ministarstvu financija</w:t>
            </w:r>
          </w:p>
        </w:tc>
        <w:tc>
          <w:tcPr>
            <w:tcW w:w="1773" w:type="dxa"/>
          </w:tcPr>
          <w:p w14:paraId="0791888D"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u roku od 15 dana od stupanja na snagu</w:t>
            </w:r>
          </w:p>
        </w:tc>
      </w:tr>
      <w:tr w:rsidR="00BC0B7F" w:rsidRPr="00C91F2F" w14:paraId="1C22FBC1" w14:textId="77777777" w:rsidTr="00FD0B8D">
        <w:trPr>
          <w:gridAfter w:val="1"/>
          <w:wAfter w:w="69" w:type="dxa"/>
        </w:trPr>
        <w:tc>
          <w:tcPr>
            <w:tcW w:w="693" w:type="dxa"/>
          </w:tcPr>
          <w:p w14:paraId="54C98564"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10.</w:t>
            </w:r>
          </w:p>
        </w:tc>
        <w:tc>
          <w:tcPr>
            <w:tcW w:w="1984" w:type="dxa"/>
          </w:tcPr>
          <w:p w14:paraId="520F2E0F" w14:textId="186A258B" w:rsidR="00BC0B7F" w:rsidRPr="00C91F2F" w:rsidRDefault="00506EA0" w:rsidP="00506EA0">
            <w:pPr>
              <w:pStyle w:val="ListParagraph"/>
              <w:ind w:left="0"/>
              <w:rPr>
                <w:rFonts w:ascii="Arial" w:hAnsi="Arial" w:cs="Arial"/>
                <w:sz w:val="20"/>
                <w:szCs w:val="20"/>
                <w:lang w:val="hr-HR"/>
              </w:rPr>
            </w:pPr>
            <w:r>
              <w:rPr>
                <w:rFonts w:ascii="Arial" w:hAnsi="Arial" w:cs="Arial"/>
                <w:sz w:val="20"/>
                <w:szCs w:val="20"/>
                <w:lang w:val="hr-HR"/>
              </w:rPr>
              <w:t>Odsjek za proračun, financije, javnu nabavu i EU projekte</w:t>
            </w:r>
          </w:p>
        </w:tc>
        <w:tc>
          <w:tcPr>
            <w:tcW w:w="3828" w:type="dxa"/>
          </w:tcPr>
          <w:p w14:paraId="2B66E266" w14:textId="77777777"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-sastavlja Vodič za građane i objavljuje ga na web-stranici Grada</w:t>
            </w:r>
          </w:p>
        </w:tc>
        <w:tc>
          <w:tcPr>
            <w:tcW w:w="1773" w:type="dxa"/>
          </w:tcPr>
          <w:p w14:paraId="25081A94" w14:textId="77777777" w:rsidR="00BC0B7F" w:rsidRPr="00C91F2F" w:rsidRDefault="00BC0B7F" w:rsidP="00126235">
            <w:pPr>
              <w:pStyle w:val="ListParagraph"/>
              <w:ind w:left="0"/>
              <w:jc w:val="both"/>
              <w:rPr>
                <w:rFonts w:ascii="Arial" w:hAnsi="Arial" w:cs="Arial"/>
                <w:sz w:val="20"/>
                <w:szCs w:val="20"/>
                <w:lang w:val="hr-HR"/>
              </w:rPr>
            </w:pPr>
          </w:p>
          <w:p w14:paraId="42F06A18" w14:textId="772961AD" w:rsidR="00BC0B7F" w:rsidRPr="00C91F2F" w:rsidRDefault="00BC0B7F" w:rsidP="00126235">
            <w:pPr>
              <w:pStyle w:val="ListParagraph"/>
              <w:ind w:left="0"/>
              <w:jc w:val="both"/>
              <w:rPr>
                <w:rFonts w:ascii="Arial" w:hAnsi="Arial" w:cs="Arial"/>
                <w:sz w:val="20"/>
                <w:szCs w:val="20"/>
                <w:lang w:val="hr-HR"/>
              </w:rPr>
            </w:pPr>
            <w:r w:rsidRPr="00C91F2F">
              <w:rPr>
                <w:rFonts w:ascii="Arial" w:hAnsi="Arial" w:cs="Arial"/>
                <w:sz w:val="20"/>
                <w:szCs w:val="20"/>
                <w:lang w:val="hr-HR"/>
              </w:rPr>
              <w:t>najkasnije do 31.01.201</w:t>
            </w:r>
            <w:r w:rsidR="00506EA0">
              <w:rPr>
                <w:rFonts w:ascii="Arial" w:hAnsi="Arial" w:cs="Arial"/>
                <w:sz w:val="20"/>
                <w:szCs w:val="20"/>
                <w:lang w:val="hr-HR"/>
              </w:rPr>
              <w:t>9</w:t>
            </w:r>
            <w:r w:rsidRPr="00C91F2F">
              <w:rPr>
                <w:rFonts w:ascii="Arial" w:hAnsi="Arial" w:cs="Arial"/>
                <w:sz w:val="20"/>
                <w:szCs w:val="20"/>
                <w:lang w:val="hr-HR"/>
              </w:rPr>
              <w:t>.</w:t>
            </w:r>
          </w:p>
        </w:tc>
      </w:tr>
    </w:tbl>
    <w:p w14:paraId="0520D736" w14:textId="77777777" w:rsidR="00BC0B7F" w:rsidRPr="00C91F2F" w:rsidRDefault="00BC0B7F" w:rsidP="00126235">
      <w:pPr>
        <w:pStyle w:val="ListParagraph"/>
        <w:jc w:val="both"/>
        <w:rPr>
          <w:rFonts w:ascii="Arial" w:hAnsi="Arial" w:cs="Arial"/>
          <w:b/>
          <w:sz w:val="22"/>
          <w:szCs w:val="22"/>
          <w:lang w:val="hr-HR"/>
        </w:rPr>
      </w:pPr>
    </w:p>
    <w:p w14:paraId="57ECD9A7" w14:textId="77777777" w:rsidR="00BC0B7F" w:rsidRPr="00C91F2F" w:rsidRDefault="00BC0B7F" w:rsidP="00126235">
      <w:pPr>
        <w:jc w:val="both"/>
        <w:rPr>
          <w:rFonts w:ascii="Arial" w:hAnsi="Arial" w:cs="Arial"/>
          <w:sz w:val="22"/>
          <w:szCs w:val="22"/>
          <w:lang w:val="hr-HR"/>
        </w:rPr>
      </w:pPr>
    </w:p>
    <w:p w14:paraId="3466CDDC" w14:textId="238A7AA6" w:rsidR="00BC0B7F" w:rsidRPr="00FD0B8D" w:rsidRDefault="00BC0B7F" w:rsidP="00506EA0">
      <w:pPr>
        <w:pStyle w:val="Heading1"/>
        <w:numPr>
          <w:ilvl w:val="0"/>
          <w:numId w:val="7"/>
        </w:numPr>
        <w:rPr>
          <w:rFonts w:ascii="Arial" w:eastAsia="Times New Roman" w:hAnsi="Arial" w:cs="Arial"/>
          <w:b/>
          <w:color w:val="auto"/>
          <w:sz w:val="24"/>
          <w:szCs w:val="24"/>
          <w:lang w:val="hr-HR" w:eastAsia="hr-HR"/>
        </w:rPr>
      </w:pPr>
      <w:bookmarkStart w:id="16" w:name="_Toc524064690"/>
      <w:r w:rsidRPr="00FD0B8D">
        <w:rPr>
          <w:rFonts w:ascii="Arial" w:eastAsia="Times New Roman" w:hAnsi="Arial" w:cs="Arial"/>
          <w:b/>
          <w:color w:val="auto"/>
          <w:sz w:val="24"/>
          <w:szCs w:val="24"/>
          <w:lang w:val="hr-HR" w:eastAsia="hr-HR"/>
        </w:rPr>
        <w:t>OBRASCI</w:t>
      </w:r>
      <w:bookmarkEnd w:id="16"/>
    </w:p>
    <w:p w14:paraId="5E4B3356" w14:textId="77777777" w:rsidR="00506EA0" w:rsidRDefault="00506EA0" w:rsidP="00126235">
      <w:pPr>
        <w:suppressAutoHyphens w:val="0"/>
        <w:jc w:val="both"/>
        <w:rPr>
          <w:rFonts w:ascii="Arial" w:eastAsia="Times New Roman" w:hAnsi="Arial" w:cs="Arial"/>
          <w:b/>
          <w:color w:val="000000" w:themeColor="text1"/>
          <w:sz w:val="22"/>
          <w:szCs w:val="22"/>
          <w:lang w:val="hr-HR" w:eastAsia="hr-HR"/>
        </w:rPr>
      </w:pPr>
    </w:p>
    <w:p w14:paraId="2FC4CC1F" w14:textId="77777777" w:rsidR="00506EA0" w:rsidRDefault="00BC0B7F" w:rsidP="00506EA0">
      <w:pPr>
        <w:suppressAutoHyphens w:val="0"/>
        <w:ind w:firstLine="360"/>
        <w:jc w:val="both"/>
        <w:rPr>
          <w:rFonts w:ascii="Arial" w:eastAsia="Times New Roman" w:hAnsi="Arial" w:cs="Arial"/>
          <w:color w:val="000000" w:themeColor="text1"/>
          <w:sz w:val="22"/>
          <w:szCs w:val="22"/>
          <w:lang w:val="hr-HR" w:eastAsia="hr-HR"/>
        </w:rPr>
      </w:pPr>
      <w:r w:rsidRPr="00C91F2F">
        <w:rPr>
          <w:rFonts w:ascii="Arial" w:eastAsia="Times New Roman" w:hAnsi="Arial" w:cs="Arial"/>
          <w:color w:val="000000" w:themeColor="text1"/>
          <w:sz w:val="22"/>
          <w:szCs w:val="22"/>
          <w:lang w:val="hr-HR" w:eastAsia="hr-HR"/>
        </w:rPr>
        <w:t>Prijedloge financijskih planova potrebno je izraditi u programu Računovodstvo proračuna LC-a.</w:t>
      </w:r>
    </w:p>
    <w:p w14:paraId="517C8072" w14:textId="77777777" w:rsidR="00506EA0" w:rsidRDefault="00506EA0" w:rsidP="00506EA0">
      <w:pPr>
        <w:suppressAutoHyphens w:val="0"/>
        <w:jc w:val="both"/>
        <w:rPr>
          <w:rFonts w:ascii="Arial" w:eastAsia="Times New Roman" w:hAnsi="Arial" w:cs="Arial"/>
          <w:color w:val="000000" w:themeColor="text1"/>
          <w:sz w:val="22"/>
          <w:szCs w:val="22"/>
          <w:lang w:val="hr-HR" w:eastAsia="hr-HR"/>
        </w:rPr>
      </w:pPr>
    </w:p>
    <w:p w14:paraId="7C042909" w14:textId="35C13E36" w:rsidR="00BC0B7F" w:rsidRPr="00C91F2F" w:rsidRDefault="00BC0B7F" w:rsidP="00506EA0">
      <w:pPr>
        <w:suppressAutoHyphens w:val="0"/>
        <w:jc w:val="both"/>
        <w:rPr>
          <w:rFonts w:ascii="Arial" w:eastAsia="Times New Roman" w:hAnsi="Arial" w:cs="Arial"/>
          <w:color w:val="000000" w:themeColor="text1"/>
          <w:sz w:val="22"/>
          <w:szCs w:val="22"/>
          <w:lang w:val="hr-HR" w:eastAsia="hr-HR"/>
        </w:rPr>
      </w:pPr>
      <w:r w:rsidRPr="00C91F2F">
        <w:rPr>
          <w:rFonts w:ascii="Arial" w:eastAsia="Times New Roman" w:hAnsi="Arial" w:cs="Arial"/>
          <w:color w:val="000000" w:themeColor="text1"/>
          <w:sz w:val="22"/>
          <w:szCs w:val="22"/>
          <w:lang w:val="hr-HR" w:eastAsia="hr-HR"/>
        </w:rPr>
        <w:t xml:space="preserve">Obrasci moraju biti ovjereni i potpisani od ovlaštenih </w:t>
      </w:r>
    </w:p>
    <w:p w14:paraId="46A736C1" w14:textId="77777777" w:rsidR="00BC0B7F" w:rsidRPr="00C91F2F" w:rsidRDefault="00BC0B7F" w:rsidP="00126235">
      <w:pPr>
        <w:suppressAutoHyphens w:val="0"/>
        <w:jc w:val="both"/>
        <w:rPr>
          <w:rFonts w:ascii="Arial" w:eastAsia="Times New Roman" w:hAnsi="Arial" w:cs="Arial"/>
          <w:color w:val="000000" w:themeColor="text1"/>
          <w:sz w:val="22"/>
          <w:szCs w:val="22"/>
          <w:lang w:val="hr-HR" w:eastAsia="hr-HR"/>
        </w:rPr>
      </w:pPr>
      <w:r w:rsidRPr="00C91F2F">
        <w:rPr>
          <w:rFonts w:ascii="Arial" w:eastAsia="Times New Roman" w:hAnsi="Arial" w:cs="Arial"/>
          <w:color w:val="000000" w:themeColor="text1"/>
          <w:sz w:val="22"/>
          <w:szCs w:val="22"/>
          <w:lang w:val="hr-HR" w:eastAsia="hr-HR"/>
        </w:rPr>
        <w:t>osoba.</w:t>
      </w:r>
    </w:p>
    <w:p w14:paraId="7BF9B5D2" w14:textId="77777777" w:rsidR="00506EA0" w:rsidRDefault="00506EA0" w:rsidP="00126235">
      <w:pPr>
        <w:suppressAutoHyphens w:val="0"/>
        <w:jc w:val="both"/>
        <w:rPr>
          <w:rFonts w:ascii="Arial" w:eastAsia="Times New Roman" w:hAnsi="Arial" w:cs="Arial"/>
          <w:color w:val="000000" w:themeColor="text1"/>
          <w:sz w:val="22"/>
          <w:szCs w:val="22"/>
          <w:lang w:val="hr-HR" w:eastAsia="hr-HR"/>
        </w:rPr>
      </w:pPr>
    </w:p>
    <w:p w14:paraId="17EC66F4" w14:textId="6940F4BC" w:rsidR="00BC0B7F" w:rsidRPr="00C91F2F" w:rsidRDefault="00BC0B7F" w:rsidP="00126235">
      <w:pPr>
        <w:suppressAutoHyphens w:val="0"/>
        <w:jc w:val="both"/>
        <w:rPr>
          <w:rFonts w:ascii="Arial" w:eastAsia="Times New Roman" w:hAnsi="Arial" w:cs="Arial"/>
          <w:color w:val="000000" w:themeColor="text1"/>
          <w:sz w:val="22"/>
          <w:szCs w:val="22"/>
          <w:lang w:val="hr-HR" w:eastAsia="hr-HR"/>
        </w:rPr>
      </w:pPr>
      <w:r w:rsidRPr="00C91F2F">
        <w:rPr>
          <w:rFonts w:ascii="Arial" w:eastAsia="Times New Roman" w:hAnsi="Arial" w:cs="Arial"/>
          <w:color w:val="000000" w:themeColor="text1"/>
          <w:sz w:val="22"/>
          <w:szCs w:val="22"/>
          <w:lang w:val="hr-HR" w:eastAsia="hr-HR"/>
        </w:rPr>
        <w:t>Dokumentaciju je potrebno dostaviti u papirnatom i elektroničkom obliku.</w:t>
      </w:r>
    </w:p>
    <w:p w14:paraId="51EA577A" w14:textId="77777777" w:rsidR="00BC0B7F" w:rsidRPr="00C91F2F" w:rsidRDefault="00BC0B7F" w:rsidP="00126235">
      <w:pPr>
        <w:suppressAutoHyphens w:val="0"/>
        <w:jc w:val="both"/>
        <w:rPr>
          <w:rFonts w:ascii="Arial" w:eastAsia="Times New Roman" w:hAnsi="Arial" w:cs="Arial"/>
          <w:color w:val="000000" w:themeColor="text1"/>
          <w:sz w:val="22"/>
          <w:szCs w:val="22"/>
          <w:lang w:val="hr-HR" w:eastAsia="hr-HR"/>
        </w:rPr>
      </w:pPr>
    </w:p>
    <w:p w14:paraId="262ABBAA" w14:textId="77777777" w:rsidR="00BC0B7F" w:rsidRPr="00C91F2F" w:rsidRDefault="00BC0B7F" w:rsidP="00126235">
      <w:pPr>
        <w:suppressAutoHyphens w:val="0"/>
        <w:jc w:val="both"/>
        <w:rPr>
          <w:rFonts w:ascii="Arial" w:eastAsia="Times New Roman" w:hAnsi="Arial" w:cs="Arial"/>
          <w:sz w:val="22"/>
          <w:szCs w:val="22"/>
          <w:lang w:val="hr-HR" w:eastAsia="hr-HR"/>
        </w:rPr>
      </w:pPr>
    </w:p>
    <w:p w14:paraId="506E2227" w14:textId="77777777" w:rsidR="00BC0B7F" w:rsidRPr="00C91F2F" w:rsidRDefault="00BC0B7F" w:rsidP="00126235">
      <w:pPr>
        <w:suppressAutoHyphens w:val="0"/>
        <w:jc w:val="both"/>
        <w:rPr>
          <w:rFonts w:ascii="Arial" w:eastAsia="Times New Roman" w:hAnsi="Arial" w:cs="Arial"/>
          <w:sz w:val="22"/>
          <w:szCs w:val="22"/>
          <w:lang w:val="hr-HR" w:eastAsia="hr-HR"/>
        </w:rPr>
      </w:pPr>
    </w:p>
    <w:p w14:paraId="7B399A42" w14:textId="77777777" w:rsidR="00506EA0" w:rsidRDefault="00506EA0" w:rsidP="00506EA0">
      <w:pPr>
        <w:ind w:left="360"/>
        <w:rPr>
          <w:rFonts w:ascii="Arial" w:eastAsiaTheme="minorHAnsi" w:hAnsi="Arial" w:cs="Arial"/>
          <w:sz w:val="22"/>
          <w:szCs w:val="22"/>
          <w:lang w:val="hr-HR" w:eastAsia="en-US"/>
        </w:rPr>
      </w:pPr>
      <w:proofErr w:type="spellStart"/>
      <w:r>
        <w:rPr>
          <w:rFonts w:ascii="Arial" w:hAnsi="Arial" w:cs="Arial"/>
          <w:i/>
        </w:rPr>
        <w:t>Voditeljica</w:t>
      </w:r>
      <w:proofErr w:type="spellEnd"/>
      <w:r>
        <w:rPr>
          <w:rFonts w:ascii="Arial" w:hAnsi="Arial" w:cs="Arial"/>
          <w:i/>
        </w:rPr>
        <w:t xml:space="preserve"> </w:t>
      </w:r>
      <w:proofErr w:type="spellStart"/>
      <w:r>
        <w:rPr>
          <w:rFonts w:ascii="Arial" w:hAnsi="Arial" w:cs="Arial"/>
          <w:i/>
        </w:rPr>
        <w:t>odsjeka</w:t>
      </w:r>
      <w:proofErr w:type="spellEnd"/>
      <w:r>
        <w:rPr>
          <w:rFonts w:ascii="Arial" w:hAnsi="Arial" w:cs="Arial"/>
          <w:i/>
        </w:rPr>
        <w:t xml:space="preserve"> za </w:t>
      </w:r>
      <w:proofErr w:type="spellStart"/>
      <w:r>
        <w:rPr>
          <w:rFonts w:ascii="Arial" w:hAnsi="Arial" w:cs="Arial"/>
          <w:i/>
        </w:rPr>
        <w:t>proračun</w:t>
      </w:r>
      <w:proofErr w:type="spellEnd"/>
      <w:r>
        <w:rPr>
          <w:rFonts w:ascii="Arial" w:hAnsi="Arial" w:cs="Arial"/>
          <w:i/>
        </w:rPr>
        <w:t xml:space="preserve">, </w:t>
      </w:r>
      <w:proofErr w:type="spellStart"/>
      <w:r>
        <w:rPr>
          <w:rFonts w:ascii="Arial" w:hAnsi="Arial" w:cs="Arial"/>
          <w:i/>
        </w:rPr>
        <w:t>financije</w:t>
      </w:r>
      <w:proofErr w:type="spellEnd"/>
      <w:r>
        <w:rPr>
          <w:rFonts w:ascii="Arial" w:hAnsi="Arial" w:cs="Arial"/>
        </w:rPr>
        <w:t>,</w:t>
      </w:r>
      <w:r>
        <w:rPr>
          <w:rFonts w:ascii="Arial" w:hAnsi="Arial" w:cs="Arial"/>
        </w:rPr>
        <w:tab/>
      </w:r>
      <w:r>
        <w:rPr>
          <w:rFonts w:ascii="Arial" w:hAnsi="Arial" w:cs="Arial"/>
        </w:rPr>
        <w:tab/>
      </w:r>
      <w:r>
        <w:rPr>
          <w:rFonts w:ascii="Arial" w:hAnsi="Arial" w:cs="Arial"/>
        </w:rPr>
        <w:tab/>
        <w:t>PROČELNIK:</w:t>
      </w:r>
    </w:p>
    <w:p w14:paraId="6BDFC04C" w14:textId="77777777" w:rsidR="00506EA0" w:rsidRDefault="00506EA0" w:rsidP="00506EA0">
      <w:pPr>
        <w:ind w:left="360"/>
        <w:rPr>
          <w:rFonts w:ascii="Arial" w:hAnsi="Arial" w:cs="Arial"/>
          <w:i/>
        </w:rPr>
      </w:pPr>
      <w:r>
        <w:rPr>
          <w:rFonts w:ascii="Arial" w:hAnsi="Arial" w:cs="Arial"/>
        </w:rPr>
        <w:t xml:space="preserve">          </w:t>
      </w:r>
      <w:proofErr w:type="spellStart"/>
      <w:r>
        <w:rPr>
          <w:rFonts w:ascii="Arial" w:hAnsi="Arial" w:cs="Arial"/>
          <w:i/>
        </w:rPr>
        <w:t>javnu</w:t>
      </w:r>
      <w:proofErr w:type="spellEnd"/>
      <w:r>
        <w:rPr>
          <w:rFonts w:ascii="Arial" w:hAnsi="Arial" w:cs="Arial"/>
          <w:i/>
        </w:rPr>
        <w:t xml:space="preserve"> </w:t>
      </w:r>
      <w:proofErr w:type="spellStart"/>
      <w:r>
        <w:rPr>
          <w:rFonts w:ascii="Arial" w:hAnsi="Arial" w:cs="Arial"/>
          <w:i/>
        </w:rPr>
        <w:t>nabavu</w:t>
      </w:r>
      <w:proofErr w:type="spellEnd"/>
      <w:r>
        <w:rPr>
          <w:rFonts w:ascii="Arial" w:hAnsi="Arial" w:cs="Arial"/>
          <w:i/>
        </w:rPr>
        <w:t xml:space="preserve"> </w:t>
      </w:r>
      <w:proofErr w:type="spellStart"/>
      <w:r>
        <w:rPr>
          <w:rFonts w:ascii="Arial" w:hAnsi="Arial" w:cs="Arial"/>
          <w:i/>
        </w:rPr>
        <w:t>i</w:t>
      </w:r>
      <w:proofErr w:type="spellEnd"/>
      <w:r>
        <w:rPr>
          <w:rFonts w:ascii="Arial" w:hAnsi="Arial" w:cs="Arial"/>
          <w:i/>
        </w:rPr>
        <w:t xml:space="preserve"> EU </w:t>
      </w:r>
      <w:proofErr w:type="spellStart"/>
      <w:r>
        <w:rPr>
          <w:rFonts w:ascii="Arial" w:hAnsi="Arial" w:cs="Arial"/>
          <w:i/>
        </w:rPr>
        <w:t>projekte</w:t>
      </w:r>
      <w:proofErr w:type="spellEnd"/>
    </w:p>
    <w:p w14:paraId="01E11A3A" w14:textId="0ECC8DD5" w:rsidR="00506EA0" w:rsidRDefault="00506EA0" w:rsidP="00506EA0">
      <w:pPr>
        <w:ind w:left="360"/>
        <w:rPr>
          <w:rFonts w:ascii="Arial" w:hAnsi="Arial" w:cs="Arial"/>
        </w:rPr>
      </w:pPr>
      <w:r>
        <w:rPr>
          <w:rFonts w:ascii="Arial" w:hAnsi="Arial" w:cs="Arial"/>
        </w:rPr>
        <w:t xml:space="preserve">    IVKA MATOŠEVIĆ, </w:t>
      </w:r>
      <w:proofErr w:type="spellStart"/>
      <w:r>
        <w:rPr>
          <w:rFonts w:ascii="Arial" w:hAnsi="Arial" w:cs="Arial"/>
        </w:rPr>
        <w:t>univ.spec.oec</w:t>
      </w:r>
      <w:proofErr w:type="spellEnd"/>
      <w:r>
        <w:rPr>
          <w:rFonts w:ascii="Arial" w:hAnsi="Arial" w:cs="Arial"/>
        </w:rPr>
        <w:t>.</w:t>
      </w:r>
      <w:r>
        <w:rPr>
          <w:rFonts w:ascii="Arial" w:hAnsi="Arial" w:cs="Arial"/>
        </w:rPr>
        <w:tab/>
      </w:r>
      <w:r>
        <w:rPr>
          <w:rFonts w:ascii="Arial" w:hAnsi="Arial" w:cs="Arial"/>
        </w:rPr>
        <w:tab/>
        <w:t xml:space="preserve"> MIROSLAV ČOVIĆ, </w:t>
      </w:r>
      <w:proofErr w:type="spellStart"/>
      <w:r>
        <w:rPr>
          <w:rFonts w:ascii="Arial" w:hAnsi="Arial" w:cs="Arial"/>
        </w:rPr>
        <w:t>mag.iur</w:t>
      </w:r>
      <w:proofErr w:type="spellEnd"/>
      <w:r>
        <w:rPr>
          <w:rFonts w:ascii="Arial" w:hAnsi="Arial" w:cs="Arial"/>
        </w:rPr>
        <w:t>.</w:t>
      </w:r>
    </w:p>
    <w:p w14:paraId="0D58B4D3" w14:textId="77777777" w:rsidR="00BC0B7F" w:rsidRPr="00C91F2F" w:rsidRDefault="00BC0B7F" w:rsidP="00126235">
      <w:pPr>
        <w:jc w:val="both"/>
        <w:rPr>
          <w:rFonts w:ascii="Arial" w:hAnsi="Arial" w:cs="Arial"/>
          <w:sz w:val="22"/>
          <w:szCs w:val="22"/>
        </w:rPr>
      </w:pPr>
    </w:p>
    <w:p w14:paraId="1F1DC44B" w14:textId="77777777" w:rsidR="00BC0B7F" w:rsidRPr="00C91F2F" w:rsidRDefault="00BC0B7F" w:rsidP="00126235">
      <w:pPr>
        <w:jc w:val="both"/>
        <w:rPr>
          <w:rFonts w:ascii="Arial" w:hAnsi="Arial" w:cs="Arial"/>
          <w:sz w:val="22"/>
          <w:szCs w:val="22"/>
        </w:rPr>
      </w:pPr>
    </w:p>
    <w:p w14:paraId="54002937" w14:textId="77777777" w:rsidR="00BC0B7F" w:rsidRPr="00C91F2F" w:rsidRDefault="00BC0B7F" w:rsidP="00126235">
      <w:pPr>
        <w:jc w:val="both"/>
        <w:rPr>
          <w:rFonts w:ascii="Arial" w:hAnsi="Arial" w:cs="Arial"/>
          <w:sz w:val="22"/>
          <w:szCs w:val="22"/>
        </w:rPr>
      </w:pPr>
    </w:p>
    <w:p w14:paraId="253A171F" w14:textId="77777777" w:rsidR="00BC0B7F" w:rsidRPr="00C91F2F" w:rsidRDefault="00BC0B7F" w:rsidP="00126235">
      <w:pPr>
        <w:jc w:val="both"/>
        <w:rPr>
          <w:rFonts w:ascii="Arial" w:hAnsi="Arial" w:cs="Arial"/>
          <w:sz w:val="22"/>
          <w:szCs w:val="22"/>
        </w:rPr>
      </w:pPr>
    </w:p>
    <w:p w14:paraId="4095C891" w14:textId="77777777" w:rsidR="00BC0B7F" w:rsidRPr="00C91F2F" w:rsidRDefault="00BC0B7F" w:rsidP="00126235">
      <w:pPr>
        <w:jc w:val="both"/>
        <w:rPr>
          <w:rFonts w:ascii="Arial" w:hAnsi="Arial" w:cs="Arial"/>
          <w:sz w:val="22"/>
          <w:szCs w:val="22"/>
        </w:rPr>
      </w:pPr>
    </w:p>
    <w:p w14:paraId="4D3C4761" w14:textId="77777777" w:rsidR="00BC0B7F" w:rsidRPr="00C91F2F" w:rsidRDefault="00BC0B7F" w:rsidP="00126235">
      <w:pPr>
        <w:jc w:val="both"/>
        <w:rPr>
          <w:rFonts w:ascii="Arial" w:hAnsi="Arial" w:cs="Arial"/>
          <w:sz w:val="22"/>
          <w:szCs w:val="22"/>
        </w:rPr>
      </w:pPr>
    </w:p>
    <w:p w14:paraId="1C8B32E0" w14:textId="77777777" w:rsidR="00540F29" w:rsidRPr="00C91F2F" w:rsidRDefault="00540F29">
      <w:pPr>
        <w:rPr>
          <w:rFonts w:ascii="Arial" w:hAnsi="Arial" w:cs="Arial"/>
        </w:rPr>
      </w:pPr>
    </w:p>
    <w:sectPr w:rsidR="00540F29" w:rsidRPr="00C91F2F" w:rsidSect="00477537">
      <w:footerReference w:type="default" r:id="rId9"/>
      <w:pgSz w:w="11906" w:h="16838" w:code="9"/>
      <w:pgMar w:top="1417" w:right="1417"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36557" w14:textId="77777777" w:rsidR="000326F3" w:rsidRDefault="000326F3" w:rsidP="00BC0B7F">
      <w:r>
        <w:separator/>
      </w:r>
    </w:p>
  </w:endnote>
  <w:endnote w:type="continuationSeparator" w:id="0">
    <w:p w14:paraId="7105DCCF" w14:textId="77777777" w:rsidR="000326F3" w:rsidRDefault="000326F3" w:rsidP="00BC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6210" w14:textId="6AD703F6" w:rsidR="00E96A90" w:rsidRDefault="003F1E09" w:rsidP="003F1E09">
    <w:pPr>
      <w:pStyle w:val="Footer"/>
      <w:rPr>
        <w:caps/>
        <w:noProof/>
        <w:color w:val="5B9BD5" w:themeColor="accent1"/>
      </w:rPr>
    </w:pPr>
    <w:r>
      <w:rPr>
        <w:caps/>
        <w:color w:val="5B9BD5" w:themeColor="accent1"/>
      </w:rPr>
      <w:tab/>
    </w:r>
    <w:r w:rsidR="00E96A90">
      <w:rPr>
        <w:caps/>
        <w:color w:val="5B9BD5" w:themeColor="accent1"/>
      </w:rPr>
      <w:fldChar w:fldCharType="begin"/>
    </w:r>
    <w:r w:rsidR="00E96A90">
      <w:rPr>
        <w:caps/>
        <w:color w:val="5B9BD5" w:themeColor="accent1"/>
      </w:rPr>
      <w:instrText xml:space="preserve"> PAGE   \* MERGEFORMAT </w:instrText>
    </w:r>
    <w:r w:rsidR="00E96A90">
      <w:rPr>
        <w:caps/>
        <w:color w:val="5B9BD5" w:themeColor="accent1"/>
      </w:rPr>
      <w:fldChar w:fldCharType="separate"/>
    </w:r>
    <w:r w:rsidR="008C4813">
      <w:rPr>
        <w:caps/>
        <w:noProof/>
        <w:color w:val="5B9BD5" w:themeColor="accent1"/>
      </w:rPr>
      <w:t>10</w:t>
    </w:r>
    <w:r w:rsidR="00E96A90">
      <w:rPr>
        <w:caps/>
        <w:noProof/>
        <w:color w:val="5B9BD5" w:themeColor="accent1"/>
      </w:rPr>
      <w:fldChar w:fldCharType="end"/>
    </w:r>
  </w:p>
  <w:p w14:paraId="0D742C54" w14:textId="77777777" w:rsidR="00E96A90" w:rsidRDefault="00E9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DCE3E" w14:textId="77777777" w:rsidR="000326F3" w:rsidRDefault="000326F3" w:rsidP="00BC0B7F">
      <w:r>
        <w:separator/>
      </w:r>
    </w:p>
  </w:footnote>
  <w:footnote w:type="continuationSeparator" w:id="0">
    <w:p w14:paraId="018FE5A1" w14:textId="77777777" w:rsidR="000326F3" w:rsidRDefault="000326F3" w:rsidP="00BC0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rPr>
        <w:b/>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4"/>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34C329F"/>
    <w:multiLevelType w:val="multilevel"/>
    <w:tmpl w:val="4BFA0C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B740629"/>
    <w:multiLevelType w:val="multilevel"/>
    <w:tmpl w:val="3F805C6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5310F6"/>
    <w:multiLevelType w:val="hybridMultilevel"/>
    <w:tmpl w:val="5220EB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4758B3"/>
    <w:multiLevelType w:val="hybridMultilevel"/>
    <w:tmpl w:val="91AA8B0E"/>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CD6303"/>
    <w:multiLevelType w:val="hybridMultilevel"/>
    <w:tmpl w:val="484E6F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48200C"/>
    <w:multiLevelType w:val="multilevel"/>
    <w:tmpl w:val="AF34126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7F"/>
    <w:rsid w:val="000145B1"/>
    <w:rsid w:val="000326F3"/>
    <w:rsid w:val="000F070A"/>
    <w:rsid w:val="00125A09"/>
    <w:rsid w:val="00126235"/>
    <w:rsid w:val="001426E8"/>
    <w:rsid w:val="00166229"/>
    <w:rsid w:val="002E1318"/>
    <w:rsid w:val="00372B6D"/>
    <w:rsid w:val="00387FEB"/>
    <w:rsid w:val="003F1E09"/>
    <w:rsid w:val="00430E09"/>
    <w:rsid w:val="00477537"/>
    <w:rsid w:val="00506EA0"/>
    <w:rsid w:val="00540F29"/>
    <w:rsid w:val="005D6F5D"/>
    <w:rsid w:val="005F7F3D"/>
    <w:rsid w:val="0064018E"/>
    <w:rsid w:val="00661BC7"/>
    <w:rsid w:val="00783836"/>
    <w:rsid w:val="008050D7"/>
    <w:rsid w:val="008C4813"/>
    <w:rsid w:val="009F7E98"/>
    <w:rsid w:val="00A237D9"/>
    <w:rsid w:val="00BB7C37"/>
    <w:rsid w:val="00BC0B7F"/>
    <w:rsid w:val="00BF79A5"/>
    <w:rsid w:val="00C91F2F"/>
    <w:rsid w:val="00CD07D1"/>
    <w:rsid w:val="00CD6548"/>
    <w:rsid w:val="00D25C84"/>
    <w:rsid w:val="00D91ADD"/>
    <w:rsid w:val="00DE6464"/>
    <w:rsid w:val="00E0116E"/>
    <w:rsid w:val="00E2742D"/>
    <w:rsid w:val="00E96A90"/>
    <w:rsid w:val="00EF4466"/>
    <w:rsid w:val="00F562E3"/>
    <w:rsid w:val="00F750BE"/>
    <w:rsid w:val="00FD0B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154C8"/>
  <w15:docId w15:val="{88A6CD35-6200-473C-BA5F-26416D1D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B7F"/>
    <w:pPr>
      <w:suppressAutoHyphens/>
      <w:spacing w:after="0" w:line="240" w:lineRule="auto"/>
    </w:pPr>
    <w:rPr>
      <w:rFonts w:ascii="Calibri" w:eastAsia="Calibri" w:hAnsi="Calibri" w:cs="Times New Roman"/>
      <w:sz w:val="24"/>
      <w:szCs w:val="24"/>
      <w:lang w:val="en-US" w:eastAsia="ar-SA"/>
    </w:rPr>
  </w:style>
  <w:style w:type="paragraph" w:styleId="Heading1">
    <w:name w:val="heading 1"/>
    <w:basedOn w:val="Normal"/>
    <w:next w:val="Normal"/>
    <w:link w:val="Heading1Char"/>
    <w:uiPriority w:val="9"/>
    <w:qFormat/>
    <w:rsid w:val="001262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C0B7F"/>
    <w:pPr>
      <w:widowControl w:val="0"/>
      <w:tabs>
        <w:tab w:val="num" w:pos="0"/>
      </w:tabs>
      <w:outlineLvl w:val="1"/>
    </w:pPr>
    <w:rPr>
      <w:rFonts w:ascii="Times New Roman" w:eastAsia="Lucida Sans Unicode" w:hAnsi="Times New Roman"/>
      <w:b/>
      <w:bCs/>
      <w:i/>
      <w:iCs/>
      <w:sz w:val="28"/>
      <w:szCs w:val="28"/>
      <w:lang w:val="hr-HR" w:eastAsia="en-US"/>
    </w:rPr>
  </w:style>
  <w:style w:type="paragraph" w:styleId="Heading3">
    <w:name w:val="heading 3"/>
    <w:basedOn w:val="Normal"/>
    <w:next w:val="Normal"/>
    <w:link w:val="Heading3Char"/>
    <w:qFormat/>
    <w:rsid w:val="00BC0B7F"/>
    <w:pPr>
      <w:widowControl w:val="0"/>
      <w:tabs>
        <w:tab w:val="num" w:pos="0"/>
      </w:tabs>
      <w:outlineLvl w:val="2"/>
    </w:pPr>
    <w:rPr>
      <w:rFonts w:ascii="Times New Roman" w:eastAsia="Lucida Sans Unicode" w:hAnsi="Times New Roman"/>
      <w:b/>
      <w:bCs/>
      <w:sz w:val="28"/>
      <w:szCs w:val="28"/>
      <w:lang w:val="hr-HR" w:eastAsia="en-US"/>
    </w:rPr>
  </w:style>
  <w:style w:type="paragraph" w:styleId="Heading4">
    <w:name w:val="heading 4"/>
    <w:basedOn w:val="Normal"/>
    <w:next w:val="Normal"/>
    <w:link w:val="Heading4Char"/>
    <w:qFormat/>
    <w:rsid w:val="00BC0B7F"/>
    <w:pPr>
      <w:widowControl w:val="0"/>
      <w:tabs>
        <w:tab w:val="num" w:pos="0"/>
      </w:tabs>
      <w:outlineLvl w:val="3"/>
    </w:pPr>
    <w:rPr>
      <w:rFonts w:ascii="Times New Roman" w:eastAsia="Lucida Sans Unicode" w:hAnsi="Times New Roman"/>
      <w:b/>
      <w:bCs/>
      <w:i/>
      <w:iCs/>
      <w:sz w:val="20"/>
      <w:szCs w:val="20"/>
      <w:lang w:val="hr-HR" w:eastAsia="en-US"/>
    </w:rPr>
  </w:style>
  <w:style w:type="paragraph" w:styleId="Heading6">
    <w:name w:val="heading 6"/>
    <w:basedOn w:val="Normal"/>
    <w:next w:val="Normal"/>
    <w:link w:val="Heading6Char"/>
    <w:qFormat/>
    <w:rsid w:val="00BC0B7F"/>
    <w:pPr>
      <w:widowControl w:val="0"/>
      <w:tabs>
        <w:tab w:val="num" w:pos="0"/>
      </w:tabs>
      <w:outlineLvl w:val="5"/>
    </w:pPr>
    <w:rPr>
      <w:rFonts w:ascii="Times New Roman" w:eastAsia="Lucida Sans Unicode" w:hAnsi="Times New Roman"/>
      <w:b/>
      <w:bCs/>
      <w:sz w:val="18"/>
      <w:szCs w:val="18"/>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0B7F"/>
    <w:rPr>
      <w:rFonts w:ascii="Times New Roman" w:eastAsia="Lucida Sans Unicode" w:hAnsi="Times New Roman" w:cs="Times New Roman"/>
      <w:b/>
      <w:bCs/>
      <w:i/>
      <w:iCs/>
      <w:sz w:val="28"/>
      <w:szCs w:val="28"/>
    </w:rPr>
  </w:style>
  <w:style w:type="character" w:customStyle="1" w:styleId="Heading3Char">
    <w:name w:val="Heading 3 Char"/>
    <w:basedOn w:val="DefaultParagraphFont"/>
    <w:link w:val="Heading3"/>
    <w:rsid w:val="00BC0B7F"/>
    <w:rPr>
      <w:rFonts w:ascii="Times New Roman" w:eastAsia="Lucida Sans Unicode" w:hAnsi="Times New Roman" w:cs="Times New Roman"/>
      <w:b/>
      <w:bCs/>
      <w:sz w:val="28"/>
      <w:szCs w:val="28"/>
    </w:rPr>
  </w:style>
  <w:style w:type="character" w:customStyle="1" w:styleId="Heading4Char">
    <w:name w:val="Heading 4 Char"/>
    <w:basedOn w:val="DefaultParagraphFont"/>
    <w:link w:val="Heading4"/>
    <w:rsid w:val="00BC0B7F"/>
    <w:rPr>
      <w:rFonts w:ascii="Times New Roman" w:eastAsia="Lucida Sans Unicode" w:hAnsi="Times New Roman" w:cs="Times New Roman"/>
      <w:b/>
      <w:bCs/>
      <w:i/>
      <w:iCs/>
      <w:sz w:val="20"/>
      <w:szCs w:val="20"/>
    </w:rPr>
  </w:style>
  <w:style w:type="character" w:customStyle="1" w:styleId="Heading6Char">
    <w:name w:val="Heading 6 Char"/>
    <w:basedOn w:val="DefaultParagraphFont"/>
    <w:link w:val="Heading6"/>
    <w:rsid w:val="00BC0B7F"/>
    <w:rPr>
      <w:rFonts w:ascii="Times New Roman" w:eastAsia="Lucida Sans Unicode" w:hAnsi="Times New Roman" w:cs="Times New Roman"/>
      <w:b/>
      <w:bCs/>
      <w:sz w:val="18"/>
      <w:szCs w:val="18"/>
    </w:rPr>
  </w:style>
  <w:style w:type="paragraph" w:styleId="Footer">
    <w:name w:val="footer"/>
    <w:basedOn w:val="Normal"/>
    <w:link w:val="FooterChar"/>
    <w:uiPriority w:val="99"/>
    <w:rsid w:val="00BC0B7F"/>
    <w:pPr>
      <w:tabs>
        <w:tab w:val="center" w:pos="4320"/>
        <w:tab w:val="right" w:pos="8640"/>
      </w:tabs>
    </w:pPr>
  </w:style>
  <w:style w:type="character" w:customStyle="1" w:styleId="FooterChar">
    <w:name w:val="Footer Char"/>
    <w:basedOn w:val="DefaultParagraphFont"/>
    <w:link w:val="Footer"/>
    <w:uiPriority w:val="99"/>
    <w:rsid w:val="00BC0B7F"/>
    <w:rPr>
      <w:rFonts w:ascii="Calibri" w:eastAsia="Calibri" w:hAnsi="Calibri" w:cs="Times New Roman"/>
      <w:sz w:val="24"/>
      <w:szCs w:val="24"/>
      <w:lang w:val="en-US" w:eastAsia="ar-SA"/>
    </w:rPr>
  </w:style>
  <w:style w:type="paragraph" w:styleId="ListParagraph">
    <w:name w:val="List Paragraph"/>
    <w:basedOn w:val="Normal"/>
    <w:uiPriority w:val="34"/>
    <w:qFormat/>
    <w:rsid w:val="00BC0B7F"/>
    <w:pPr>
      <w:ind w:left="720"/>
      <w:contextualSpacing/>
    </w:pPr>
  </w:style>
  <w:style w:type="paragraph" w:customStyle="1" w:styleId="Default">
    <w:name w:val="Default"/>
    <w:rsid w:val="00BC0B7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C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B7F"/>
    <w:pPr>
      <w:tabs>
        <w:tab w:val="center" w:pos="4536"/>
        <w:tab w:val="right" w:pos="9072"/>
      </w:tabs>
    </w:pPr>
  </w:style>
  <w:style w:type="character" w:customStyle="1" w:styleId="HeaderChar">
    <w:name w:val="Header Char"/>
    <w:basedOn w:val="DefaultParagraphFont"/>
    <w:link w:val="Header"/>
    <w:uiPriority w:val="99"/>
    <w:rsid w:val="00BC0B7F"/>
    <w:rPr>
      <w:rFonts w:ascii="Calibri" w:eastAsia="Calibri" w:hAnsi="Calibri" w:cs="Times New Roman"/>
      <w:sz w:val="24"/>
      <w:szCs w:val="24"/>
      <w:lang w:val="en-US" w:eastAsia="ar-SA"/>
    </w:rPr>
  </w:style>
  <w:style w:type="paragraph" w:styleId="BalloonText">
    <w:name w:val="Balloon Text"/>
    <w:basedOn w:val="Normal"/>
    <w:link w:val="BalloonTextChar"/>
    <w:uiPriority w:val="99"/>
    <w:semiHidden/>
    <w:unhideWhenUsed/>
    <w:rsid w:val="00BC0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B7F"/>
    <w:rPr>
      <w:rFonts w:ascii="Segoe UI" w:eastAsia="Calibri" w:hAnsi="Segoe UI" w:cs="Segoe UI"/>
      <w:sz w:val="18"/>
      <w:szCs w:val="18"/>
      <w:lang w:val="en-US" w:eastAsia="ar-SA"/>
    </w:rPr>
  </w:style>
  <w:style w:type="character" w:customStyle="1" w:styleId="Heading1Char">
    <w:name w:val="Heading 1 Char"/>
    <w:basedOn w:val="DefaultParagraphFont"/>
    <w:link w:val="Heading1"/>
    <w:uiPriority w:val="9"/>
    <w:rsid w:val="00126235"/>
    <w:rPr>
      <w:rFonts w:asciiTheme="majorHAnsi" w:eastAsiaTheme="majorEastAsia" w:hAnsiTheme="majorHAnsi" w:cstheme="majorBidi"/>
      <w:color w:val="2E74B5" w:themeColor="accent1" w:themeShade="BF"/>
      <w:sz w:val="32"/>
      <w:szCs w:val="32"/>
      <w:lang w:val="en-US" w:eastAsia="ar-SA"/>
    </w:rPr>
  </w:style>
  <w:style w:type="paragraph" w:styleId="TOCHeading">
    <w:name w:val="TOC Heading"/>
    <w:basedOn w:val="Heading1"/>
    <w:next w:val="Normal"/>
    <w:uiPriority w:val="39"/>
    <w:unhideWhenUsed/>
    <w:qFormat/>
    <w:rsid w:val="00FD0B8D"/>
    <w:pPr>
      <w:suppressAutoHyphens w:val="0"/>
      <w:spacing w:line="259" w:lineRule="auto"/>
      <w:outlineLvl w:val="9"/>
    </w:pPr>
    <w:rPr>
      <w:lang w:eastAsia="en-US"/>
    </w:rPr>
  </w:style>
  <w:style w:type="paragraph" w:styleId="TOC3">
    <w:name w:val="toc 3"/>
    <w:basedOn w:val="Normal"/>
    <w:next w:val="Normal"/>
    <w:autoRedefine/>
    <w:uiPriority w:val="39"/>
    <w:unhideWhenUsed/>
    <w:rsid w:val="00FD0B8D"/>
    <w:pPr>
      <w:spacing w:after="100"/>
      <w:ind w:left="480"/>
    </w:pPr>
  </w:style>
  <w:style w:type="paragraph" w:styleId="TOC1">
    <w:name w:val="toc 1"/>
    <w:basedOn w:val="Normal"/>
    <w:next w:val="Normal"/>
    <w:autoRedefine/>
    <w:uiPriority w:val="39"/>
    <w:unhideWhenUsed/>
    <w:rsid w:val="00FD0B8D"/>
    <w:pPr>
      <w:spacing w:after="100"/>
    </w:pPr>
  </w:style>
  <w:style w:type="paragraph" w:styleId="TOC2">
    <w:name w:val="toc 2"/>
    <w:basedOn w:val="Normal"/>
    <w:next w:val="Normal"/>
    <w:autoRedefine/>
    <w:uiPriority w:val="39"/>
    <w:unhideWhenUsed/>
    <w:rsid w:val="00FD0B8D"/>
    <w:pPr>
      <w:spacing w:after="100"/>
      <w:ind w:left="240"/>
    </w:pPr>
  </w:style>
  <w:style w:type="character" w:styleId="Hyperlink">
    <w:name w:val="Hyperlink"/>
    <w:basedOn w:val="DefaultParagraphFont"/>
    <w:uiPriority w:val="99"/>
    <w:unhideWhenUsed/>
    <w:rsid w:val="00FD0B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1134">
      <w:bodyDiv w:val="1"/>
      <w:marLeft w:val="0"/>
      <w:marRight w:val="0"/>
      <w:marTop w:val="0"/>
      <w:marBottom w:val="0"/>
      <w:divBdr>
        <w:top w:val="none" w:sz="0" w:space="0" w:color="auto"/>
        <w:left w:val="none" w:sz="0" w:space="0" w:color="auto"/>
        <w:bottom w:val="none" w:sz="0" w:space="0" w:color="auto"/>
        <w:right w:val="none" w:sz="0" w:space="0" w:color="auto"/>
      </w:divBdr>
    </w:div>
    <w:div w:id="219445695">
      <w:bodyDiv w:val="1"/>
      <w:marLeft w:val="0"/>
      <w:marRight w:val="0"/>
      <w:marTop w:val="0"/>
      <w:marBottom w:val="0"/>
      <w:divBdr>
        <w:top w:val="none" w:sz="0" w:space="0" w:color="auto"/>
        <w:left w:val="none" w:sz="0" w:space="0" w:color="auto"/>
        <w:bottom w:val="none" w:sz="0" w:space="0" w:color="auto"/>
        <w:right w:val="none" w:sz="0" w:space="0" w:color="auto"/>
      </w:divBdr>
    </w:div>
    <w:div w:id="378020583">
      <w:bodyDiv w:val="1"/>
      <w:marLeft w:val="0"/>
      <w:marRight w:val="0"/>
      <w:marTop w:val="0"/>
      <w:marBottom w:val="0"/>
      <w:divBdr>
        <w:top w:val="none" w:sz="0" w:space="0" w:color="auto"/>
        <w:left w:val="none" w:sz="0" w:space="0" w:color="auto"/>
        <w:bottom w:val="none" w:sz="0" w:space="0" w:color="auto"/>
        <w:right w:val="none" w:sz="0" w:space="0" w:color="auto"/>
      </w:divBdr>
    </w:div>
    <w:div w:id="588545836">
      <w:bodyDiv w:val="1"/>
      <w:marLeft w:val="0"/>
      <w:marRight w:val="0"/>
      <w:marTop w:val="0"/>
      <w:marBottom w:val="0"/>
      <w:divBdr>
        <w:top w:val="none" w:sz="0" w:space="0" w:color="auto"/>
        <w:left w:val="none" w:sz="0" w:space="0" w:color="auto"/>
        <w:bottom w:val="none" w:sz="0" w:space="0" w:color="auto"/>
        <w:right w:val="none" w:sz="0" w:space="0" w:color="auto"/>
      </w:divBdr>
    </w:div>
    <w:div w:id="1169325945">
      <w:bodyDiv w:val="1"/>
      <w:marLeft w:val="0"/>
      <w:marRight w:val="0"/>
      <w:marTop w:val="0"/>
      <w:marBottom w:val="0"/>
      <w:divBdr>
        <w:top w:val="none" w:sz="0" w:space="0" w:color="auto"/>
        <w:left w:val="none" w:sz="0" w:space="0" w:color="auto"/>
        <w:bottom w:val="none" w:sz="0" w:space="0" w:color="auto"/>
        <w:right w:val="none" w:sz="0" w:space="0" w:color="auto"/>
      </w:divBdr>
    </w:div>
    <w:div w:id="1215121077">
      <w:bodyDiv w:val="1"/>
      <w:marLeft w:val="0"/>
      <w:marRight w:val="0"/>
      <w:marTop w:val="0"/>
      <w:marBottom w:val="0"/>
      <w:divBdr>
        <w:top w:val="none" w:sz="0" w:space="0" w:color="auto"/>
        <w:left w:val="none" w:sz="0" w:space="0" w:color="auto"/>
        <w:bottom w:val="none" w:sz="0" w:space="0" w:color="auto"/>
        <w:right w:val="none" w:sz="0" w:space="0" w:color="auto"/>
      </w:divBdr>
    </w:div>
    <w:div w:id="1454908118">
      <w:bodyDiv w:val="1"/>
      <w:marLeft w:val="0"/>
      <w:marRight w:val="0"/>
      <w:marTop w:val="0"/>
      <w:marBottom w:val="0"/>
      <w:divBdr>
        <w:top w:val="none" w:sz="0" w:space="0" w:color="auto"/>
        <w:left w:val="none" w:sz="0" w:space="0" w:color="auto"/>
        <w:bottom w:val="none" w:sz="0" w:space="0" w:color="auto"/>
        <w:right w:val="none" w:sz="0" w:space="0" w:color="auto"/>
      </w:divBdr>
    </w:div>
    <w:div w:id="1613903192">
      <w:bodyDiv w:val="1"/>
      <w:marLeft w:val="0"/>
      <w:marRight w:val="0"/>
      <w:marTop w:val="0"/>
      <w:marBottom w:val="0"/>
      <w:divBdr>
        <w:top w:val="none" w:sz="0" w:space="0" w:color="auto"/>
        <w:left w:val="none" w:sz="0" w:space="0" w:color="auto"/>
        <w:bottom w:val="none" w:sz="0" w:space="0" w:color="auto"/>
        <w:right w:val="none" w:sz="0" w:space="0" w:color="auto"/>
      </w:divBdr>
    </w:div>
    <w:div w:id="1846239896">
      <w:bodyDiv w:val="1"/>
      <w:marLeft w:val="0"/>
      <w:marRight w:val="0"/>
      <w:marTop w:val="0"/>
      <w:marBottom w:val="0"/>
      <w:divBdr>
        <w:top w:val="none" w:sz="0" w:space="0" w:color="auto"/>
        <w:left w:val="none" w:sz="0" w:space="0" w:color="auto"/>
        <w:bottom w:val="none" w:sz="0" w:space="0" w:color="auto"/>
        <w:right w:val="none" w:sz="0" w:space="0" w:color="auto"/>
      </w:divBdr>
    </w:div>
    <w:div w:id="2005208006">
      <w:bodyDiv w:val="1"/>
      <w:marLeft w:val="0"/>
      <w:marRight w:val="0"/>
      <w:marTop w:val="0"/>
      <w:marBottom w:val="0"/>
      <w:divBdr>
        <w:top w:val="none" w:sz="0" w:space="0" w:color="auto"/>
        <w:left w:val="none" w:sz="0" w:space="0" w:color="auto"/>
        <w:bottom w:val="none" w:sz="0" w:space="0" w:color="auto"/>
        <w:right w:val="none" w:sz="0" w:space="0" w:color="auto"/>
      </w:divBdr>
    </w:div>
    <w:div w:id="20651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5E47-4138-4E20-8DE7-72583746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3245</Words>
  <Characters>18497</Characters>
  <Application>Microsoft Office Word</Application>
  <DocSecurity>0</DocSecurity>
  <Lines>154</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Mirta Lozančić</dc:creator>
  <cp:keywords/>
  <dc:description/>
  <cp:lastModifiedBy>Martina Krajina</cp:lastModifiedBy>
  <cp:revision>2</cp:revision>
  <cp:lastPrinted>2016-08-11T12:03:00Z</cp:lastPrinted>
  <dcterms:created xsi:type="dcterms:W3CDTF">2018-09-14T13:56:00Z</dcterms:created>
  <dcterms:modified xsi:type="dcterms:W3CDTF">2018-09-14T13:56:00Z</dcterms:modified>
</cp:coreProperties>
</file>